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340" w:after="120" w:line="240" w:lineRule="auto"/>
        <w:jc w:val="left"/>
        <w:rPr>
          <w:rFonts w:ascii="Helvetica" w:cs="Helvetica" w:hAnsi="Helvetica" w:eastAsia="Helvetica"/>
          <w:b w:val="0"/>
          <w:bCs w:val="0"/>
          <w:sz w:val="24"/>
          <w:szCs w:val="24"/>
        </w:rPr>
      </w:pPr>
      <w:r>
        <w:rPr>
          <w:rFonts w:ascii="Helvetica" w:hAnsi="Helvetica"/>
          <w:b w:val="1"/>
          <w:bCs w:val="1"/>
          <w:sz w:val="40"/>
          <w:szCs w:val="40"/>
          <w:rtl w:val="0"/>
          <w:lang w:val="en-US"/>
        </w:rPr>
        <w:t>Task 4: Alert Triage and IOC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340" w:after="120" w:line="240" w:lineRule="auto"/>
        <w:jc w:val="left"/>
        <w:rPr>
          <w:rFonts w:ascii="Arial" w:cs="Arial" w:hAnsi="Arial" w:eastAsia="Arial"/>
          <w:b w:val="1"/>
          <w:bCs w:val="1"/>
        </w:rPr>
      </w:pPr>
      <w:r>
        <w:rPr>
          <w:rFonts w:ascii="Arial" w:hAnsi="Arial"/>
          <w:b w:val="1"/>
          <w:bCs w:val="1"/>
          <w:rtl w:val="0"/>
          <w:lang w:val="fr-FR"/>
        </w:rPr>
        <w:t>1. Triage Simulation Table</w:t>
      </w:r>
      <w:r>
        <w:rPr>
          <w:rFonts w:ascii="Arial" w:hAnsi="Arial"/>
          <w:b w:val="1"/>
          <w:bCs w:val="1"/>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240" w:line="240" w:lineRule="auto"/>
        <w:jc w:val="left"/>
        <w:rPr>
          <w:rFonts w:ascii="Arial" w:cs="Arial" w:hAnsi="Arial" w:eastAsia="Arial"/>
          <w:sz w:val="22"/>
          <w:szCs w:val="22"/>
        </w:rPr>
      </w:pPr>
      <w:r>
        <w:rPr>
          <w:rFonts w:ascii="Arial" w:hAnsi="Arial"/>
          <w:sz w:val="22"/>
          <w:szCs w:val="22"/>
          <w:rtl w:val="0"/>
          <w:lang w:val="en-US"/>
        </w:rPr>
        <w:t>This table summarizes the initial detection and the current state of the investigation.</w:t>
      </w:r>
    </w:p>
    <w:tbl>
      <w:tblPr>
        <w:tblW w:w="783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16"/>
        <w:gridCol w:w="2119"/>
        <w:gridCol w:w="1568"/>
        <w:gridCol w:w="1568"/>
        <w:gridCol w:w="1568"/>
      </w:tblGrid>
      <w:tr>
        <w:tblPrEx>
          <w:shd w:val="clear" w:color="auto" w:fill="bdc0bf"/>
        </w:tblPrEx>
        <w:trPr>
          <w:trHeight w:val="280" w:hRule="atLeast"/>
          <w:tblHeader/>
        </w:trPr>
        <w:tc>
          <w:tcPr>
            <w:tcW w:type="dxa" w:w="101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Alert ID</w:t>
            </w:r>
          </w:p>
        </w:tc>
        <w:tc>
          <w:tcPr>
            <w:tcW w:type="dxa" w:w="211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Description</w:t>
            </w:r>
          </w:p>
        </w:tc>
        <w:tc>
          <w:tcPr>
            <w:tcW w:type="dxa" w:w="15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Source IP</w:t>
            </w:r>
          </w:p>
        </w:tc>
        <w:tc>
          <w:tcPr>
            <w:tcW w:type="dxa" w:w="156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Priority</w:t>
            </w:r>
          </w:p>
        </w:tc>
        <w:tc>
          <w:tcPr>
            <w:tcW w:type="dxa" w:w="156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Status</w:t>
            </w:r>
          </w:p>
        </w:tc>
      </w:tr>
      <w:tr>
        <w:tblPrEx>
          <w:shd w:val="clear" w:color="auto" w:fill="auto"/>
        </w:tblPrEx>
        <w:trPr>
          <w:trHeight w:val="485" w:hRule="atLeast"/>
        </w:trPr>
        <w:tc>
          <w:tcPr>
            <w:tcW w:type="dxa" w:w="101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w:t>
            </w:r>
          </w:p>
        </w:tc>
        <w:tc>
          <w:tcPr>
            <w:tcW w:type="dxa" w:w="2119"/>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Suspicious PowerShell Execution</w:t>
            </w:r>
          </w:p>
        </w:tc>
        <w:tc>
          <w:tcPr>
            <w:tcW w:type="dxa" w:w="15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192.168.1.101</w:t>
            </w:r>
          </w:p>
        </w:tc>
        <w:tc>
          <w:tcPr>
            <w:tcW w:type="dxa" w:w="156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High</w:t>
            </w:r>
          </w:p>
        </w:tc>
        <w:tc>
          <w:tcPr>
            <w:tcW w:type="dxa" w:w="156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Closed (Validated)</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240" w:line="240" w:lineRule="auto"/>
        <w:jc w:val="left"/>
        <w:rPr>
          <w:rFonts w:ascii="Helvetica" w:cs="Helvetica" w:hAnsi="Helvetica" w:eastAsia="Helvetica"/>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340" w:after="120" w:line="240" w:lineRule="auto"/>
        <w:jc w:val="left"/>
        <w:rPr>
          <w:rFonts w:ascii="Helvetica" w:cs="Helvetica" w:hAnsi="Helvetica" w:eastAsia="Helvetica"/>
          <w:b w:val="0"/>
          <w:bCs w:val="0"/>
          <w:sz w:val="24"/>
          <w:szCs w:val="24"/>
        </w:rPr>
      </w:pPr>
      <w:r>
        <w:rPr>
          <w:rFonts w:ascii="Helvetica" w:hAnsi="Helvetica"/>
          <w:b w:val="1"/>
          <w:bCs w:val="1"/>
          <w:rtl w:val="0"/>
          <w:lang w:val="en-US"/>
        </w:rPr>
        <w:t>2. IOC Validation Summary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80" w:after="160" w:line="240" w:lineRule="auto"/>
        <w:ind w:left="560" w:firstLine="0"/>
        <w:jc w:val="left"/>
        <w:rPr>
          <w:rFonts w:ascii="Helvetica" w:cs="Helvetica" w:hAnsi="Helvetica" w:eastAsia="Helvetica"/>
          <w:b w:val="0"/>
          <w:bCs w:val="0"/>
        </w:rPr>
      </w:pPr>
      <w:r>
        <w:rPr>
          <w:rFonts w:ascii="Helvetica" w:hAnsi="Helvetica"/>
          <w:b w:val="1"/>
          <w:bCs w:val="1"/>
          <w:rtl w:val="0"/>
          <w:lang w:val="en-US"/>
        </w:rPr>
        <w:t>Validation Findings: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80" w:after="160" w:line="240" w:lineRule="auto"/>
        <w:ind w:left="560" w:firstLine="0"/>
        <w:jc w:val="left"/>
        <w:rPr>
          <w:rFonts w:ascii="Helvetica" w:cs="Helvetica" w:hAnsi="Helvetica" w:eastAsia="Helvetica"/>
          <w:sz w:val="22"/>
          <w:szCs w:val="22"/>
        </w:rPr>
      </w:pPr>
      <w:r>
        <w:rPr>
          <w:rFonts w:ascii="Helvetica" w:hAnsi="Helvetica"/>
          <w:sz w:val="22"/>
          <w:szCs w:val="22"/>
          <w:rtl w:val="0"/>
          <w:lang w:val="en-US"/>
        </w:rPr>
        <w:t>Suspicious PowerShell activity was triaged by extracting the generated file hash from the Windows 11 host. Manual validation via the VirusTotal threat intelligence platform confirmed a 100% malicious match (EICAR test string) across 60+ security engines. This confirms a True Positive detection, validating the effectiveness of the monitored directories and the incident response pipeline.</w:t>
      </w:r>
      <w:r>
        <w:rPr>
          <w:rFonts w:ascii="Helvetica" w:cs="Helvetica" w:hAnsi="Helvetica" w:eastAsia="Helvetica"/>
          <w:sz w:val="22"/>
          <w:szCs w:val="22"/>
        </w:rPr>
        <w:drawing xmlns:a="http://schemas.openxmlformats.org/drawingml/2006/main">
          <wp:anchor distT="152400" distB="152400" distL="152400" distR="152400" simplePos="0" relativeHeight="251659264" behindDoc="0" locked="0" layoutInCell="1" allowOverlap="1">
            <wp:simplePos x="0" y="0"/>
            <wp:positionH relativeFrom="margin">
              <wp:posOffset>298450</wp:posOffset>
            </wp:positionH>
            <wp:positionV relativeFrom="line">
              <wp:posOffset>190500</wp:posOffset>
            </wp:positionV>
            <wp:extent cx="6120057" cy="3098279"/>
            <wp:effectExtent l="0" t="0" r="0" b="0"/>
            <wp:wrapThrough wrapText="bothSides" distL="152400" distR="152400">
              <wp:wrapPolygon edited="1">
                <wp:start x="0" y="0"/>
                <wp:lineTo x="21621" y="0"/>
                <wp:lineTo x="21621" y="21625"/>
                <wp:lineTo x="0" y="21625"/>
                <wp:lineTo x="0" y="0"/>
              </wp:wrapPolygon>
            </wp:wrapThrough>
            <wp:docPr id="1073741825" name="officeArt object" descr="Screenshot 2026-04-16 at 10.20.55 PM.png"/>
            <wp:cNvGraphicFramePr/>
            <a:graphic xmlns:a="http://schemas.openxmlformats.org/drawingml/2006/main">
              <a:graphicData uri="http://schemas.openxmlformats.org/drawingml/2006/picture">
                <pic:pic xmlns:pic="http://schemas.openxmlformats.org/drawingml/2006/picture">
                  <pic:nvPicPr>
                    <pic:cNvPr id="1073741825" name="Screenshot 2026-04-16 at 10.20.55 PM.png" descr="Screenshot 2026-04-16 at 10.20.55 PM.png"/>
                    <pic:cNvPicPr>
                      <a:picLocks noChangeAspect="1"/>
                    </pic:cNvPicPr>
                  </pic:nvPicPr>
                  <pic:blipFill>
                    <a:blip r:embed="rId4">
                      <a:extLst/>
                    </a:blip>
                    <a:stretch>
                      <a:fillRect/>
                    </a:stretch>
                  </pic:blipFill>
                  <pic:spPr>
                    <a:xfrm>
                      <a:off x="0" y="0"/>
                      <a:ext cx="6120057" cy="3098279"/>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340" w:after="120" w:line="240" w:lineRule="auto"/>
        <w:jc w:val="left"/>
        <w:rPr>
          <w:rFonts w:ascii="Arial" w:cs="Arial" w:hAnsi="Arial" w:eastAsia="Arial"/>
          <w:b w:val="0"/>
          <w:bCs w:val="0"/>
        </w:rPr>
      </w:pPr>
      <w:r>
        <w:rPr>
          <w:rFonts w:ascii="Arial" w:hAnsi="Arial"/>
          <w:b w:val="1"/>
          <w:bCs w:val="1"/>
          <w:rtl w:val="0"/>
          <w:lang w:val="en-US"/>
        </w:rPr>
        <w:t>3. Evidence of Validation</w:t>
      </w:r>
      <w:r>
        <w:rPr>
          <w:rFonts w:ascii="Arial" w:hAnsi="Arial"/>
          <w:b w:val="1"/>
          <w:bCs w:val="1"/>
          <w:rtl w:val="0"/>
          <w:lang w:val="en-US"/>
        </w:rPr>
        <w:t>:</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Arial" w:cs="Arial" w:hAnsi="Arial" w:eastAsia="Arial"/>
        </w:rPr>
      </w:pPr>
      <w:r>
        <w:rPr>
          <w:rFonts w:ascii="Arial" w:hAnsi="Arial" w:hint="default"/>
          <w:rtl w:val="0"/>
        </w:rPr>
        <w:t>•</w:t>
        <w:tab/>
      </w:r>
      <w:r>
        <w:rPr>
          <w:rFonts w:ascii="Arial" w:hAnsi="Arial"/>
          <w:b w:val="1"/>
          <w:bCs w:val="1"/>
          <w:sz w:val="22"/>
          <w:szCs w:val="22"/>
          <w:rtl w:val="0"/>
          <w:lang w:val="en-US"/>
        </w:rPr>
        <w:t>Method</w:t>
      </w:r>
      <w:r>
        <w:rPr>
          <w:rFonts w:ascii="Arial" w:hAnsi="Arial"/>
          <w:b w:val="1"/>
          <w:bCs w:val="1"/>
          <w:rtl w:val="0"/>
        </w:rPr>
        <w:t>:</w:t>
      </w:r>
      <w:r>
        <w:rPr>
          <w:rFonts w:ascii="Arial" w:hAnsi="Arial"/>
          <w:rtl w:val="0"/>
          <w:lang w:val="en-US"/>
        </w:rPr>
        <w:t xml:space="preserve"> Manual Hash Lookup (VirusTotal API/Web)</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Arial" w:cs="Arial" w:hAnsi="Arial" w:eastAsia="Arial"/>
        </w:rPr>
      </w:pPr>
      <w:r>
        <w:rPr>
          <w:rFonts w:ascii="Arial" w:hAnsi="Arial" w:hint="default"/>
          <w:rtl w:val="0"/>
        </w:rPr>
        <w:t>•</w:t>
        <w:tab/>
      </w:r>
      <w:r>
        <w:rPr>
          <w:rFonts w:ascii="Arial" w:hAnsi="Arial"/>
          <w:b w:val="1"/>
          <w:bCs w:val="1"/>
          <w:sz w:val="22"/>
          <w:szCs w:val="22"/>
          <w:rtl w:val="0"/>
        </w:rPr>
        <w:t>IOC (SHA256):</w:t>
      </w:r>
      <w:r>
        <w:rPr>
          <w:rFonts w:ascii="Arial" w:hAnsi="Arial"/>
          <w:sz w:val="22"/>
          <w:szCs w:val="22"/>
          <w:rtl w:val="0"/>
        </w:rPr>
        <w:t xml:space="preserve"> </w:t>
      </w:r>
      <w:r>
        <w:rPr>
          <w:rFonts w:ascii="Arial" w:hAnsi="Arial"/>
          <w:rtl w:val="0"/>
          <w:lang w:val="de-DE"/>
        </w:rPr>
        <w:t>275a021bbfb6489e54d471899f7db9d1663fc695ec2fe2a2c4538aabf651fd0f</w:t>
      </w:r>
    </w:p>
    <w:p>
      <w:pPr>
        <w:pStyle w:val="Default"/>
        <w:tabs>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 w:val="left" w:pos="1520"/>
          <w:tab w:val="left" w:pos="1540"/>
          <w:tab w:val="left" w:pos="1560"/>
          <w:tab w:val="left" w:pos="1580"/>
          <w:tab w:val="left" w:pos="1600"/>
          <w:tab w:val="left" w:pos="1620"/>
          <w:tab w:val="left" w:pos="1640"/>
          <w:tab w:val="left" w:pos="1660"/>
          <w:tab w:val="left" w:pos="1680"/>
          <w:tab w:val="left" w:pos="1700"/>
          <w:tab w:val="left" w:pos="1720"/>
          <w:tab w:val="left" w:pos="1740"/>
          <w:tab w:val="left" w:pos="1760"/>
          <w:tab w:val="left" w:pos="1780"/>
          <w:tab w:val="left" w:pos="1800"/>
          <w:tab w:val="left" w:pos="1820"/>
          <w:tab w:val="left" w:pos="1840"/>
          <w:tab w:val="left" w:pos="1860"/>
          <w:tab w:val="left" w:pos="1880"/>
          <w:tab w:val="left" w:pos="1900"/>
          <w:tab w:val="left" w:pos="1920"/>
          <w:tab w:val="left" w:pos="1940"/>
        </w:tabs>
        <w:suppressAutoHyphens w:val="1"/>
        <w:spacing w:before="0" w:after="120" w:line="240" w:lineRule="auto"/>
        <w:ind w:left="680" w:hanging="480"/>
        <w:jc w:val="left"/>
        <w:rPr>
          <w:rFonts w:ascii="Arial" w:cs="Arial" w:hAnsi="Arial" w:eastAsia="Arial"/>
          <w:b w:val="0"/>
          <w:bCs w:val="0"/>
          <w:sz w:val="22"/>
          <w:szCs w:val="22"/>
        </w:rPr>
      </w:pPr>
      <w:r>
        <w:rPr>
          <w:rFonts w:ascii="Arial" w:hAnsi="Arial" w:hint="default"/>
          <w:b w:val="0"/>
          <w:bCs w:val="0"/>
          <w:sz w:val="22"/>
          <w:szCs w:val="22"/>
          <w:rtl w:val="0"/>
        </w:rPr>
        <w:t>•</w:t>
        <w:tab/>
      </w:r>
      <w:r>
        <w:rPr>
          <w:rFonts w:ascii="Arial" w:hAnsi="Arial"/>
          <w:b w:val="1"/>
          <w:bCs w:val="1"/>
          <w:sz w:val="22"/>
          <w:szCs w:val="22"/>
          <w:rtl w:val="0"/>
        </w:rPr>
        <w:t>Result:</w:t>
      </w:r>
      <w:r>
        <w:rPr>
          <w:rFonts w:ascii="Arial" w:hAnsi="Arial"/>
          <w:b w:val="0"/>
          <w:bCs w:val="0"/>
          <w:sz w:val="22"/>
          <w:szCs w:val="22"/>
          <w:rtl w:val="0"/>
        </w:rPr>
        <w:t xml:space="preserve"> </w:t>
      </w:r>
      <w:r>
        <w:rPr>
          <w:rFonts w:ascii="Arial" w:hAnsi="Arial"/>
          <w:b w:val="1"/>
          <w:bCs w:val="1"/>
          <w:sz w:val="22"/>
          <w:szCs w:val="22"/>
          <w:rtl w:val="0"/>
          <w:lang w:val="en-US"/>
        </w:rPr>
        <w:t>MALICIOUS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80" w:after="160" w:line="240" w:lineRule="auto"/>
        <w:ind w:left="560" w:firstLine="0"/>
        <w:jc w:val="left"/>
      </w:pPr>
      <w:r>
        <w:rPr>
          <w:rFonts w:ascii="Arial" w:hAnsi="Arial"/>
          <w:b w:val="1"/>
          <w:bCs w:val="1"/>
          <w:sz w:val="22"/>
          <w:szCs w:val="22"/>
          <w:rtl w:val="0"/>
          <w:lang w:val="en-US"/>
        </w:rPr>
        <w:t>Note to Instructor:</w:t>
      </w:r>
      <w:r>
        <w:rPr>
          <w:rFonts w:ascii="Arial" w:hAnsi="Arial"/>
          <w:rtl w:val="0"/>
          <w:lang w:val="en-US"/>
        </w:rPr>
        <w:t xml:space="preserve"> While the automated Wazuh-VirusTotal integration was configured in the ossec.conf, a script exception occurred during the live trigger. To ensure mission success, the IOC was manually validated using the VirusTotal web interface to confirm the threat presence on the Windows 11 workstation.</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