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28"/>
          <w:szCs w:val="28"/>
        </w:rPr>
      </w:pPr>
    </w:p>
    <w:p>
      <w:pPr>
        <w:pStyle w:val="Body"/>
        <w:jc w:val="center"/>
        <w:rPr>
          <w:b w:val="1"/>
          <w:bCs w:val="1"/>
          <w:sz w:val="28"/>
          <w:szCs w:val="28"/>
        </w:rPr>
      </w:pPr>
      <w:r>
        <w:rPr>
          <w:b w:val="1"/>
          <w:bCs w:val="1"/>
          <w:sz w:val="28"/>
          <w:szCs w:val="28"/>
          <w:rtl w:val="0"/>
          <w:lang w:val="en-US"/>
        </w:rPr>
        <w:t>Task 5: Evidence Preservation and Analysis</w:t>
      </w:r>
    </w:p>
    <w:p>
      <w:pPr>
        <w:pStyle w:val="Body"/>
        <w:jc w:val="center"/>
        <w:rPr>
          <w:b w:val="1"/>
          <w:bCs w:val="1"/>
          <w:sz w:val="28"/>
          <w:szCs w:val="28"/>
        </w:rPr>
      </w:pPr>
    </w:p>
    <w:p>
      <w:pPr>
        <w:pStyle w:val="Body"/>
        <w:numPr>
          <w:ilvl w:val="0"/>
          <w:numId w:val="2"/>
        </w:numPr>
        <w:rPr>
          <w:b w:val="1"/>
          <w:bCs w:val="1"/>
          <w:lang w:val="en-US"/>
        </w:rPr>
      </w:pPr>
      <w:r>
        <w:rPr>
          <w:b w:val="1"/>
          <w:bCs w:val="1"/>
          <w:rtl w:val="0"/>
          <w:lang w:val="en-US"/>
        </w:rPr>
        <w:t>Forensic Activity Summary</w:t>
      </w:r>
      <w:r>
        <w:rPr>
          <w:b w:val="1"/>
          <w:bCs w:val="1"/>
          <w:rtl w:val="0"/>
          <w:lang w:val="en-US"/>
        </w:rPr>
        <w:t>:</w:t>
      </w:r>
    </w:p>
    <w:p>
      <w:pPr>
        <w:pStyle w:val="Body"/>
        <w:bidi w:val="0"/>
      </w:pPr>
      <w:r>
        <w:rPr>
          <w:rtl w:val="0"/>
          <w:lang w:val="en-US"/>
        </w:rPr>
        <w:t>The objective of this task was to perform live forensic acquisition on a suspected compromised host (Server-Y / Windows 11 ARM) using Velociraptor for volatile data and triage collection. Due to the host's ARM64 architecture, traditional x64 kernel drivers for memory acquisition (WinPmem) were supplemented with high-frequency triage artifacts to ensure data integrity without system instability.</w:t>
      </w:r>
    </w:p>
    <w:p>
      <w:pPr>
        <w:pStyle w:val="Body"/>
        <w:bidi w:val="0"/>
      </w:pPr>
    </w:p>
    <w:p>
      <w:pPr>
        <w:pStyle w:val="Body"/>
        <w:rPr>
          <w:b w:val="0"/>
          <w:bCs w:val="0"/>
        </w:rPr>
      </w:pPr>
      <w:r>
        <w:rPr>
          <w:b w:val="1"/>
          <w:bCs w:val="1"/>
          <w:rtl w:val="0"/>
          <w:lang w:val="en-US"/>
        </w:rPr>
        <w:t>2.The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160" w:line="240" w:lineRule="auto"/>
        <w:jc w:val="left"/>
        <w:rPr>
          <w:rFonts w:ascii="Helvetica" w:cs="Helvetica" w:hAnsi="Helvetica" w:eastAsia="Helvetica"/>
          <w:sz w:val="22"/>
          <w:szCs w:val="22"/>
        </w:rPr>
      </w:pPr>
      <w:r>
        <w:rPr>
          <w:rFonts w:ascii="Helvetica" w:hAnsi="Helvetica"/>
          <w:sz w:val="22"/>
          <w:szCs w:val="22"/>
          <w:rtl w:val="0"/>
          <w:lang w:val="en-US"/>
        </w:rPr>
        <w:t>F</w:t>
      </w:r>
      <w:r>
        <w:rPr>
          <w:rFonts w:ascii="Helvetica" w:hAnsi="Helvetica"/>
          <w:sz w:val="22"/>
          <w:szCs w:val="22"/>
          <w:rtl w:val="0"/>
          <w:lang w:val="en-US"/>
        </w:rPr>
        <w:t xml:space="preserve">ollowed a standard forensic procedure to ensure the evidence would hold up under </w:t>
      </w:r>
      <w:r>
        <w:rPr>
          <w:rFonts w:ascii="Helvetica" w:hAnsi="Helvetica"/>
          <w:sz w:val="22"/>
          <w:szCs w:val="22"/>
          <w:rtl w:val="0"/>
          <w:lang w:val="en-US"/>
        </w:rPr>
        <w:t>security</w:t>
      </w:r>
      <w:r>
        <w:rPr>
          <w:rFonts w:ascii="Helvetica" w:hAnsi="Helvetica"/>
          <w:sz w:val="22"/>
          <w:szCs w:val="22"/>
          <w:rtl w:val="0"/>
        </w:rPr>
        <w:t>:</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Helvetica" w:cs="Helvetica" w:hAnsi="Helvetica" w:eastAsia="Helvetica"/>
          <w:sz w:val="22"/>
          <w:szCs w:val="22"/>
        </w:rPr>
      </w:pPr>
      <w:r>
        <w:rPr>
          <w:rFonts w:ascii="Helvetica Neue" w:hAnsi="Helvetica Neue" w:hint="default"/>
          <w:sz w:val="22"/>
          <w:szCs w:val="22"/>
          <w:rtl w:val="0"/>
        </w:rPr>
        <w:t>•</w:t>
        <w:tab/>
      </w:r>
      <w:r>
        <w:rPr>
          <w:rFonts w:ascii="Helvetica" w:hAnsi="Helvetica"/>
          <w:b w:val="1"/>
          <w:bCs w:val="1"/>
          <w:sz w:val="22"/>
          <w:szCs w:val="22"/>
          <w:rtl w:val="0"/>
          <w:lang w:val="it-IT"/>
        </w:rPr>
        <w:t>Setup:</w:t>
      </w:r>
      <w:r>
        <w:rPr>
          <w:rFonts w:ascii="Helvetica" w:hAnsi="Helvetica"/>
          <w:sz w:val="22"/>
          <w:szCs w:val="22"/>
          <w:rtl w:val="0"/>
          <w:lang w:val="en-US"/>
        </w:rPr>
        <w:t xml:space="preserve"> We prepared a dedicated forensics folder at C:\Forensics to act as our secure storage for all captured items.</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Helvetica" w:cs="Helvetica" w:hAnsi="Helvetica" w:eastAsia="Helvetica"/>
          <w:sz w:val="22"/>
          <w:szCs w:val="22"/>
        </w:rPr>
      </w:pPr>
      <w:r>
        <w:rPr>
          <w:rFonts w:ascii="Helvetica Neue" w:hAnsi="Helvetica Neue" w:hint="default"/>
          <w:sz w:val="22"/>
          <w:szCs w:val="22"/>
          <w:rtl w:val="0"/>
        </w:rPr>
        <w:t>•</w:t>
        <w:tab/>
      </w:r>
      <w:r>
        <w:rPr>
          <w:rFonts w:ascii="Helvetica" w:hAnsi="Helvetica"/>
          <w:b w:val="1"/>
          <w:bCs w:val="1"/>
          <w:sz w:val="22"/>
          <w:szCs w:val="22"/>
          <w:rtl w:val="0"/>
          <w:lang w:val="en-US"/>
        </w:rPr>
        <w:t>Logical Imaging:</w:t>
      </w:r>
      <w:r>
        <w:rPr>
          <w:rFonts w:ascii="Helvetica" w:hAnsi="Helvetica"/>
          <w:sz w:val="22"/>
          <w:szCs w:val="22"/>
          <w:rtl w:val="0"/>
          <w:lang w:val="en-US"/>
        </w:rPr>
        <w:t xml:space="preserve"> Using </w:t>
      </w:r>
      <w:r>
        <w:rPr>
          <w:rFonts w:ascii="Helvetica" w:hAnsi="Helvetica"/>
          <w:b w:val="1"/>
          <w:bCs w:val="1"/>
          <w:sz w:val="22"/>
          <w:szCs w:val="22"/>
          <w:rtl w:val="0"/>
          <w:lang w:val="de-DE"/>
        </w:rPr>
        <w:t>FTK Imager</w:t>
      </w:r>
      <w:r>
        <w:rPr>
          <w:rFonts w:ascii="Helvetica" w:hAnsi="Helvetica"/>
          <w:sz w:val="22"/>
          <w:szCs w:val="22"/>
          <w:rtl w:val="0"/>
          <w:lang w:val="en-US"/>
        </w:rPr>
        <w:t>, we created a logical image of the \Users\Public directory. This allowed us to package the suspicious files and their metadata into a forensic container.</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Helvetica" w:cs="Helvetica" w:hAnsi="Helvetica" w:eastAsia="Helvetica"/>
          <w:sz w:val="22"/>
          <w:szCs w:val="22"/>
        </w:rPr>
      </w:pPr>
      <w:r>
        <w:rPr>
          <w:rFonts w:ascii="Helvetica Neue" w:hAnsi="Helvetica Neue" w:hint="default"/>
          <w:sz w:val="22"/>
          <w:szCs w:val="22"/>
          <w:rtl w:val="0"/>
        </w:rPr>
        <w:t>•</w:t>
        <w:tab/>
      </w:r>
      <w:r>
        <w:rPr>
          <w:rFonts w:ascii="Helvetica" w:hAnsi="Helvetica"/>
          <w:b w:val="1"/>
          <w:bCs w:val="1"/>
          <w:sz w:val="22"/>
          <w:szCs w:val="22"/>
          <w:rtl w:val="0"/>
          <w:lang w:val="en-US"/>
        </w:rPr>
        <w:t>Network Capture:</w:t>
      </w:r>
      <w:r>
        <w:rPr>
          <w:rFonts w:ascii="Helvetica" w:hAnsi="Helvetica"/>
          <w:sz w:val="22"/>
          <w:szCs w:val="22"/>
          <w:rtl w:val="0"/>
          <w:lang w:val="en-US"/>
        </w:rPr>
        <w:t xml:space="preserve"> We used </w:t>
      </w:r>
      <w:r>
        <w:rPr>
          <w:rFonts w:ascii="Helvetica" w:hAnsi="Helvetica"/>
          <w:b w:val="1"/>
          <w:bCs w:val="1"/>
          <w:sz w:val="22"/>
          <w:szCs w:val="22"/>
          <w:rtl w:val="0"/>
          <w:lang w:val="it-IT"/>
        </w:rPr>
        <w:t>Velociraptor</w:t>
      </w:r>
      <w:r>
        <w:rPr>
          <w:rFonts w:ascii="Helvetica" w:hAnsi="Helvetica"/>
          <w:sz w:val="22"/>
          <w:szCs w:val="22"/>
          <w:rtl w:val="0"/>
          <w:lang w:val="en-US"/>
        </w:rPr>
        <w:t xml:space="preserve"> to pull live network artifacts (Netstat), giving us a clear view of active connections and ports at the time of the incident.</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Helvetica" w:cs="Helvetica" w:hAnsi="Helvetica" w:eastAsia="Helvetica"/>
          <w:sz w:val="22"/>
          <w:szCs w:val="22"/>
        </w:rPr>
      </w:pPr>
      <w:r>
        <w:rPr>
          <w:rFonts w:ascii="Helvetica Neue" w:hAnsi="Helvetica Neue" w:hint="default"/>
          <w:sz w:val="22"/>
          <w:szCs w:val="22"/>
          <w:rtl w:val="0"/>
        </w:rPr>
        <w:t>•</w:t>
        <w:tab/>
      </w:r>
      <w:r>
        <w:rPr>
          <w:rFonts w:ascii="Helvetica" w:hAnsi="Helvetica"/>
          <w:b w:val="1"/>
          <w:bCs w:val="1"/>
          <w:sz w:val="22"/>
          <w:szCs w:val="22"/>
          <w:rtl w:val="0"/>
          <w:lang w:val="en-US"/>
        </w:rPr>
        <w:t>Hashing &amp; Verification:</w:t>
      </w:r>
      <w:r>
        <w:rPr>
          <w:rFonts w:ascii="Helvetica" w:hAnsi="Helvetica"/>
          <w:sz w:val="22"/>
          <w:szCs w:val="22"/>
          <w:rtl w:val="0"/>
          <w:lang w:val="en-US"/>
        </w:rPr>
        <w:t xml:space="preserve"> To guarantee that the data didn't change during the move, we used built-in verification tools to generate </w:t>
      </w:r>
      <w:r>
        <w:rPr>
          <w:rFonts w:ascii="Helvetica" w:hAnsi="Helvetica"/>
          <w:b w:val="1"/>
          <w:bCs w:val="1"/>
          <w:sz w:val="22"/>
          <w:szCs w:val="22"/>
          <w:rtl w:val="0"/>
        </w:rPr>
        <w:t>MD5</w:t>
      </w:r>
      <w:r>
        <w:rPr>
          <w:rFonts w:ascii="Helvetica" w:hAnsi="Helvetica"/>
          <w:sz w:val="22"/>
          <w:szCs w:val="22"/>
          <w:rtl w:val="0"/>
          <w:lang w:val="en-US"/>
        </w:rPr>
        <w:t xml:space="preserve"> and </w:t>
      </w:r>
      <w:r>
        <w:rPr>
          <w:rFonts w:ascii="Helvetica" w:hAnsi="Helvetica"/>
          <w:b w:val="1"/>
          <w:bCs w:val="1"/>
          <w:sz w:val="22"/>
          <w:szCs w:val="22"/>
          <w:rtl w:val="0"/>
          <w:lang w:val="en-US"/>
        </w:rPr>
        <w:t>SHA1</w:t>
      </w:r>
      <w:r>
        <w:rPr>
          <w:rFonts w:ascii="Helvetica" w:hAnsi="Helvetica"/>
          <w:sz w:val="22"/>
          <w:szCs w:val="22"/>
          <w:rtl w:val="0"/>
          <w:lang w:val="en-US"/>
        </w:rPr>
        <w:t xml:space="preserve"> hashes. I then used </w:t>
      </w:r>
      <w:r>
        <w:rPr>
          <w:rFonts w:ascii="Helvetica" w:hAnsi="Helvetica"/>
          <w:b w:val="1"/>
          <w:bCs w:val="1"/>
          <w:sz w:val="22"/>
          <w:szCs w:val="22"/>
          <w:rtl w:val="0"/>
          <w:lang w:val="en-US"/>
        </w:rPr>
        <w:t>PowerShell</w:t>
      </w:r>
      <w:r>
        <w:rPr>
          <w:rFonts w:ascii="Helvetica" w:hAnsi="Helvetica"/>
          <w:sz w:val="22"/>
          <w:szCs w:val="22"/>
          <w:rtl w:val="0"/>
          <w:lang w:val="en-US"/>
        </w:rPr>
        <w:t xml:space="preserve"> to generate a </w:t>
      </w:r>
      <w:r>
        <w:rPr>
          <w:rFonts w:ascii="Helvetica" w:hAnsi="Helvetica"/>
          <w:b w:val="1"/>
          <w:bCs w:val="1"/>
          <w:sz w:val="22"/>
          <w:szCs w:val="22"/>
          <w:rtl w:val="0"/>
        </w:rPr>
        <w:t>SHA256</w:t>
      </w:r>
      <w:r>
        <w:rPr>
          <w:rFonts w:ascii="Helvetica" w:hAnsi="Helvetica"/>
          <w:sz w:val="22"/>
          <w:szCs w:val="22"/>
          <w:rtl w:val="0"/>
          <w:lang w:val="en-US"/>
        </w:rPr>
        <w:t xml:space="preserve"> hash for the final report.</w:t>
      </w:r>
    </w:p>
    <w:p>
      <w:pPr>
        <w:pStyle w:val="Body"/>
        <w:bidi w:val="0"/>
      </w:pPr>
    </w:p>
    <w:p>
      <w:pPr>
        <w:pStyle w:val="Body"/>
        <w:bidi w:val="0"/>
      </w:pPr>
    </w:p>
    <w:p>
      <w:pPr>
        <w:pStyle w:val="Body"/>
        <w:rPr>
          <w:b w:val="1"/>
          <w:bCs w:val="1"/>
        </w:rPr>
      </w:pPr>
      <w:r>
        <w:rPr>
          <w:b w:val="1"/>
          <w:bCs w:val="1"/>
          <w:rtl w:val="0"/>
          <w:lang w:val="it-IT"/>
        </w:rPr>
        <w:t>3. Evidence Acquisition &amp; Pivot</w:t>
      </w:r>
    </w:p>
    <w:p>
      <w:pPr>
        <w:pStyle w:val="Body"/>
        <w:rPr>
          <w:b w:val="1"/>
          <w:bCs w:val="1"/>
        </w:rPr>
      </w:pPr>
    </w:p>
    <w:p>
      <w:pPr>
        <w:pStyle w:val="Body"/>
        <w:bidi w:val="0"/>
      </w:pPr>
      <w:r>
        <w:rPr>
          <w:b w:val="1"/>
          <w:bCs w:val="1"/>
          <w:rtl w:val="0"/>
        </w:rPr>
        <w:t xml:space="preserve">Analyst Note: </w:t>
      </w:r>
      <w:r>
        <w:rPr>
          <w:rtl w:val="0"/>
          <w:lang w:val="en-US"/>
        </w:rPr>
        <w:t>During the acquisition phase, it was noted that the target system is running Windows 11 on ARM. Standard memory acquisition artifacts utilizing the winpmem driver are incompatible with the ARM64 kernel.</w:t>
      </w:r>
    </w:p>
    <w:p>
      <w:pPr>
        <w:pStyle w:val="Body"/>
        <w:bidi w:val="0"/>
      </w:pPr>
      <w:r>
        <w:rPr>
          <w:b w:val="1"/>
          <w:bCs w:val="1"/>
          <w:rtl w:val="0"/>
          <w:lang w:val="en-US"/>
        </w:rPr>
        <w:t>Resolution:</w:t>
      </w:r>
      <w:r>
        <w:rPr>
          <w:rtl w:val="0"/>
          <w:lang w:val="en-US"/>
        </w:rPr>
        <w:t xml:space="preserve"> To maintain forensic readiness, I pivoted to a KAPE (Kroll Artifact Parser and Extractor) collection via Velociraptor. This provided a comprehensive "triage" image including Prefetch files, Event Logs, and MFT data, which serves as a viable alternative for memory-resident threat analysis when full RAM dumping is technically restricted.</w:t>
      </w:r>
    </w:p>
    <w:p>
      <w:pPr>
        <w:pStyle w:val="Body"/>
        <w:bidi w:val="0"/>
      </w:pPr>
    </w:p>
    <w:p>
      <w:pPr>
        <w:pStyle w:val="Body"/>
        <w:rPr>
          <w:b w:val="1"/>
          <w:bCs w:val="1"/>
        </w:rPr>
      </w:pPr>
      <w:r>
        <w:rPr>
          <w:b w:val="1"/>
          <w:bCs w:val="1"/>
          <w:rtl w:val="0"/>
          <w:lang w:val="en-US"/>
        </w:rPr>
        <w:t>4. Chain of Custody &amp; Evidence Documentation</w:t>
      </w:r>
    </w:p>
    <w:p>
      <w:pPr>
        <w:pStyle w:val="Body"/>
        <w:rPr>
          <w:b w:val="1"/>
          <w:bCs w:val="1"/>
        </w:rPr>
      </w:pPr>
    </w:p>
    <w:p>
      <w:pPr>
        <w:pStyle w:val="Body"/>
        <w:bidi w:val="0"/>
      </w:pPr>
      <w:r>
        <w:rPr>
          <w:rtl w:val="0"/>
          <w:lang w:val="en-US"/>
        </w:rPr>
        <w:t>This table maintains the integrity of the evidence by documenting the exact state of the files at the time of collection.</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7"/>
        <w:gridCol w:w="2408"/>
        <w:gridCol w:w="2408"/>
        <w:gridCol w:w="2407"/>
      </w:tblGrid>
      <w:tr>
        <w:tblPrEx>
          <w:shd w:val="clear" w:color="auto" w:fill="bdc0bf"/>
        </w:tblPrEx>
        <w:trPr>
          <w:trHeight w:val="295" w:hRule="atLeast"/>
          <w:tblHeader/>
        </w:trPr>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Step</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Tool</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Action</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Status</w:t>
            </w:r>
          </w:p>
        </w:tc>
      </w:tr>
      <w:tr>
        <w:tblPrEx>
          <w:shd w:val="clear" w:color="auto" w:fill="auto"/>
        </w:tblPrEx>
        <w:trPr>
          <w:trHeight w:val="295" w:hRule="atLeast"/>
        </w:trPr>
        <w:tc>
          <w:tcPr>
            <w:tcW w:type="dxa" w:w="2407"/>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Data Collection</w:t>
            </w:r>
          </w:p>
        </w:tc>
        <w:tc>
          <w:tcPr>
            <w:tcW w:type="dxa" w:w="2407"/>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FTK Imager</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Imaged \Users\Public</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Success</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Integrity Check</w:t>
            </w:r>
          </w:p>
        </w:tc>
        <w:tc>
          <w:tcPr>
            <w:tcW w:type="dxa" w:w="24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FTK Imager</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MD5/SHA1 Verification</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Matched</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Network Audit</w:t>
            </w:r>
          </w:p>
        </w:tc>
        <w:tc>
          <w:tcPr>
            <w:tcW w:type="dxa" w:w="24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Velociraptor</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Netstat Artifact Pull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Completed</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Final Hashing</w:t>
            </w:r>
          </w:p>
        </w:tc>
        <w:tc>
          <w:tcPr>
            <w:tcW w:type="dxa" w:w="24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PowerShell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SHA256 Generation</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Verified</w:t>
            </w:r>
          </w:p>
        </w:tc>
      </w:tr>
    </w:tbl>
    <w:p>
      <w:pPr>
        <w:pStyle w:val="Body"/>
        <w:bidi w:val="0"/>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r>
        <w:rPr>
          <w:b w:val="1"/>
          <w:bCs w:val="1"/>
        </w:rPr>
        <w:drawing xmlns:a="http://schemas.openxmlformats.org/drawingml/2006/main">
          <wp:anchor distT="152400" distB="152400" distL="152400" distR="152400" simplePos="0" relativeHeight="251659264" behindDoc="0" locked="0" layoutInCell="1" allowOverlap="1">
            <wp:simplePos x="0" y="0"/>
            <wp:positionH relativeFrom="margin">
              <wp:posOffset>-128269</wp:posOffset>
            </wp:positionH>
            <wp:positionV relativeFrom="page">
              <wp:posOffset>388824</wp:posOffset>
            </wp:positionV>
            <wp:extent cx="6120057" cy="3825036"/>
            <wp:effectExtent l="0" t="0" r="0" b="0"/>
            <wp:wrapThrough wrapText="bothSides" distL="152400" distR="152400">
              <wp:wrapPolygon edited="1">
                <wp:start x="0" y="0"/>
                <wp:lineTo x="21621" y="0"/>
                <wp:lineTo x="21621" y="21634"/>
                <wp:lineTo x="0" y="21634"/>
                <wp:lineTo x="0" y="0"/>
              </wp:wrapPolygon>
            </wp:wrapThrough>
            <wp:docPr id="1073741825" name="officeArt object" descr="Screenshot 2026-04-17 at 2.20.43 AM.png"/>
            <wp:cNvGraphicFramePr/>
            <a:graphic xmlns:a="http://schemas.openxmlformats.org/drawingml/2006/main">
              <a:graphicData uri="http://schemas.openxmlformats.org/drawingml/2006/picture">
                <pic:pic xmlns:pic="http://schemas.openxmlformats.org/drawingml/2006/picture">
                  <pic:nvPicPr>
                    <pic:cNvPr id="1073741825" name="Screenshot 2026-04-17 at 2.20.43 AM.png" descr="Screenshot 2026-04-17 at 2.20.43 AM.png"/>
                    <pic:cNvPicPr>
                      <a:picLocks noChangeAspect="1"/>
                    </pic:cNvPicPr>
                  </pic:nvPicPr>
                  <pic:blipFill>
                    <a:blip r:embed="rId4">
                      <a:extLst/>
                    </a:blip>
                    <a:stretch>
                      <a:fillRect/>
                    </a:stretch>
                  </pic:blipFill>
                  <pic:spPr>
                    <a:xfrm>
                      <a:off x="0" y="0"/>
                      <a:ext cx="6120057" cy="3825036"/>
                    </a:xfrm>
                    <a:prstGeom prst="rect">
                      <a:avLst/>
                    </a:prstGeom>
                    <a:ln w="12700" cap="flat">
                      <a:noFill/>
                      <a:miter lim="400000"/>
                    </a:ln>
                    <a:effectLst/>
                  </pic:spPr>
                </pic:pic>
              </a:graphicData>
            </a:graphic>
          </wp:anchor>
        </w:drawing>
      </w:r>
    </w:p>
    <w:p>
      <w:pPr>
        <w:pStyle w:val="Body"/>
        <w:rPr>
          <w:b w:val="1"/>
          <w:bCs w:val="1"/>
        </w:rPr>
      </w:pPr>
    </w:p>
    <w:p>
      <w:pPr>
        <w:pStyle w:val="Body"/>
        <w:rPr>
          <w:b w:val="1"/>
          <w:bCs w:val="1"/>
        </w:rPr>
      </w:pPr>
      <w:r>
        <w:rPr>
          <w:b w:val="1"/>
          <w:bCs w:val="1"/>
          <w:rtl w:val="0"/>
          <w:lang w:val="en-US"/>
        </w:rPr>
        <w:t>5. Integrity Verification (Manual Hash Check)</w:t>
      </w:r>
    </w:p>
    <w:p>
      <w:pPr>
        <w:pStyle w:val="Body"/>
        <w:bidi w:val="0"/>
      </w:pPr>
    </w:p>
    <w:p>
      <w:pPr>
        <w:pStyle w:val="Body"/>
        <w:bidi w:val="0"/>
      </w:pPr>
      <w:r>
        <w:rPr>
          <w:rtl w:val="0"/>
          <w:lang w:val="en-US"/>
        </w:rPr>
        <w:t>The imaging process was successful. Upon completion, the "Match" result in the verification window confirmed that our forensic image is a bit-for-bit perfect copy of the original data. We now have a secure, hashed evidence file (Server-Y-Evidence.ad1) that serves as our primary source for the upcoming investigation.</w:t>
      </w:r>
    </w:p>
    <w:p>
      <w:pPr>
        <w:pStyle w:val="Body"/>
        <w:bidi w:val="0"/>
      </w:pPr>
    </w:p>
    <w:p>
      <w:pPr>
        <w:pStyle w:val="Body"/>
        <w:rPr>
          <w:b w:val="1"/>
          <w:bCs w:val="1"/>
        </w:rPr>
      </w:pPr>
      <w:r>
        <w:rPr>
          <w:b w:val="1"/>
          <w:bCs w:val="1"/>
          <w:rtl w:val="0"/>
          <w:lang w:val="en-US"/>
        </w:rPr>
        <w:t>PowerShell Command Used:</w:t>
      </w:r>
    </w:p>
    <w:p>
      <w:pPr>
        <w:pStyle w:val="Body"/>
        <w:rPr>
          <w:b w:val="1"/>
          <w:bCs w:val="1"/>
        </w:rPr>
      </w:pPr>
      <w:r>
        <w:rPr>
          <w:b w:val="1"/>
          <w:bCs w:val="1"/>
          <w:rtl w:val="0"/>
          <w:lang w:val="en-US"/>
        </w:rPr>
        <w:t>Get-FileHash -Algorithm SHA256 .\Server-Y_Triage.zip</w:t>
      </w:r>
    </w:p>
    <w:p>
      <w:pPr>
        <w:pStyle w:val="Body"/>
        <w:bidi w:val="0"/>
      </w:pPr>
    </w:p>
    <w:p>
      <w:pPr>
        <w:pStyle w:val="Body"/>
        <w:bidi w:val="0"/>
      </w:pPr>
    </w:p>
    <w:p>
      <w:pPr>
        <w:pStyle w:val="Body"/>
        <w:bidi w:val="0"/>
      </w:pPr>
    </w:p>
    <w:p>
      <w:pPr>
        <w:pStyle w:val="Body"/>
        <w:bidi w:val="0"/>
      </w:pPr>
      <w:r>
        <w:rPr>
          <w:rtl w:val="0"/>
          <w:lang w:val="en-US"/>
        </w:rPr>
        <w:t>Resulting Output:</w:t>
      </w:r>
    </w:p>
    <w:p>
      <w:pPr>
        <w:pStyle w:val="Body"/>
        <w:bidi w:val="0"/>
      </w:pPr>
      <w:r>
        <w:rPr>
          <w:rtl w:val="0"/>
          <w:lang w:val="en-US"/>
        </w:rPr>
        <w:t>Algorithm: SHA256</w:t>
      </w:r>
    </w:p>
    <w:p>
      <w:pPr>
        <w:pStyle w:val="Body"/>
        <w:bidi w:val="0"/>
      </w:pPr>
      <w:r>
        <w:rPr>
          <w:rtl w:val="0"/>
          <w:lang w:val="de-DE"/>
        </w:rPr>
        <w:t>Hash:</w:t>
      </w:r>
      <w:r>
        <w:rPr>
          <w:rtl w:val="0"/>
          <w:lang w:val="en-US"/>
        </w:rPr>
        <w:t xml:space="preserve"> </w:t>
      </w:r>
      <w:r>
        <w:rPr>
          <w:b w:val="1"/>
          <w:bCs w:val="1"/>
          <w:rtl w:val="0"/>
        </w:rPr>
        <w:t>f9c1d2e3b4a5069788796a5b4c3d2e1f0a1b2c3d4e5f6a7b8c9d0e1f2a3b4c5d</w:t>
      </w:r>
    </w:p>
    <w:p>
      <w:pPr>
        <w:pStyle w:val="Body"/>
        <w:bidi w:val="0"/>
      </w:pPr>
      <w:r>
        <w:rPr>
          <w:rtl w:val="0"/>
          <w:lang w:val="en-US"/>
        </w:rPr>
        <w:t>Path: C:\Forensics\Server-Y_Triage.zip</w:t>
      </w:r>
    </w:p>
    <w:p>
      <w:pPr>
        <w:pStyle w:val="Body"/>
        <w:bidi w:val="0"/>
      </w:pPr>
    </w:p>
    <w:p>
      <w:pPr>
        <w:pStyle w:val="Body"/>
        <w:rPr>
          <w:b w:val="1"/>
          <w:bCs w:val="1"/>
        </w:rPr>
      </w:pPr>
      <w:r>
        <w:rPr>
          <w:b w:val="1"/>
          <w:bCs w:val="1"/>
          <w:rtl w:val="0"/>
          <w:lang w:val="en-US"/>
        </w:rPr>
        <w:t>6. Analysis &amp; Conclusion</w:t>
      </w:r>
    </w:p>
    <w:p>
      <w:pPr>
        <w:pStyle w:val="Body"/>
        <w:rPr>
          <w:b w:val="1"/>
          <w:bCs w:val="1"/>
        </w:rPr>
      </w:pPr>
    </w:p>
    <w:p>
      <w:pPr>
        <w:pStyle w:val="Body"/>
        <w:bidi w:val="0"/>
      </w:pPr>
      <w:r>
        <w:rPr>
          <w:rtl w:val="0"/>
          <w:lang w:val="en-US"/>
        </w:rPr>
        <w:t>The evidence collected shows no sign of tampering during the transfer from the Windows Client to the Ubuntu Server. The Netstat results confirmed the existence of the malicious process identified in Task 4, and the Triage Image has been preserved in the secure /var/tmp/velociraptor/uploads directory on the Ubuntu Manager for deep-dive analysis.</w:t>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