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color w:val="1F3864"/>
          <w:sz w:val="44"/>
          <w:szCs w:val="44"/>
        </w:rPr>
        <w:t xml:space="preserve">EDA Interpretations</w:t>
      </w:r>
    </w:p>
    <w:p>
      <w:pPr>
        <w:spacing w:after="80"/>
        <w:jc w:val="center"/>
      </w:pPr>
      <w:r>
        <w:rPr>
          <w:i/>
          <w:iCs/>
          <w:color w:val="2E5D9E"/>
          <w:sz w:val="26"/>
          <w:szCs w:val="26"/>
        </w:rPr>
        <w:t xml:space="preserve">NASA CMAPSS Turbofan Engine Dataset</w:t>
      </w:r>
    </w:p>
    <w:p>
      <w:pPr>
        <w:spacing w:after="480"/>
        <w:jc w:val="center"/>
      </w:pPr>
      <w:r>
        <w:rPr>
          <w:color w:val="555555"/>
          <w:sz w:val="22"/>
          <w:szCs w:val="22"/>
        </w:rPr>
        <w:t xml:space="preserve">Predictive Maintenance — Remaining Useful Life (RUL) Prediction</w:t>
      </w:r>
    </w:p>
    <w:p>
      <w:pPr>
        <w:pBdr>
          <w:bottom w:val="single" w:color="DDDDDD" w:sz="4" w:space="1"/>
        </w:pBdr>
        <w:spacing w:before="200" w:after="200"/>
      </w:pPr>
      <w:r>
        <w:t xml:space="preserve"/>
      </w:r>
    </w:p>
    <w:p>
      <w:pPr>
        <w:pStyle w:val="Heading1"/>
        <w:spacing w:before="320" w:after="120"/>
      </w:pPr>
      <w:r>
        <w:rPr>
          <w:b/>
          <w:bCs/>
        </w:rPr>
        <w:t xml:space="preserve">1. Dataset Overview</w:t>
      </w:r>
    </w:p>
    <w:p>
      <w:pPr>
        <w:spacing w:after="160"/>
      </w:pPr>
      <w:r>
        <w:rPr>
          <w:sz w:val="22"/>
          <w:szCs w:val="22"/>
        </w:rPr>
        <w:t xml:space="preserve">The CMAPSS FD001 training dataset contains 20,631 rows and 26 columns across 100 unique engines, with zero missing values. Each row represents one operational cycle of one engine. All 26 columns are fully populated, making this a clean dataset with no imputation required.</w:t>
      </w:r>
    </w:p>
    <w:p>
      <w:pPr>
        <w:spacing w:after="120"/>
      </w:pPr>
      <w:r>
        <w:rPr>
          <w:b/>
          <w:bCs/>
          <w:sz w:val="22"/>
          <w:szCs w:val="22"/>
        </w:rPr>
        <w:t xml:space="preserve">Key figures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Note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Total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20,631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Engine-cycle observations</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Total Columns</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26</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Before feature removal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Unique Engines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Independent lifecycles</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Missing Values</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0</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No imputation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Data Types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22 float64, 4 int64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All numeric — ML ready</w:t>
            </w:r>
          </w:p>
        </w:tc>
      </w:tr>
    </w:tbl>
    <w:p>
      <w:pPr>
        <w:spacing w:before="240" w:after="160"/>
      </w:pPr>
      <w:r>
        <w:rPr>
          <w:b/>
          <w:bCs/>
          <w:sz w:val="22"/>
          <w:szCs w:val="22"/>
        </w:rPr>
        <w:t xml:space="preserve">Operational Settings</w:t>
      </w:r>
    </w:p>
    <w:p>
      <w:pPr>
        <w:spacing w:after="160"/>
      </w:pPr>
      <w:r>
        <w:rPr>
          <w:sz w:val="22"/>
          <w:szCs w:val="22"/>
        </w:rPr>
        <w:t xml:space="preserve">Setting 1 and Setting 2 are near-zero with tiny standard deviations (0.002 and 0.0003 respectively), indicating FD001 is a single operating condition dataset. Setting 3 is completely constant at 100.0 across all rows. This means operating conditions introduce no meaningful variance — all engines run under essentially identical conditions, simplifying the modeling task compared to multi-condition subsets (FD002–FD004).</w:t>
      </w:r>
    </w:p>
    <w:p>
      <w:pPr>
        <w:pBdr>
          <w:bottom w:val="single" w:color="DDDDDD" w:sz="4" w:space="1"/>
        </w:pBdr>
        <w:spacing w:before="200" w:after="200"/>
      </w:pPr>
      <w:r>
        <w:t xml:space="preserve"/>
      </w:r>
    </w:p>
    <w:p>
      <w:pPr>
        <w:pStyle w:val="Heading1"/>
        <w:spacing w:before="320" w:after="120"/>
      </w:pPr>
      <w:r>
        <w:rPr>
          <w:b/>
          <w:bCs/>
        </w:rPr>
        <w:t xml:space="preserve">2. Engine Lifecycle Distribution</w:t>
      </w:r>
    </w:p>
    <w:p>
      <w:pPr>
        <w:spacing w:after="160"/>
      </w:pPr>
      <w:r>
        <w:rPr>
          <w:sz w:val="22"/>
          <w:szCs w:val="22"/>
        </w:rPr>
        <w:t xml:space="preserve">Each engine runs from a healthy state until failure. The number of cycles before failure varies significantly across engines, reflecting real-world variability in component durability.</w:t>
      </w:r>
    </w:p>
    <w:p>
      <w:pPr>
        <w:jc w:val="center"/>
      </w:pPr>
      <w:r>
        <w:drawing>
          <wp:inline distT="0" distB="0" distL="0" distR="0">
            <wp:extent cx="54864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86400" cy="3057525"/>
                    </a:xfrm>
                    <a:prstGeom prst="rect">
                      <a:avLst/>
                    </a:prstGeom>
                  </pic:spPr>
                </pic:pic>
              </a:graphicData>
            </a:graphic>
          </wp:inline>
        </w:drawing>
      </w:r>
    </w:p>
    <w:p>
      <w:pPr>
        <w:spacing w:after="240"/>
        <w:jc w:val="center"/>
      </w:pPr>
      <w:r>
        <w:rPr>
          <w:i/>
          <w:iCs/>
          <w:color w:val="555555"/>
          <w:sz w:val="20"/>
          <w:szCs w:val="20"/>
        </w:rPr>
        <w:t xml:space="preserve">Figure 1 — Distribution of Engine Life Cycles (max cycle before failure per engine)</w:t>
      </w:r>
    </w:p>
    <w:p>
      <w:pPr>
        <w:spacing w:before="200" w:after="120"/>
      </w:pPr>
      <w:r>
        <w:rPr>
          <w:b/>
          <w:bCs/>
          <w:sz w:val="22"/>
          <w:szCs w:val="22"/>
        </w:rPr>
        <w:t xml:space="preserve">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Mean Lifespan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206.3 cycles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Typical engine lasts ~206 cycles</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Min Lifespan</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128 cycles</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Shortest-lived engine in dataset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Max Lifespan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362 cycles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Longest-lived engine — nearly 3× the minimum</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Range</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234 cycles</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Wide spread indicates real degradation variability</w:t>
            </w:r>
          </w:p>
        </w:tc>
      </w:tr>
    </w:tbl>
    <w:p>
      <w:pPr>
        <w:spacing w:before="240" w:after="120"/>
      </w:pPr>
      <w:r>
        <w:rPr>
          <w:b/>
          <w:bCs/>
          <w:sz w:val="22"/>
          <w:szCs w:val="22"/>
        </w:rPr>
        <w:t xml:space="preserve">What the histogram tells us:</w:t>
      </w:r>
    </w:p>
    <w:p>
      <w:pPr>
        <w:pStyle w:val="ListParagraph"/>
        <w:numPr>
          <w:ilvl w:val="0"/>
          <w:numId w:val="2"/>
        </w:numPr>
        <w:spacing w:after="80"/>
      </w:pPr>
      <w:r>
        <w:rPr>
          <w:sz w:val="22"/>
          <w:szCs w:val="22"/>
        </w:rPr>
        <w:t xml:space="preserve">The distribution is right-skewed — most engines cluster between 150–220 cycles, with a long tail extending to 362 cycles.</w:t>
      </w:r>
    </w:p>
    <w:p>
      <w:pPr>
        <w:pStyle w:val="ListParagraph"/>
        <w:numPr>
          <w:ilvl w:val="0"/>
          <w:numId w:val="2"/>
        </w:numPr>
        <w:spacing w:after="80"/>
      </w:pPr>
      <w:r>
        <w:rPr>
          <w:sz w:val="22"/>
          <w:szCs w:val="22"/>
        </w:rPr>
        <w:t xml:space="preserve">The mode (most common lifespan) falls around 190–210 cycles, creating a clear central peak.</w:t>
      </w:r>
    </w:p>
    <w:p>
      <w:pPr>
        <w:pStyle w:val="ListParagraph"/>
        <w:numPr>
          <w:ilvl w:val="0"/>
          <w:numId w:val="2"/>
        </w:numPr>
        <w:spacing w:after="80"/>
      </w:pPr>
      <w:r>
        <w:rPr>
          <w:sz w:val="22"/>
          <w:szCs w:val="22"/>
        </w:rPr>
        <w:t xml:space="preserve">A small group of engines (roughly 10–12) survive well beyond 250 cycles, forming the right tail — these are "outlier-long" engines that may have been manufactured with better tolerances or operated more gently.</w:t>
      </w:r>
    </w:p>
    <w:p>
      <w:pPr>
        <w:pStyle w:val="ListParagraph"/>
        <w:numPr>
          <w:ilvl w:val="0"/>
          <w:numId w:val="2"/>
        </w:numPr>
        <w:spacing w:after="80"/>
      </w:pPr>
      <w:r>
        <w:rPr>
          <w:sz w:val="22"/>
          <w:szCs w:val="22"/>
        </w:rPr>
        <w:t xml:space="preserve">This variability is important: a model that only learned a fixed RUL from the mean would fail badly on short-lived (128-cycle) and long-lived (362-cycle) engines. The model must learn degradation rate, not just average lifespan.</w:t>
      </w:r>
    </w:p>
    <w:p>
      <w:pPr>
        <w:pBdr>
          <w:bottom w:val="single" w:color="DDDDDD" w:sz="4" w:space="1"/>
        </w:pBdr>
        <w:spacing w:before="200" w:after="200"/>
      </w:pPr>
      <w:r>
        <w:t xml:space="preserve"/>
      </w:r>
    </w:p>
    <w:p>
      <w:pPr>
        <w:pStyle w:val="Heading1"/>
        <w:spacing w:before="320" w:after="120"/>
      </w:pPr>
      <w:r>
        <w:rPr>
          <w:b/>
          <w:bCs/>
        </w:rPr>
        <w:t xml:space="preserve">3. RUL — Construction, Distribution, and Clipping</w:t>
      </w:r>
    </w:p>
    <w:p>
      <w:pPr>
        <w:spacing w:after="160"/>
      </w:pPr>
      <w:r>
        <w:rPr>
          <w:sz w:val="22"/>
          <w:szCs w:val="22"/>
        </w:rPr>
        <w:t xml:space="preserve">RUL is computed as: RUL = max_cycle_for_engine − current_cycle. At the first cycle, RUL equals the total lifespan. At the final cycle before failure, RUL = 0.</w:t>
      </w:r>
    </w:p>
    <w:p>
      <w:pPr>
        <w:pStyle w:val="Heading2"/>
        <w:spacing w:before="320" w:after="120"/>
      </w:pPr>
      <w:r>
        <w:rPr>
          <w:b/>
          <w:bCs/>
        </w:rPr>
        <w:t xml:space="preserve">3a. RUL Distribution — Before Clipping</w:t>
      </w:r>
    </w:p>
    <w:p>
      <w:pPr>
        <w:jc w:val="center"/>
      </w:pPr>
      <w:r>
        <w:drawing>
          <wp:inline distT="0" distB="0" distL="0" distR="0">
            <wp:extent cx="50292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400425"/>
                    </a:xfrm>
                    <a:prstGeom prst="rect">
                      <a:avLst/>
                    </a:prstGeom>
                  </pic:spPr>
                </pic:pic>
              </a:graphicData>
            </a:graphic>
          </wp:inline>
        </w:drawing>
      </w:r>
    </w:p>
    <w:p>
      <w:pPr>
        <w:spacing w:after="240"/>
        <w:jc w:val="center"/>
      </w:pPr>
      <w:r>
        <w:rPr>
          <w:i/>
          <w:iCs/>
          <w:color w:val="555555"/>
          <w:sz w:val="20"/>
          <w:szCs w:val="20"/>
        </w:rPr>
        <w:t xml:space="preserve">Figure 2 — RUL Distribution before clipping (raw, unmodified)</w:t>
      </w:r>
    </w:p>
    <w:p>
      <w:pPr>
        <w:spacing w:after="160"/>
      </w:pPr>
      <w:r>
        <w:rPr>
          <w:sz w:val="22"/>
          <w:szCs w:val="22"/>
        </w:rPr>
        <w:t xml:space="preserve">The raw RUL distribution is left-skewed with a near-uniform spread from 0 to ~150, then a gradual tail extending to ~360. This shape arises naturally: every cycle from 0 to max_cycle is equally represented, but longer-lived engines contribute observations at higher RUL values. The distribution being dense at low RUL values (0–150) reflects the fact that all 100 engines contribute observations in that range, while only the longest-lived engines contribute data points above 250.</w:t>
      </w:r>
    </w:p>
    <w:p>
      <w:pPr>
        <w:pStyle w:val="Heading2"/>
        <w:spacing w:before="320" w:after="120"/>
      </w:pPr>
      <w:r>
        <w:rPr>
          <w:b/>
          <w:bCs/>
        </w:rPr>
        <w:t xml:space="preserve">3b. RUL Clipping at 125</w:t>
      </w:r>
    </w:p>
    <w:p>
      <w:pPr>
        <w:spacing w:after="160"/>
      </w:pPr>
      <w:r>
        <w:rPr>
          <w:sz w:val="22"/>
          <w:szCs w:val="22"/>
        </w:rPr>
        <w:t xml:space="preserve">A threshold of RUL = 125 cycles is applied. Any RUL value above 125 is capped at 125. This is a standard technique in CMAPSS literature grounded in the following reasoning:</w:t>
      </w:r>
    </w:p>
    <w:p>
      <w:pPr>
        <w:pStyle w:val="ListParagraph"/>
        <w:numPr>
          <w:ilvl w:val="0"/>
          <w:numId w:val="2"/>
        </w:numPr>
        <w:spacing w:after="80"/>
      </w:pPr>
      <w:r>
        <w:rPr>
          <w:sz w:val="22"/>
          <w:szCs w:val="22"/>
        </w:rPr>
        <w:t xml:space="preserve">Early in an engine's life, degradation signals are not yet detectable in the sensor data — the engine behaves identically whether it has 300 or 126 cycles remaining.</w:t>
      </w:r>
    </w:p>
    <w:p>
      <w:pPr>
        <w:pStyle w:val="ListParagraph"/>
        <w:numPr>
          <w:ilvl w:val="0"/>
          <w:numId w:val="2"/>
        </w:numPr>
        <w:spacing w:after="80"/>
      </w:pPr>
      <w:r>
        <w:rPr>
          <w:sz w:val="22"/>
          <w:szCs w:val="22"/>
        </w:rPr>
        <w:t xml:space="preserve">Predicting specific high RUL values (e.g., RUL = 287) from early-life sensor readings would be noisy and unreliable. The model cannot distinguish "very healthy" states from each other.</w:t>
      </w:r>
    </w:p>
    <w:p>
      <w:pPr>
        <w:pStyle w:val="ListParagraph"/>
        <w:numPr>
          <w:ilvl w:val="0"/>
          <w:numId w:val="2"/>
        </w:numPr>
        <w:spacing w:after="80"/>
      </w:pPr>
      <w:r>
        <w:rPr>
          <w:sz w:val="22"/>
          <w:szCs w:val="22"/>
        </w:rPr>
        <w:t xml:space="preserve">Capping at 125 focuses the model on the actionable regime — the window where degradation is actually progressing and where maintenance decisions matter most.</w:t>
      </w:r>
    </w:p>
    <w:p>
      <w:pPr>
        <w:jc w:val="center"/>
      </w:pPr>
      <w:r>
        <w:drawing>
          <wp:inline distT="0" distB="0" distL="0" distR="0">
            <wp:extent cx="50292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362325"/>
                    </a:xfrm>
                    <a:prstGeom prst="rect">
                      <a:avLst/>
                    </a:prstGeom>
                  </pic:spPr>
                </pic:pic>
              </a:graphicData>
            </a:graphic>
          </wp:inline>
        </w:drawing>
      </w:r>
    </w:p>
    <w:p>
      <w:pPr>
        <w:spacing w:after="240"/>
        <w:jc w:val="center"/>
      </w:pPr>
      <w:r>
        <w:rPr>
          <w:i/>
          <w:iCs/>
          <w:color w:val="555555"/>
          <w:sz w:val="20"/>
          <w:szCs w:val="20"/>
        </w:rPr>
        <w:t xml:space="preserve">Figure 3 — RUL Distribution after clipping at 125</w:t>
      </w:r>
    </w:p>
    <w:p>
      <w:pPr>
        <w:spacing w:after="160"/>
      </w:pPr>
      <w:r>
        <w:rPr>
          <w:sz w:val="22"/>
          <w:szCs w:val="22"/>
        </w:rPr>
        <w:t xml:space="preserve">After clipping, the large spike at RUL = 125 (approximately 8,300 rows) represents all early-life observations that were collapsed to the cap. The remaining bins (0–124) are roughly uniform at ~200–300 observations each. This is expected and intentional.</w:t>
      </w:r>
    </w:p>
    <w:p>
      <w:pPr>
        <w:spacing w:before="200" w:after="120"/>
      </w:pPr>
      <w:r>
        <w:rPr>
          <w:b/>
          <w:bCs/>
          <w:sz w:val="22"/>
          <w:szCs w:val="22"/>
        </w:rPr>
        <w:t xml:space="preserve">Post-clipping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Statistic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Mean RUL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86.8 cycles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Average observation is ~87 cycles from failure</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Std Dev</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41.7 cycles</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High spread — diverse degradation stages present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Median (50th pct)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103 cycles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Over half of observations still above RUL = 100</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75th Percentile</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125 cycles</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Top 25% are all capped at the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Min RUL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0 cycles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Final cycle before failure present in data</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Max RUL</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125 cycles</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Confirmed cap applied correctly</w:t>
            </w:r>
          </w:p>
        </w:tc>
      </w:tr>
    </w:tbl>
    <w:p>
      <w:pPr>
        <w:pBdr>
          <w:bottom w:val="single" w:color="DDDDDD" w:sz="4" w:space="1"/>
        </w:pBdr>
        <w:spacing w:before="200" w:after="200"/>
      </w:pPr>
      <w:r>
        <w:t xml:space="preserve"/>
      </w:r>
    </w:p>
    <w:p>
      <w:pPr>
        <w:pStyle w:val="Heading1"/>
        <w:spacing w:before="320" w:after="120"/>
      </w:pPr>
      <w:r>
        <w:rPr>
          <w:b/>
          <w:bCs/>
        </w:rPr>
        <w:t xml:space="preserve">4. Dead Sensor Detection and Removal</w:t>
      </w:r>
    </w:p>
    <w:p>
      <w:pPr>
        <w:spacing w:after="160"/>
      </w:pPr>
      <w:r>
        <w:rPr>
          <w:sz w:val="22"/>
          <w:szCs w:val="22"/>
        </w:rPr>
        <w:t xml:space="preserve">Seven sensors were identified as constant across all 20,631 rows — they carry zero information about engine degradation and would only add noise to any model.</w:t>
      </w:r>
    </w:p>
    <w:p>
      <w:pPr>
        <w:spacing w:after="120"/>
      </w:pPr>
      <w:r>
        <w:rPr>
          <w:b/>
          <w:bCs/>
          <w:sz w:val="22"/>
          <w:szCs w:val="22"/>
        </w:rPr>
        <w:t xml:space="preserve">Identified dead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Sensor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Constant 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Physical 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setting_3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100.0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Altitude/condition — fixed for FD001 subset</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T2</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518.67</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Total temperature at fan inlet — no degradation signal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14.62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Total pressure at fan inlet — ambient, unchanged</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epr</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1.3</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Engine pressure ratio — fixed operating 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farB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0.03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Burner fuel-air ratio — held constant</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Nf_dmd</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2388</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Demanded fan speed — fixed setpoint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PCNfR_dmd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100.0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Demanded corrected fan speed — fixed setpoint</w:t>
            </w:r>
          </w:p>
        </w:tc>
      </w:tr>
    </w:tbl>
    <w:p>
      <w:pPr>
        <w:pStyle w:val="Heading2"/>
        <w:spacing w:before="320" w:after="120"/>
      </w:pPr>
      <w:r>
        <w:rPr>
          <w:b/>
          <w:bCs/>
        </w:rPr>
        <w:t xml:space="preserve">Example: P2 — A Dead Sensor</w:t>
      </w:r>
    </w:p>
    <w:p>
      <w:pPr>
        <w:jc w:val="center"/>
      </w:pPr>
      <w:r>
        <w:drawing>
          <wp:inline distT="0" distB="0" distL="0" distR="0">
            <wp:extent cx="54864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62275"/>
                    </a:xfrm>
                    <a:prstGeom prst="rect">
                      <a:avLst/>
                    </a:prstGeom>
                  </pic:spPr>
                </pic:pic>
              </a:graphicData>
            </a:graphic>
          </wp:inline>
        </w:drawing>
      </w:r>
    </w:p>
    <w:p>
      <w:pPr>
        <w:spacing w:after="240"/>
        <w:jc w:val="center"/>
      </w:pPr>
      <w:r>
        <w:rPr>
          <w:i/>
          <w:iCs/>
          <w:color w:val="555555"/>
          <w:sz w:val="20"/>
          <w:szCs w:val="20"/>
        </w:rPr>
        <w:t xml:space="preserve">Figure 4 — P2 sensor over 192 cycles for Engine 1 (perfectly flat — zero information)</w:t>
      </w:r>
    </w:p>
    <w:p>
      <w:pPr>
        <w:spacing w:after="160"/>
      </w:pPr>
      <w:r>
        <w:rPr>
          <w:sz w:val="22"/>
          <w:szCs w:val="22"/>
        </w:rPr>
        <w:t xml:space="preserve">P2 flatlines at exactly 14.62 across all 192 cycles for Engine 1 — and identically for every other engine. Including this in a model would waste a feature slot and potentially confuse tree-based models by generating uninformative splits. All 7 dead sensors were dropped, reducing the dataset from 26 to 19 columns.</w:t>
      </w:r>
    </w:p>
    <w:p>
      <w:pPr>
        <w:pBdr>
          <w:bottom w:val="single" w:color="DDDDDD" w:sz="4" w:space="1"/>
        </w:pBdr>
        <w:spacing w:before="200" w:after="200"/>
      </w:pPr>
      <w:r>
        <w:t xml:space="preserve"/>
      </w:r>
    </w:p>
    <w:p>
      <w:pPr>
        <w:pStyle w:val="Heading1"/>
        <w:spacing w:before="320" w:after="120"/>
      </w:pPr>
      <w:r>
        <w:rPr>
          <w:b/>
          <w:bCs/>
        </w:rPr>
        <w:t xml:space="preserve">5. Active Sensor Trend — Ps30 (Static Pressure at HPC Outlet)</w:t>
      </w:r>
    </w:p>
    <w:p>
      <w:pPr>
        <w:jc w:val="center"/>
      </w:pPr>
      <w:r>
        <w:drawing>
          <wp:inline distT="0" distB="0" distL="0" distR="0">
            <wp:extent cx="54864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62275"/>
                    </a:xfrm>
                    <a:prstGeom prst="rect">
                      <a:avLst/>
                    </a:prstGeom>
                  </pic:spPr>
                </pic:pic>
              </a:graphicData>
            </a:graphic>
          </wp:inline>
        </w:drawing>
      </w:r>
    </w:p>
    <w:p>
      <w:pPr>
        <w:spacing w:after="240"/>
        <w:jc w:val="center"/>
      </w:pPr>
      <w:r>
        <w:rPr>
          <w:i/>
          <w:iCs/>
          <w:color w:val="555555"/>
          <w:sz w:val="20"/>
          <w:szCs w:val="20"/>
        </w:rPr>
        <w:t xml:space="preserve">Figure 5 — Ps30 trend over 192 cycles for Engine 1 (clear upward degradation trend)</w:t>
      </w:r>
    </w:p>
    <w:p>
      <w:pPr>
        <w:spacing w:after="160"/>
      </w:pPr>
      <w:r>
        <w:rPr>
          <w:sz w:val="22"/>
          <w:szCs w:val="22"/>
        </w:rPr>
        <w:t xml:space="preserve">Ps30 shows the hallmark signature of a meaningful degradation sensor: a noisy but clearly increasing trend over the engine's life. Key observations:</w:t>
      </w:r>
    </w:p>
    <w:p>
      <w:pPr>
        <w:pStyle w:val="ListParagraph"/>
        <w:numPr>
          <w:ilvl w:val="0"/>
          <w:numId w:val="2"/>
        </w:numPr>
        <w:spacing w:after="80"/>
      </w:pPr>
      <w:r>
        <w:rPr>
          <w:sz w:val="22"/>
          <w:szCs w:val="22"/>
        </w:rPr>
        <w:t xml:space="preserve">Cycle 1–80 (early life): Ps30 oscillates tightly between 47.1 and 47.6 — the engine is healthy and readings are stable with only random noise.</w:t>
      </w:r>
    </w:p>
    <w:p>
      <w:pPr>
        <w:pStyle w:val="ListParagraph"/>
        <w:numPr>
          <w:ilvl w:val="0"/>
          <w:numId w:val="2"/>
        </w:numPr>
        <w:spacing w:after="80"/>
      </w:pPr>
      <w:r>
        <w:rPr>
          <w:sz w:val="22"/>
          <w:szCs w:val="22"/>
        </w:rPr>
        <w:t xml:space="preserve">Cycle 80–130 (transition): The oscillations begin shifting upward, with readings increasingly crossing 47.5 and the floor of the noise band rising.</w:t>
      </w:r>
    </w:p>
    <w:p>
      <w:pPr>
        <w:pStyle w:val="ListParagraph"/>
        <w:numPr>
          <w:ilvl w:val="0"/>
          <w:numId w:val="2"/>
        </w:numPr>
        <w:spacing w:after="80"/>
      </w:pPr>
      <w:r>
        <w:rPr>
          <w:sz w:val="22"/>
          <w:szCs w:val="22"/>
        </w:rPr>
        <w:t xml:space="preserve">Cycle 130–192 (late degradation): A clear monotonic upward trend emerges. By the final cycles, Ps30 reaches 48.2–48.4, roughly 1.5–2% above its baseline — a statistically meaningful shift.</w:t>
      </w:r>
    </w:p>
    <w:p>
      <w:pPr>
        <w:pStyle w:val="ListParagraph"/>
        <w:numPr>
          <w:ilvl w:val="0"/>
          <w:numId w:val="2"/>
        </w:numPr>
        <w:spacing w:after="80"/>
      </w:pPr>
      <w:r>
        <w:rPr>
          <w:sz w:val="22"/>
          <w:szCs w:val="22"/>
        </w:rPr>
        <w:t xml:space="preserve">This pattern — noise on top of a drifting mean — is exactly why rolling mean and rolling slope features were engineered. The rolling mean captures the rising baseline; the rolling slope captures the acceleration of that rise near end-of-life.</w:t>
      </w:r>
    </w:p>
    <w:p>
      <w:pPr>
        <w:spacing w:after="160"/>
      </w:pPr>
      <w:r>
        <w:rPr>
          <w:sz w:val="22"/>
          <w:szCs w:val="22"/>
        </w:rPr>
        <w:t xml:space="preserve">Ps30's correlation with RUL is −0.78 (the strongest negative correlation in the dataset), which is consistent with this visual: as Ps30 rises, RUL falls. This sensor is the single best raw predictor of remaining life in FD001.</w:t>
      </w:r>
    </w:p>
    <w:p>
      <w:pPr>
        <w:pBdr>
          <w:bottom w:val="single" w:color="DDDDDD" w:sz="4" w:space="1"/>
        </w:pBdr>
        <w:spacing w:before="200" w:after="200"/>
      </w:pPr>
      <w:r>
        <w:t xml:space="preserve"/>
      </w:r>
    </w:p>
    <w:p>
      <w:pPr>
        <w:pStyle w:val="Heading1"/>
        <w:spacing w:before="320" w:after="120"/>
      </w:pPr>
      <w:r>
        <w:rPr>
          <w:b/>
          <w:bCs/>
        </w:rPr>
        <w:t xml:space="preserve">6. Correlation Analysis — Sensors vs. RUL</w:t>
      </w:r>
    </w:p>
    <w:p>
      <w:pPr>
        <w:pStyle w:val="Heading2"/>
        <w:spacing w:before="320" w:after="120"/>
      </w:pPr>
      <w:r>
        <w:rPr>
          <w:b/>
          <w:bCs/>
        </w:rPr>
        <w:t xml:space="preserve">6a. Before Dead Sensor Removal</w:t>
      </w:r>
    </w:p>
    <w:p>
      <w:pPr>
        <w:jc w:val="center"/>
      </w:pPr>
      <w:r>
        <w:drawing>
          <wp:inline distT="0" distB="0" distL="0" distR="0">
            <wp:extent cx="4572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305175"/>
                    </a:xfrm>
                    <a:prstGeom prst="rect">
                      <a:avLst/>
                    </a:prstGeom>
                  </pic:spPr>
                </pic:pic>
              </a:graphicData>
            </a:graphic>
          </wp:inline>
        </w:drawing>
      </w:r>
    </w:p>
    <w:p>
      <w:pPr>
        <w:spacing w:after="240"/>
        <w:jc w:val="center"/>
      </w:pPr>
      <w:r>
        <w:rPr>
          <w:i/>
          <w:iCs/>
          <w:color w:val="555555"/>
          <w:sz w:val="20"/>
          <w:szCs w:val="20"/>
        </w:rPr>
        <w:t xml:space="preserve">Figure 6 — Correlation of all features with RUL (including constant sensors)</w:t>
      </w:r>
    </w:p>
    <w:p>
      <w:pPr>
        <w:pStyle w:val="Heading2"/>
        <w:spacing w:before="320" w:after="120"/>
      </w:pPr>
      <w:r>
        <w:rPr>
          <w:b/>
          <w:bCs/>
        </w:rPr>
        <w:t xml:space="preserve">6b. After Dead Sensor Removal (Clean View)</w:t>
      </w:r>
    </w:p>
    <w:p>
      <w:pPr>
        <w:jc w:val="center"/>
      </w:pPr>
      <w:r>
        <w:drawing>
          <wp:inline distT="0" distB="0" distL="0" distR="0">
            <wp:extent cx="4572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305175"/>
                    </a:xfrm>
                    <a:prstGeom prst="rect">
                      <a:avLst/>
                    </a:prstGeom>
                  </pic:spPr>
                </pic:pic>
              </a:graphicData>
            </a:graphic>
          </wp:inline>
        </w:drawing>
      </w:r>
    </w:p>
    <w:p>
      <w:pPr>
        <w:spacing w:after="240"/>
        <w:jc w:val="center"/>
      </w:pPr>
      <w:r>
        <w:rPr>
          <w:i/>
          <w:iCs/>
          <w:color w:val="555555"/>
          <w:sz w:val="20"/>
          <w:szCs w:val="20"/>
        </w:rPr>
        <w:t xml:space="preserve">Figure 7 — Correlation of remaining features with RUL (dead sensors removed)</w:t>
      </w:r>
    </w:p>
    <w:p>
      <w:pPr>
        <w:spacing w:after="160"/>
      </w:pPr>
      <w:r>
        <w:rPr>
          <w:sz w:val="22"/>
          <w:szCs w:val="22"/>
        </w:rPr>
        <w:t xml:space="preserve">The two heatmaps are visually identical in values because constant features have undefined or zero correlation — their removal does not alter the other correlations. However, the clean version (Figure 7) is the operationally relevant one. Key interpretations:</w:t>
      </w:r>
    </w:p>
    <w:p>
      <w:pPr>
        <w:spacing w:before="200" w:after="120"/>
      </w:pPr>
      <w:r>
        <w:rPr>
          <w:b/>
          <w:bCs/>
          <w:sz w:val="22"/>
          <w:szCs w:val="22"/>
        </w:rPr>
        <w:t xml:space="preserve">Strong Negative Correlations (as engine degrades, RUL 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Sensor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Correlation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Physical 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Ps30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−0.78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Static pressure at HPC outlet — rises with blade wear; strongest predictor</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T50</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−0.76</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Total temp at LPT outlet — rises as turbine efficiency drops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−0.75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Direct proxy for lifecycle progress — expected strong relationship</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BPR</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−0.72</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Bypass ratio — changes as engine thermodynamics shift with wear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htBleed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−0.68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Bleed enthalpy — indicates combustor/turbine health degradation</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T24</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−0.68</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Total temp at LPC outlet — rises with compressor degradation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T30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−0.66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Total temp at HPC outlet — reflects compressor work increase</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Nf / NRf</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−0.62</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Fan speed signals — reflect rotational dynamics under wear</w:t>
            </w:r>
          </w:p>
        </w:tc>
      </w:tr>
    </w:tbl>
    <w:p>
      <w:pPr>
        <w:spacing w:before="200" w:after="120"/>
      </w:pPr>
      <w:r>
        <w:rPr>
          <w:b/>
          <w:bCs/>
          <w:sz w:val="22"/>
          <w:szCs w:val="22"/>
        </w:rPr>
        <w:t xml:space="preserve">Strong Positive Correlations (as values rise, remaining life is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Sensor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Correlation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Physical 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phi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+0.75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Ratio of fuel flow to Ps30 — high when engine is thermally efficient (healthy)</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P30</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+0.73</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Total pressure at HPC outlet — higher when compressor is healthy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W32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+0.71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Coolant bleed flow — reflects cooling system capacity in healthy state</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W31</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+0.70</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Coolant bleed flow — correlated with W32, same pattern</w:t>
            </w:r>
          </w:p>
        </w:tc>
      </w:tr>
    </w:tbl>
    <w:p>
      <w:pPr>
        <w:spacing w:before="200" w:after="120"/>
      </w:pPr>
      <w:r>
        <w:rPr>
          <w:b/>
          <w:bCs/>
          <w:sz w:val="22"/>
          <w:szCs w:val="22"/>
        </w:rPr>
        <w:t xml:space="preserve">Near-Zero / Uninformative Features:</w:t>
      </w:r>
    </w:p>
    <w:p>
      <w:pPr>
        <w:pStyle w:val="ListParagraph"/>
        <w:numPr>
          <w:ilvl w:val="0"/>
          <w:numId w:val="2"/>
        </w:numPr>
        <w:spacing w:after="80"/>
      </w:pPr>
      <w:r>
        <w:rPr>
          <w:sz w:val="22"/>
          <w:szCs w:val="22"/>
        </w:rPr>
        <w:t xml:space="preserve">engine_id (+0.032): Expected — engine ID is just a label, not a physical measurement.</w:t>
      </w:r>
    </w:p>
    <w:p>
      <w:pPr>
        <w:pStyle w:val="ListParagraph"/>
        <w:numPr>
          <w:ilvl w:val="0"/>
          <w:numId w:val="2"/>
        </w:numPr>
        <w:spacing w:after="80"/>
      </w:pPr>
      <w:r>
        <w:rPr>
          <w:sz w:val="22"/>
          <w:szCs w:val="22"/>
        </w:rPr>
        <w:t xml:space="preserve">setting_1 (−0.006) and setting_2 (−0.007): Near-zero correlation, consistent with FD001 being a single-condition dataset. These settings barely vary.</w:t>
      </w:r>
    </w:p>
    <w:p>
      <w:pPr>
        <w:pStyle w:val="ListParagraph"/>
        <w:numPr>
          <w:ilvl w:val="0"/>
          <w:numId w:val="2"/>
        </w:numPr>
        <w:spacing w:after="80"/>
      </w:pPr>
      <w:r>
        <w:rPr>
          <w:sz w:val="22"/>
          <w:szCs w:val="22"/>
        </w:rPr>
        <w:t xml:space="preserve">P15 (−0.11): Weak but non-zero — likely borderline useful.</w:t>
      </w:r>
    </w:p>
    <w:p>
      <w:pPr>
        <w:spacing w:before="200" w:after="160"/>
      </w:pPr>
      <w:r>
        <w:rPr>
          <w:b/>
          <w:bCs/>
          <w:color w:val="1F3864"/>
          <w:sz w:val="22"/>
          <w:szCs w:val="22"/>
        </w:rPr>
        <w:t xml:space="preserve">Key Takeaway:</w:t>
      </w:r>
    </w:p>
    <w:p>
      <w:pPr>
        <w:spacing w:after="160"/>
      </w:pPr>
      <w:r>
        <w:rPr>
          <w:sz w:val="22"/>
          <w:szCs w:val="22"/>
        </w:rPr>
        <w:t xml:space="preserve">The strongest predictors cluster around thermodynamic efficiency metrics — temperatures (T24, T30, T50) and pressures (P30, Ps30). As engines degrade, internal temperatures rise and pressure distributions shift due to blade erosion, tip clearance growth, and fouling. This is physically coherent: the sensor correlations directly reflect the thermodynamic degradation pathway of a turbofan engine.</w:t>
      </w:r>
    </w:p>
    <w:p>
      <w:pPr>
        <w:spacing w:after="160"/>
      </w:pPr>
      <w:r>
        <w:rPr>
          <w:sz w:val="22"/>
          <w:szCs w:val="22"/>
        </w:rPr>
        <w:t xml:space="preserve">A model trained on these features is learning genuine physics, not spurious patterns — which gives confidence that predictive accuracy will generalize beyond this specific dataset.</w:t>
      </w:r>
    </w:p>
    <w:p>
      <w:pPr>
        <w:pBdr>
          <w:bottom w:val="single" w:color="DDDDDD" w:sz="4" w:space="1"/>
        </w:pBdr>
        <w:spacing w:before="200" w:after="200"/>
      </w:pPr>
      <w:r>
        <w:t xml:space="preserve"/>
      </w:r>
    </w:p>
    <w:p>
      <w:pPr>
        <w:pStyle w:val="Heading1"/>
        <w:spacing w:before="320" w:after="120"/>
      </w:pPr>
      <w:r>
        <w:rPr>
          <w:b/>
          <w:bCs/>
        </w:rPr>
        <w:t xml:space="preserve">7. EDA Summary — What We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Finding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b/>
                <w:bCs/>
                <w:color w:val="FFFFFF"/>
                <w:sz w:val="20"/>
                <w:szCs w:val="20"/>
              </w:rPr>
              <w:t xml:space="preserve">Action Taken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7 sensors are perfectly constant (dead)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Dropped — reduce noise and dimensionality</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FD001 is single operating condition</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No condition-based grouping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Engine lifespans vary widely (128–362 cycles)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Model must learn rate, not just average duration</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RUL early-life labels are unreliable</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Clip RUL at 125 — focus on actionable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Ps30, T50, T24, phi are top predictors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Prioritize these in feature engineering</w:t>
            </w:r>
          </w:p>
        </w:tc>
      </w:tr>
      <w:tr>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Degradation is gradual and noisy</w:t>
            </w:r>
          </w:p>
        </w:tc>
        <w:tc>
          <w:tcPr>
            <w:tcW w:type="dxa" w:w="312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pPr>
              <w:jc w:val="center"/>
            </w:pPr>
            <w:r>
              <w:rPr>
                <w:b w:val="false"/>
                <w:bCs w:val="false"/>
                <w:color w:val="000000"/>
                <w:sz w:val="22"/>
                <w:szCs w:val="22"/>
              </w:rPr>
              <w:t xml:space="preserve">Rolling mean + rolling slope features are essential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All sensors are numeric, no missing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000000"/>
                <w:sz w:val="22"/>
                <w:szCs w:val="22"/>
              </w:rPr>
              <w:t xml:space="preserve">No imputation or encoding required — clean pipeline</w:t>
            </w:r>
          </w:p>
        </w:tc>
      </w:tr>
    </w:tbl>
    <w:p>
      <w:pPr>
        <w:spacing w:before="30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00" w:after="120"/>
      <w:outlineLvl w:val="1"/>
    </w:pPr>
    <w:rPr>
      <w:rFonts w:ascii="Calibri" w:cs="Calibri" w:eastAsia="Calibri" w:hAnsi="Calibri"/>
      <w:b/>
      <w:bCs/>
      <w:color w:val="2E5D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ce7205a56dc711461caea03c39732b9d5327e32.png"/><Relationship Id="rId7" Type="http://schemas.openxmlformats.org/officeDocument/2006/relationships/image" Target="media/ca2390a300ce759c805dbc2f8921ed9e3f55ff54.png"/><Relationship Id="rId8" Type="http://schemas.openxmlformats.org/officeDocument/2006/relationships/image" Target="media/12fe44272439cba182e1a3647b94543abb7ea54d.png"/><Relationship Id="rId9" Type="http://schemas.openxmlformats.org/officeDocument/2006/relationships/image" Target="media/a70571d562eec0abcdcf2dd3dc1dcc7952e026fe.png"/><Relationship Id="rId10" Type="http://schemas.openxmlformats.org/officeDocument/2006/relationships/image" Target="media/962bf076b06e35b49bd2f147093b4ad021c50986.png"/><Relationship Id="rId11" Type="http://schemas.openxmlformats.org/officeDocument/2006/relationships/image" Target="media/2cd9e1a5384d20f297f6cac2cfac7dbf1d0202a5.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2026-03-03T12:33:35.429Z</dcterms:created>
  <dcterms:modified xsi:type="dcterms:W3CDTF">2026-03-03T12:33:35.431Z</dcterms:modified>
</cp:coreProperties>
</file>

<file path=docProps/custom.xml><?xml version="1.0" encoding="utf-8"?>
<Properties xmlns="http://schemas.openxmlformats.org/officeDocument/2006/custom-properties" xmlns:vt="http://schemas.openxmlformats.org/officeDocument/2006/docPropsVTypes"/>
</file>