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80"/>
      </w:pPr>
      <w:r>
        <w:rPr>
          <w:rFonts w:ascii="Google Sans" w:hAnsi="Google Sans"/>
          <w:color w:val="1A73E8"/>
        </w:rPr>
        <w:t>Section 1: Structured Literature Review Matrix</w:t>
      </w:r>
    </w:p>
    <w:p>
      <w:pPr>
        <w:pStyle w:val="Heading2"/>
        <w:spacing w:before="120" w:after="80"/>
      </w:pPr>
      <w:r>
        <w:rPr>
          <w:rFonts w:ascii="Google Sans" w:hAnsi="Google Sans"/>
          <w:color w:val="4285F4"/>
          <w:sz w:val="26"/>
        </w:rPr>
        <w:t>Table 1: Paper Overview</w:t>
      </w:r>
    </w:p>
    <w:tbl>
      <w:tblPr>
        <w:jc w:val="center"/>
        <w:tblLook w:firstColumn="1" w:firstRow="1" w:lastColumn="0" w:lastRow="0" w:noHBand="0" w:noVBand="1" w:val="04A0"/>
        <w:tblW w:w="19008" w:type="dxa"/>
        <w:tblLayout w:type="fixed"/>
      </w:tblPr>
      <w:tblGrid>
        <w:gridCol w:w="3168"/>
        <w:gridCol w:w="3168"/>
        <w:gridCol w:w="3168"/>
        <w:gridCol w:w="3168"/>
        <w:gridCol w:w="3168"/>
        <w:gridCol w:w="3168"/>
      </w:tblGrid>
      <w:tr>
        <w:trPr>
          <w:tblHeader/>
        </w:trPr>
        <w:tc>
          <w:tcPr>
            <w:shd w:fill="1A73E8" w:val="clear"/>
            <w:tcBorders>
              <w:top w:val="single" w:sz="6" w:space="0" w:color="1A73E8"/>
              <w:left w:val="single" w:sz="6" w:space="0" w:color="1A73E8"/>
              <w:bottom w:val="single" w:sz="6" w:space="0" w:color="1A73E8"/>
              <w:right w:val="single" w:sz="6" w:space="0" w:color="1A73E8"/>
            </w:tcBorders>
            <w:tcMar>
              <w:top w:w="60" w:type="dxa"/>
              <w:left w:w="60" w:type="dxa"/>
              <w:bottom w:w="60" w:type="dxa"/>
              <w:right w:w="60" w:type="dxa"/>
            </w:tcMar>
            <w:vAlign w:val="center"/>
            <w:tcW w:w="576" w:type="dxa"/>
          </w:tcPr>
          <w:p>
            <w:pPr>
              <w:jc w:val="center"/>
            </w:pPr>
            <w:r/>
            <w:r>
              <w:rPr>
                <w:rFonts w:ascii="Google Sans" w:hAnsi="Google Sans"/>
                <w:b/>
                <w:color w:val="FFFFFF"/>
                <w:sz w:val="20"/>
              </w:rPr>
              <w:t>#</w:t>
            </w:r>
          </w:p>
        </w:tc>
        <w:tc>
          <w:tcPr>
            <w:shd w:fill="1A73E8" w:val="clear"/>
            <w:tcBorders>
              <w:top w:val="single" w:sz="6" w:space="0" w:color="1A73E8"/>
              <w:left w:val="single" w:sz="6" w:space="0" w:color="1A73E8"/>
              <w:bottom w:val="single" w:sz="6" w:space="0" w:color="1A73E8"/>
              <w:right w:val="single" w:sz="6" w:space="0" w:color="1A73E8"/>
            </w:tcBorders>
            <w:tcMar>
              <w:top w:w="60" w:type="dxa"/>
              <w:left w:w="60" w:type="dxa"/>
              <w:bottom w:w="60" w:type="dxa"/>
              <w:right w:w="60" w:type="dxa"/>
            </w:tcMar>
            <w:vAlign w:val="center"/>
            <w:tcW w:w="3456" w:type="dxa"/>
          </w:tcPr>
          <w:p>
            <w:pPr>
              <w:jc w:val="center"/>
            </w:pPr>
            <w:r/>
            <w:r>
              <w:rPr>
                <w:rFonts w:ascii="Google Sans" w:hAnsi="Google Sans"/>
                <w:b/>
                <w:color w:val="FFFFFF"/>
                <w:sz w:val="20"/>
              </w:rPr>
              <w:t>Title</w:t>
            </w:r>
          </w:p>
        </w:tc>
        <w:tc>
          <w:tcPr>
            <w:shd w:fill="1A73E8" w:val="clear"/>
            <w:tcBorders>
              <w:top w:val="single" w:sz="6" w:space="0" w:color="1A73E8"/>
              <w:left w:val="single" w:sz="6" w:space="0" w:color="1A73E8"/>
              <w:bottom w:val="single" w:sz="6" w:space="0" w:color="1A73E8"/>
              <w:right w:val="single" w:sz="6" w:space="0" w:color="1A73E8"/>
            </w:tcBorders>
            <w:tcMar>
              <w:top w:w="60" w:type="dxa"/>
              <w:left w:w="60" w:type="dxa"/>
              <w:bottom w:w="60" w:type="dxa"/>
              <w:right w:w="60" w:type="dxa"/>
            </w:tcMar>
            <w:vAlign w:val="center"/>
            <w:tcW w:w="2880" w:type="dxa"/>
          </w:tcPr>
          <w:p>
            <w:pPr>
              <w:jc w:val="center"/>
            </w:pPr>
            <w:r/>
            <w:r>
              <w:rPr>
                <w:rFonts w:ascii="Google Sans" w:hAnsi="Google Sans"/>
                <w:b/>
                <w:color w:val="FFFFFF"/>
                <w:sz w:val="20"/>
              </w:rPr>
              <w:t>Link</w:t>
            </w:r>
          </w:p>
        </w:tc>
        <w:tc>
          <w:tcPr>
            <w:shd w:fill="1A73E8" w:val="clear"/>
            <w:tcBorders>
              <w:top w:val="single" w:sz="6" w:space="0" w:color="1A73E8"/>
              <w:left w:val="single" w:sz="6" w:space="0" w:color="1A73E8"/>
              <w:bottom w:val="single" w:sz="6" w:space="0" w:color="1A73E8"/>
              <w:right w:val="single" w:sz="6" w:space="0" w:color="1A73E8"/>
            </w:tcBorders>
            <w:tcMar>
              <w:top w:w="60" w:type="dxa"/>
              <w:left w:w="60" w:type="dxa"/>
              <w:bottom w:w="60" w:type="dxa"/>
              <w:right w:w="60" w:type="dxa"/>
            </w:tcMar>
            <w:vAlign w:val="center"/>
            <w:tcW w:w="1440" w:type="dxa"/>
          </w:tcPr>
          <w:p>
            <w:pPr>
              <w:jc w:val="center"/>
            </w:pPr>
            <w:r/>
            <w:r>
              <w:rPr>
                <w:rFonts w:ascii="Google Sans" w:hAnsi="Google Sans"/>
                <w:b/>
                <w:color w:val="FFFFFF"/>
                <w:sz w:val="20"/>
              </w:rPr>
              <w:t>Author (Year)</w:t>
            </w:r>
          </w:p>
        </w:tc>
        <w:tc>
          <w:tcPr>
            <w:shd w:fill="1A73E8" w:val="clear"/>
            <w:tcBorders>
              <w:top w:val="single" w:sz="6" w:space="0" w:color="1A73E8"/>
              <w:left w:val="single" w:sz="6" w:space="0" w:color="1A73E8"/>
              <w:bottom w:val="single" w:sz="6" w:space="0" w:color="1A73E8"/>
              <w:right w:val="single" w:sz="6" w:space="0" w:color="1A73E8"/>
            </w:tcBorders>
            <w:tcMar>
              <w:top w:w="60" w:type="dxa"/>
              <w:left w:w="60" w:type="dxa"/>
              <w:bottom w:w="60" w:type="dxa"/>
              <w:right w:w="60" w:type="dxa"/>
            </w:tcMar>
            <w:vAlign w:val="center"/>
            <w:tcW w:w="5184" w:type="dxa"/>
          </w:tcPr>
          <w:p>
            <w:pPr>
              <w:jc w:val="center"/>
            </w:pPr>
            <w:r/>
            <w:r>
              <w:rPr>
                <w:rFonts w:ascii="Google Sans" w:hAnsi="Google Sans"/>
                <w:b/>
                <w:color w:val="FFFFFF"/>
                <w:sz w:val="20"/>
              </w:rPr>
              <w:t>Objective</w:t>
            </w:r>
          </w:p>
        </w:tc>
        <w:tc>
          <w:tcPr>
            <w:shd w:fill="1A73E8" w:val="clear"/>
            <w:tcBorders>
              <w:top w:val="single" w:sz="6" w:space="0" w:color="1A73E8"/>
              <w:left w:val="single" w:sz="6" w:space="0" w:color="1A73E8"/>
              <w:bottom w:val="single" w:sz="6" w:space="0" w:color="1A73E8"/>
              <w:right w:val="single" w:sz="6" w:space="0" w:color="1A73E8"/>
            </w:tcBorders>
            <w:tcMar>
              <w:top w:w="60" w:type="dxa"/>
              <w:left w:w="60" w:type="dxa"/>
              <w:bottom w:w="60" w:type="dxa"/>
              <w:right w:w="60" w:type="dxa"/>
            </w:tcMar>
            <w:vAlign w:val="center"/>
            <w:tcW w:w="5472" w:type="dxa"/>
          </w:tcPr>
          <w:p>
            <w:pPr>
              <w:jc w:val="center"/>
            </w:pPr>
            <w:r/>
            <w:r>
              <w:rPr>
                <w:rFonts w:ascii="Google Sans" w:hAnsi="Google Sans"/>
                <w:b/>
                <w:color w:val="FFFFFF"/>
                <w:sz w:val="20"/>
              </w:rPr>
              <w:t>Methodology</w:t>
            </w:r>
          </w:p>
        </w:tc>
      </w:tr>
      <w:tr>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 w:type="dxa"/>
          </w:tcPr>
          <w:p>
            <w:pPr>
              <w:spacing w:before="40" w:after="40" w:line="260" w:lineRule="exact"/>
              <w:jc w:val="center"/>
            </w:pPr>
            <w:r/>
            <w:r>
              <w:rPr>
                <w:rFonts w:ascii="Google Sans" w:hAnsi="Google Sans"/>
                <w:b/>
                <w:color w:val="1F1F1F"/>
                <w:sz w:val="18"/>
              </w:rPr>
              <w:t>1</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3456" w:type="dxa"/>
          </w:tcPr>
          <w:p>
            <w:pPr>
              <w:spacing w:before="40" w:after="40" w:line="260" w:lineRule="exact"/>
              <w:jc w:val="left"/>
            </w:pPr>
            <w:r/>
            <w:r>
              <w:rPr>
                <w:rFonts w:ascii="Google Sans" w:hAnsi="Google Sans"/>
                <w:b/>
                <w:color w:val="1F1F1F"/>
                <w:sz w:val="18"/>
              </w:rPr>
              <w:t>Retrieval-Augmented Generation for Knowledge-Intensive NLP Tasks</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2880" w:type="dxa"/>
          </w:tcPr>
          <w:p>
            <w:pPr>
              <w:spacing w:before="40" w:after="40" w:line="260" w:lineRule="exact"/>
              <w:jc w:val="left"/>
            </w:pPr>
            <w:r/>
            <w:r>
              <w:rPr>
                <w:rFonts w:ascii="Google Sans" w:hAnsi="Google Sans"/>
                <w:color w:val="1155CC"/>
                <w:sz w:val="16"/>
                <w:u w:val="single"/>
              </w:rPr>
              <w:t>https://arxiv.org/abs/2005.11401</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1440" w:type="dxa"/>
          </w:tcPr>
          <w:p>
            <w:pPr>
              <w:spacing w:before="40" w:after="40" w:line="260" w:lineRule="exact"/>
              <w:jc w:val="center"/>
            </w:pPr>
            <w:r/>
            <w:r>
              <w:rPr>
                <w:rFonts w:ascii="Google Sans" w:hAnsi="Google Sans"/>
                <w:color w:val="1F1F1F"/>
                <w:sz w:val="18"/>
              </w:rPr>
              <w:t>Lewis et al. (2020)</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184" w:type="dxa"/>
          </w:tcPr>
          <w:p>
            <w:pPr>
              <w:spacing w:before="40" w:after="40" w:line="260" w:lineRule="exact"/>
              <w:jc w:val="left"/>
            </w:pPr>
            <w:r/>
            <w:r>
              <w:rPr>
                <w:rFonts w:ascii="Google Sans" w:hAnsi="Google Sans"/>
                <w:color w:val="1F1F1F"/>
                <w:sz w:val="18"/>
              </w:rPr>
              <w:t>This paper addresses the fundamental limitation that large pre-trained language models encode factual knowledge implicitly within their parametric weights, making it difficult to access, verify, or update without expensive retraining. The authors propose decoupling factual knowledge storage from the generative model by introducing a non-parametric external memory that can be dynamically queried at inference time. The goal is to ground LLM text generation in verifiable, retrievable evidence, thereby improving factual accuracy, reducing hallucinations, and enabling knowledge updates without model retraining. The framework is evaluated across diverse knowledge-intensive tasks including open-domain question answering, abstractive question answering, and fact verification.</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472" w:type="dxa"/>
          </w:tcPr>
          <w:p>
            <w:pPr>
              <w:spacing w:before="40" w:after="40" w:line="260" w:lineRule="exact"/>
              <w:jc w:val="left"/>
            </w:pPr>
            <w:r/>
            <w:r>
              <w:rPr>
                <w:rFonts w:ascii="Google Sans" w:hAnsi="Google Sans"/>
                <w:color w:val="1F1F1F"/>
                <w:sz w:val="18"/>
              </w:rPr>
              <w:t>The RAG architecture consists of two tightly coupled components: a neural Retriever and a seq2seq Generator. The Retriever employs a pre-trained Dense Passage Retriever (DPR) — a dual-encoder architecture based on BERT — to embed both queries and documents into a shared dense vector space, using Maximum Inner Product Search (MIPS) via FAISS to fetch the top-k most relevant passages from a pre-indexed Wikipedia dump. The Generator is a pre-trained BART model that conditions text generation simultaneously on the input query and the retrieved passages. Two generation formulations are proposed: RAG-Sequence, which conditions the entire output sequence on a single retrieved document and marginalizes across documents, and RAG-Token, which allows different tokens in the output to attend to different retrieved documents, enabling finer-grained multi-document synthesis. The entire retriever-generator pipeline is fine-tuned end-to-end, with gradients flowing through the marginalized document posterior.</w:t>
            </w:r>
          </w:p>
        </w:tc>
      </w:tr>
      <w:tr>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 w:type="dxa"/>
          </w:tcPr>
          <w:p>
            <w:pPr>
              <w:spacing w:before="40" w:after="40" w:line="260" w:lineRule="exact"/>
              <w:jc w:val="center"/>
            </w:pPr>
            <w:r/>
            <w:r>
              <w:rPr>
                <w:rFonts w:ascii="Google Sans" w:hAnsi="Google Sans"/>
                <w:b/>
                <w:color w:val="1F1F1F"/>
                <w:sz w:val="18"/>
              </w:rPr>
              <w:t>2</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3456" w:type="dxa"/>
          </w:tcPr>
          <w:p>
            <w:pPr>
              <w:spacing w:before="40" w:after="40" w:line="260" w:lineRule="exact"/>
              <w:jc w:val="left"/>
            </w:pPr>
            <w:r/>
            <w:r>
              <w:rPr>
                <w:rFonts w:ascii="Google Sans" w:hAnsi="Google Sans"/>
                <w:b/>
                <w:color w:val="1F1F1F"/>
                <w:sz w:val="18"/>
              </w:rPr>
              <w:t>Dense Passage Retrieval for Open-Domain Question Answering</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2880" w:type="dxa"/>
          </w:tcPr>
          <w:p>
            <w:pPr>
              <w:spacing w:before="40" w:after="40" w:line="260" w:lineRule="exact"/>
              <w:jc w:val="left"/>
            </w:pPr>
            <w:r/>
            <w:r>
              <w:rPr>
                <w:rFonts w:ascii="Google Sans" w:hAnsi="Google Sans"/>
                <w:color w:val="1155CC"/>
                <w:sz w:val="16"/>
                <w:u w:val="single"/>
              </w:rPr>
              <w:t>https://aclanthology.org/2020.emnlp-main.550/</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1440" w:type="dxa"/>
          </w:tcPr>
          <w:p>
            <w:pPr>
              <w:spacing w:before="40" w:after="40" w:line="260" w:lineRule="exact"/>
              <w:jc w:val="center"/>
            </w:pPr>
            <w:r/>
            <w:r>
              <w:rPr>
                <w:rFonts w:ascii="Google Sans" w:hAnsi="Google Sans"/>
                <w:color w:val="1F1F1F"/>
                <w:sz w:val="18"/>
              </w:rPr>
              <w:t>Karpukhin et al. (2020)</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184" w:type="dxa"/>
          </w:tcPr>
          <w:p>
            <w:pPr>
              <w:spacing w:before="40" w:after="40" w:line="260" w:lineRule="exact"/>
              <w:jc w:val="left"/>
            </w:pPr>
            <w:r/>
            <w:r>
              <w:rPr>
                <w:rFonts w:ascii="Google Sans" w:hAnsi="Google Sans"/>
                <w:color w:val="1F1F1F"/>
                <w:sz w:val="18"/>
              </w:rPr>
              <w:t>This paper challenges the long-standing assumption that sparse lexical retrieval methods like TF-IDF and BM25 are optimal for first-stage passage retrieval in open-domain question answering. The authors demonstrate that learned dense representations can significantly outperform traditional sparse methods by capturing latent semantic relationships beyond surface-level keyword overlap. The goal is to build a simple yet highly effective dense retriever that establishes new state-of-the-art results, achieving 9-19% absolute accuracy improvements over BM25 across multiple QA benchmarks, proving that expensive pre-training of the retriever on intermediate tasks is unnecessary when using effective contrastive training.</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472" w:type="dxa"/>
          </w:tcPr>
          <w:p>
            <w:pPr>
              <w:spacing w:before="40" w:after="40" w:line="260" w:lineRule="exact"/>
              <w:jc w:val="left"/>
            </w:pPr>
            <w:r/>
            <w:r>
              <w:rPr>
                <w:rFonts w:ascii="Google Sans" w:hAnsi="Google Sans"/>
                <w:color w:val="1F1F1F"/>
                <w:sz w:val="18"/>
              </w:rPr>
              <w:t>Dense Passage Retrieval (DPR) employs a dual-encoder framework consisting of two independent BERT-based neural networks: a question encoder and a passage encoder. Each encoder maps its input into a shared low-dimensional dense vector space, and relevance is computed as the simple dot product (inner product) between the query and passage embeddings. The model is trained using a contrastive loss objective with in-batch negatives — for each question in a training batch, the positive passage is contrasted against all other passages in the batch, plus additional hard negatives mined from BM25 results. This training strategy efficiently teaches the model to maximize separation between relevant and irrelevant passages in the embedding space. At inference time, all passage embeddings are pre-computed and indexed using FAISS for sub-linear approximate nearest neighbor search over millions of passages.</w:t>
            </w:r>
          </w:p>
        </w:tc>
      </w:tr>
      <w:tr>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 w:type="dxa"/>
          </w:tcPr>
          <w:p>
            <w:pPr>
              <w:spacing w:before="40" w:after="40" w:line="260" w:lineRule="exact"/>
              <w:jc w:val="center"/>
            </w:pPr>
            <w:r/>
            <w:r>
              <w:rPr>
                <w:rFonts w:ascii="Google Sans" w:hAnsi="Google Sans"/>
                <w:b/>
                <w:color w:val="1F1F1F"/>
                <w:sz w:val="18"/>
              </w:rPr>
              <w:t>3</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3456" w:type="dxa"/>
          </w:tcPr>
          <w:p>
            <w:pPr>
              <w:spacing w:before="40" w:after="40" w:line="260" w:lineRule="exact"/>
              <w:jc w:val="left"/>
            </w:pPr>
            <w:r/>
            <w:r>
              <w:rPr>
                <w:rFonts w:ascii="Google Sans" w:hAnsi="Google Sans"/>
                <w:b/>
                <w:color w:val="1F1F1F"/>
                <w:sz w:val="18"/>
              </w:rPr>
              <w:t>Reciprocal Rank Fusion Outperforms Condorcet and Individual Rank Learning Methods</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2880" w:type="dxa"/>
          </w:tcPr>
          <w:p>
            <w:pPr>
              <w:spacing w:before="40" w:after="40" w:line="260" w:lineRule="exact"/>
              <w:jc w:val="left"/>
            </w:pPr>
            <w:r/>
            <w:r>
              <w:rPr>
                <w:rFonts w:ascii="Google Sans" w:hAnsi="Google Sans"/>
                <w:color w:val="1155CC"/>
                <w:sz w:val="16"/>
                <w:u w:val="single"/>
              </w:rPr>
              <w:t>https://doi.org/10.1145/1571941.1572114</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1440" w:type="dxa"/>
          </w:tcPr>
          <w:p>
            <w:pPr>
              <w:spacing w:before="40" w:after="40" w:line="260" w:lineRule="exact"/>
              <w:jc w:val="center"/>
            </w:pPr>
            <w:r/>
            <w:r>
              <w:rPr>
                <w:rFonts w:ascii="Google Sans" w:hAnsi="Google Sans"/>
                <w:color w:val="1F1F1F"/>
                <w:sz w:val="18"/>
              </w:rPr>
              <w:t>Cormack et al. (2009)</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184" w:type="dxa"/>
          </w:tcPr>
          <w:p>
            <w:pPr>
              <w:spacing w:before="40" w:after="40" w:line="260" w:lineRule="exact"/>
              <w:jc w:val="left"/>
            </w:pPr>
            <w:r/>
            <w:r>
              <w:rPr>
                <w:rFonts w:ascii="Google Sans" w:hAnsi="Google Sans"/>
                <w:color w:val="1F1F1F"/>
                <w:sz w:val="18"/>
              </w:rPr>
              <w:t>This paper addresses the fundamental challenge of metasearch: combining multiple ranked document lists produced by different information retrieval systems into a single, unified ranking that outperforms any individual system. Existing approaches either require expensive training data (learning-to-rank methods) or depend on complex pairwise voting schemes (Condorcet Fuse) that are computationally intensive. The objective is to introduce a simple, training-free, unsupervised rank fusion formula that consistently produces superior rankings by exploiting rank position geometry alone, without requiring access to raw retrieval scores or score normalization across heterogeneous retrieval systems.</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472" w:type="dxa"/>
          </w:tcPr>
          <w:p>
            <w:pPr>
              <w:spacing w:before="40" w:after="40" w:line="260" w:lineRule="exact"/>
              <w:jc w:val="left"/>
            </w:pPr>
            <w:r/>
            <w:r>
              <w:rPr>
                <w:rFonts w:ascii="Google Sans" w:hAnsi="Google Sans"/>
                <w:color w:val="1F1F1F"/>
                <w:sz w:val="18"/>
              </w:rPr>
              <w:t>The authors introduce Reciprocal Rank Fusion (RRF), which computes a fused relevance score for each document based purely on its rank positions across all input ranked lists, entirely ignoring raw search scores. The RRF score is calculated as: RRF(d) = Σ 1/(k + rank(d)), where k is a smoothing constant empirically set to 60 to mitigate the disproportionate influence of highly-ranked outliers from individual retrieval systems. This purely algebraic, scale-agnostic approach avoids the fundamental normalization problem inherent in combining raw scores from different retrieval paradigms (e.g., BM25 frequency scores vs. dense cosine similarities). The method was validated by aggregating results from 30 different configurations of the Wumpus Search engine across four TREC collections, and further tested on the LETOR 3 dataset against established learning-to-rank baselines.</w:t>
            </w:r>
          </w:p>
        </w:tc>
      </w:tr>
      <w:tr>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 w:type="dxa"/>
          </w:tcPr>
          <w:p>
            <w:pPr>
              <w:spacing w:before="40" w:after="40" w:line="260" w:lineRule="exact"/>
              <w:jc w:val="center"/>
            </w:pPr>
            <w:r/>
            <w:r>
              <w:rPr>
                <w:rFonts w:ascii="Google Sans" w:hAnsi="Google Sans"/>
                <w:b/>
                <w:color w:val="1F1F1F"/>
                <w:sz w:val="18"/>
              </w:rPr>
              <w:t>4</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3456" w:type="dxa"/>
          </w:tcPr>
          <w:p>
            <w:pPr>
              <w:spacing w:before="40" w:after="40" w:line="260" w:lineRule="exact"/>
              <w:jc w:val="left"/>
            </w:pPr>
            <w:r/>
            <w:r>
              <w:rPr>
                <w:rFonts w:ascii="Google Sans" w:hAnsi="Google Sans"/>
                <w:b/>
                <w:color w:val="1F1F1F"/>
                <w:sz w:val="18"/>
              </w:rPr>
              <w:t>Adaptive-RAG: Learning to Adapt Retrieval-Augmented LLMs through Question Complexity</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2880" w:type="dxa"/>
          </w:tcPr>
          <w:p>
            <w:pPr>
              <w:spacing w:before="40" w:after="40" w:line="260" w:lineRule="exact"/>
              <w:jc w:val="left"/>
            </w:pPr>
            <w:r/>
            <w:r>
              <w:rPr>
                <w:rFonts w:ascii="Google Sans" w:hAnsi="Google Sans"/>
                <w:color w:val="1155CC"/>
                <w:sz w:val="16"/>
                <w:u w:val="single"/>
              </w:rPr>
              <w:t>https://arxiv.org/abs/2403.14403</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1440" w:type="dxa"/>
          </w:tcPr>
          <w:p>
            <w:pPr>
              <w:spacing w:before="40" w:after="40" w:line="260" w:lineRule="exact"/>
              <w:jc w:val="center"/>
            </w:pPr>
            <w:r/>
            <w:r>
              <w:rPr>
                <w:rFonts w:ascii="Google Sans" w:hAnsi="Google Sans"/>
                <w:color w:val="1F1F1F"/>
                <w:sz w:val="18"/>
              </w:rPr>
              <w:t>Jeong et al. (2024)</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184" w:type="dxa"/>
          </w:tcPr>
          <w:p>
            <w:pPr>
              <w:spacing w:before="40" w:after="40" w:line="260" w:lineRule="exact"/>
              <w:jc w:val="left"/>
            </w:pPr>
            <w:r/>
            <w:r>
              <w:rPr>
                <w:rFonts w:ascii="Google Sans" w:hAnsi="Google Sans"/>
                <w:color w:val="1F1F1F"/>
                <w:sz w:val="18"/>
              </w:rPr>
              <w:t>This paper addresses the computational inefficiency and generation degradation caused by monolithic RAG pipelines that uniformly apply the same retrieval strategy to all queries regardless of their inherent difficulty. Treating a simple factoid question identically to a complex multi-hop reasoning query wastes computational resources on unnecessary retrieval while simultaneously degrading performance by injecting irrelevant context into the LLM. The primary goal is to introduce a framework that dynamically selects the most appropriate retrieval strategy — ranging from no retrieval at all to iterative multi-step retrieval — by predicting the inherent complexity of the user's question, thereby optimizing both computational efficiency and answer accuracy simultaneously.</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472" w:type="dxa"/>
          </w:tcPr>
          <w:p>
            <w:pPr>
              <w:spacing w:before="40" w:after="40" w:line="260" w:lineRule="exact"/>
              <w:jc w:val="left"/>
            </w:pPr>
            <w:r/>
            <w:r>
              <w:rPr>
                <w:rFonts w:ascii="Google Sans" w:hAnsi="Google Sans"/>
                <w:color w:val="1F1F1F"/>
                <w:sz w:val="18"/>
              </w:rPr>
              <w:t>The core of Adaptive-RAG is a lightweight language model trained as a query complexity classifier that categorizes incoming queries into three difficulty tiers. Crucially, rather than requiring expensive human annotations, the classifier is trained via a novel self-supervised approach: labels are automatically derived by observing which retrieval strategy (no-retrieval, single-step, or multi-hop) yields correct answers during pilot evaluation runs. Based on the predicted complexity, the system dynamically routes each query to one of three discrete execution pathways: (1) retrieval-free direct generation for simple questions answerable from the LLM's parametric knowledge, (2) single-step retrieval for straightforward factoid lookups requiring one evidence passage, and (3) iterative multi-hop retrieval for complex queries requiring reasoning chains across multiple documents. This adaptive routing achieves significant latency and cost reductions while maintaining or improving accuracy.</w:t>
            </w:r>
          </w:p>
        </w:tc>
      </w:tr>
      <w:tr>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 w:type="dxa"/>
          </w:tcPr>
          <w:p>
            <w:pPr>
              <w:spacing w:before="40" w:after="40" w:line="260" w:lineRule="exact"/>
              <w:jc w:val="center"/>
            </w:pPr>
            <w:r/>
            <w:r>
              <w:rPr>
                <w:rFonts w:ascii="Google Sans" w:hAnsi="Google Sans"/>
                <w:b/>
                <w:color w:val="1F1F1F"/>
                <w:sz w:val="18"/>
              </w:rPr>
              <w:t>5</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3456" w:type="dxa"/>
          </w:tcPr>
          <w:p>
            <w:pPr>
              <w:spacing w:before="40" w:after="40" w:line="260" w:lineRule="exact"/>
              <w:jc w:val="left"/>
            </w:pPr>
            <w:r/>
            <w:r>
              <w:rPr>
                <w:rFonts w:ascii="Google Sans" w:hAnsi="Google Sans"/>
                <w:b/>
                <w:color w:val="1F1F1F"/>
                <w:sz w:val="18"/>
              </w:rPr>
              <w:t>Self-RAG: Learning to Retrieve, Generate, and Critique through Self-Reflection</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2880" w:type="dxa"/>
          </w:tcPr>
          <w:p>
            <w:pPr>
              <w:spacing w:before="40" w:after="40" w:line="260" w:lineRule="exact"/>
              <w:jc w:val="left"/>
            </w:pPr>
            <w:r/>
            <w:r>
              <w:rPr>
                <w:rFonts w:ascii="Google Sans" w:hAnsi="Google Sans"/>
                <w:color w:val="1155CC"/>
                <w:sz w:val="16"/>
                <w:u w:val="single"/>
              </w:rPr>
              <w:t>https://arxiv.org/abs/2310.11511</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1440" w:type="dxa"/>
          </w:tcPr>
          <w:p>
            <w:pPr>
              <w:spacing w:before="40" w:after="40" w:line="260" w:lineRule="exact"/>
              <w:jc w:val="center"/>
            </w:pPr>
            <w:r/>
            <w:r>
              <w:rPr>
                <w:rFonts w:ascii="Google Sans" w:hAnsi="Google Sans"/>
                <w:color w:val="1F1F1F"/>
                <w:sz w:val="18"/>
              </w:rPr>
              <w:t>Asai et al. (2024)</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184" w:type="dxa"/>
          </w:tcPr>
          <w:p>
            <w:pPr>
              <w:spacing w:before="40" w:after="40" w:line="260" w:lineRule="exact"/>
              <w:jc w:val="left"/>
            </w:pPr>
            <w:r/>
            <w:r>
              <w:rPr>
                <w:rFonts w:ascii="Google Sans" w:hAnsi="Google Sans"/>
                <w:color w:val="1F1F1F"/>
                <w:sz w:val="18"/>
              </w:rPr>
              <w:t>This paper addresses the critical problem that standard RAG systems retrieve documents indiscriminately and blindly incorporate them into generation without evaluating whether the retrieved context is actually helpful, relevant, or factually consistent. This blind retrieval can paradoxically degrade output quality by injecting irrelevant or contradictory context that induces hallucinations. The objective is to develop a self-reflective framework where the LLM itself learns to autonomously decide when retrieval is necessary, critically evaluate the relevance and quality of retrieved passages, and verify whether its own generated output is factually supported by the evidence — all without relying on external critic models.</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472" w:type="dxa"/>
          </w:tcPr>
          <w:p>
            <w:pPr>
              <w:spacing w:before="40" w:after="40" w:line="260" w:lineRule="exact"/>
              <w:jc w:val="left"/>
            </w:pPr>
            <w:r/>
            <w:r>
              <w:rPr>
                <w:rFonts w:ascii="Google Sans" w:hAnsi="Google Sans"/>
                <w:color w:val="1F1F1F"/>
                <w:sz w:val="18"/>
              </w:rPr>
              <w:t>Self-RAG achieves introspective generation by training the language model to emit special 'reflection tokens' interleaved with standard text output. During generation, the model can emit a [Retrieve] token indicating it needs external evidence, triggering on-demand passage retrieval. After retrieval, the model generates candidate responses and emits further reflection tokens: [IsRelevant] critiques whether retrieved passages are pertinent, [IsSupported] verifies whether generated claims are entailed by the evidence, and [IsUseful] evaluates overall response utility. Multiple candidate responses are generated in parallel, each scored by these self-generated critique signals, and the best response is selected. The model is trained end-to-end using standard next-token prediction on an instruction-tuned dataset (~150K examples) explicitly augmented with interleaved reflection tokens, requiring invasive fine-tuning of the base generator model's weights.</w:t>
            </w:r>
          </w:p>
        </w:tc>
      </w:tr>
      <w:tr>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 w:type="dxa"/>
          </w:tcPr>
          <w:p>
            <w:pPr>
              <w:spacing w:before="40" w:after="40" w:line="260" w:lineRule="exact"/>
              <w:jc w:val="center"/>
            </w:pPr>
            <w:r/>
            <w:r>
              <w:rPr>
                <w:rFonts w:ascii="Google Sans" w:hAnsi="Google Sans"/>
                <w:b/>
                <w:color w:val="1F1F1F"/>
                <w:sz w:val="18"/>
              </w:rPr>
              <w:t>6</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3456" w:type="dxa"/>
          </w:tcPr>
          <w:p>
            <w:pPr>
              <w:spacing w:before="40" w:after="40" w:line="260" w:lineRule="exact"/>
              <w:jc w:val="left"/>
            </w:pPr>
            <w:r/>
            <w:r>
              <w:rPr>
                <w:rFonts w:ascii="Google Sans" w:hAnsi="Google Sans"/>
                <w:b/>
                <w:color w:val="1F1F1F"/>
                <w:sz w:val="18"/>
              </w:rPr>
              <w:t>Corrective Retrieval Augmented Generation (CRAG)</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2880" w:type="dxa"/>
          </w:tcPr>
          <w:p>
            <w:pPr>
              <w:spacing w:before="40" w:after="40" w:line="260" w:lineRule="exact"/>
              <w:jc w:val="left"/>
            </w:pPr>
            <w:r/>
            <w:r>
              <w:rPr>
                <w:rFonts w:ascii="Google Sans" w:hAnsi="Google Sans"/>
                <w:color w:val="1155CC"/>
                <w:sz w:val="16"/>
                <w:u w:val="single"/>
              </w:rPr>
              <w:t>https://arxiv.org/abs/2401.15884</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1440" w:type="dxa"/>
          </w:tcPr>
          <w:p>
            <w:pPr>
              <w:spacing w:before="40" w:after="40" w:line="260" w:lineRule="exact"/>
              <w:jc w:val="center"/>
            </w:pPr>
            <w:r/>
            <w:r>
              <w:rPr>
                <w:rFonts w:ascii="Google Sans" w:hAnsi="Google Sans"/>
                <w:color w:val="1F1F1F"/>
                <w:sz w:val="18"/>
              </w:rPr>
              <w:t>Yan et al. (2024)</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184" w:type="dxa"/>
          </w:tcPr>
          <w:p>
            <w:pPr>
              <w:spacing w:before="40" w:after="40" w:line="260" w:lineRule="exact"/>
              <w:jc w:val="left"/>
            </w:pPr>
            <w:r/>
            <w:r>
              <w:rPr>
                <w:rFonts w:ascii="Google Sans" w:hAnsi="Google Sans"/>
                <w:color w:val="1F1F1F"/>
                <w:sz w:val="18"/>
              </w:rPr>
              <w:t>This paper addresses the critical vulnerability of standard RAG systems to low-quality, irrelevant, or inaccurate retrieved documents that directly cause the generative model to produce hallucinated or factually incorrect responses. While retrieval augmentation improves factual grounding, the quality of retrieval is not guaranteed — and when it fails, the LLM confidently generates plausible but wrong answers. The objective is to create a lightweight, plug-and-play corrective framework that actively evaluates retrieval quality and takes explicit corrective actions — including triggering web searches as a fallback — to ensure the LLM receives only high-quality, verified context for generation.</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472" w:type="dxa"/>
          </w:tcPr>
          <w:p>
            <w:pPr>
              <w:spacing w:before="40" w:after="40" w:line="260" w:lineRule="exact"/>
              <w:jc w:val="left"/>
            </w:pPr>
            <w:r/>
            <w:r>
              <w:rPr>
                <w:rFonts w:ascii="Google Sans" w:hAnsi="Google Sans"/>
                <w:color w:val="1F1F1F"/>
                <w:sz w:val="18"/>
              </w:rPr>
              <w:t>The technical cornerstone of CRAG is a lightweight Retrieval Evaluator that assesses the initially retrieved documents and assigns a confidence classification into three action categories: Correct (high confidence — use retrieved documents directly), Incorrect (low confidence — discard internal results and trigger broad web search via an external API to find better evidence), and Ambiguous (mixed confidence — combine internal results with web search supplements). Additionally, CRAG employs a 'Decompose-then-Recompose' algorithm that processes retrieved documents to strip away extraneous noise: it decomposes documents into fine-grained knowledge strips, filters out irrelevant segments using the evaluator's confidence scores, and recomposes only the most critical evidence for feeding into the generator. This refined, corrective context significantly reduces hallucination rates.</w:t>
            </w:r>
          </w:p>
        </w:tc>
      </w:tr>
      <w:tr>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 w:type="dxa"/>
          </w:tcPr>
          <w:p>
            <w:pPr>
              <w:spacing w:before="40" w:after="40" w:line="260" w:lineRule="exact"/>
              <w:jc w:val="center"/>
            </w:pPr>
            <w:r/>
            <w:r>
              <w:rPr>
                <w:rFonts w:ascii="Google Sans" w:hAnsi="Google Sans"/>
                <w:b/>
                <w:color w:val="1F1F1F"/>
                <w:sz w:val="18"/>
              </w:rPr>
              <w:t>7</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3456" w:type="dxa"/>
          </w:tcPr>
          <w:p>
            <w:pPr>
              <w:spacing w:before="40" w:after="40" w:line="260" w:lineRule="exact"/>
              <w:jc w:val="left"/>
            </w:pPr>
            <w:r/>
            <w:r>
              <w:rPr>
                <w:rFonts w:ascii="Google Sans" w:hAnsi="Google Sans"/>
                <w:b/>
                <w:color w:val="1F1F1F"/>
                <w:sz w:val="18"/>
              </w:rPr>
              <w:t>R³AG: Retriever Routing for Retrieval-Augmented Generation</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2880" w:type="dxa"/>
          </w:tcPr>
          <w:p>
            <w:pPr>
              <w:spacing w:before="40" w:after="40" w:line="260" w:lineRule="exact"/>
              <w:jc w:val="left"/>
            </w:pPr>
            <w:r/>
            <w:r>
              <w:rPr>
                <w:rFonts w:ascii="Google Sans" w:hAnsi="Google Sans"/>
                <w:color w:val="1155CC"/>
                <w:sz w:val="16"/>
                <w:u w:val="single"/>
              </w:rPr>
              <w:t>https://aclanthology.org/2026.acl-long.939.pdf</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1440" w:type="dxa"/>
          </w:tcPr>
          <w:p>
            <w:pPr>
              <w:spacing w:before="40" w:after="40" w:line="260" w:lineRule="exact"/>
              <w:jc w:val="center"/>
            </w:pPr>
            <w:r/>
            <w:r>
              <w:rPr>
                <w:rFonts w:ascii="Google Sans" w:hAnsi="Google Sans"/>
                <w:color w:val="1F1F1F"/>
                <w:sz w:val="18"/>
              </w:rPr>
              <w:t>Zhao et al. (2026)</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184" w:type="dxa"/>
          </w:tcPr>
          <w:p>
            <w:pPr>
              <w:spacing w:before="40" w:after="40" w:line="260" w:lineRule="exact"/>
              <w:jc w:val="left"/>
            </w:pPr>
            <w:r/>
            <w:r>
              <w:rPr>
                <w:rFonts w:ascii="Google Sans" w:hAnsi="Google Sans"/>
                <w:color w:val="1F1F1F"/>
                <w:sz w:val="18"/>
              </w:rPr>
              <w:t>This paper addresses the fundamental limitation of 'one-size-fits-all' retrieval in RAG systems, where a single static retriever is applied uniformly to all queries regardless of their varying characteristics and retrieval needs. Different queries benefit from different retrieval strategies, and a static retriever choice inevitably produces suboptimal results for a significant portion of the query distribution. The objective is to formalize dynamic retriever routing as an explicit optimization problem — learning to route each incoming query to the specific retriever (or no retriever at all) that maximizes downstream generation accuracy, rather than relying on traditional IR metrics that may not correlate with generation quality.</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472" w:type="dxa"/>
          </w:tcPr>
          <w:p>
            <w:pPr>
              <w:spacing w:before="40" w:after="40" w:line="260" w:lineRule="exact"/>
              <w:jc w:val="left"/>
            </w:pPr>
            <w:r/>
            <w:r>
              <w:rPr>
                <w:rFonts w:ascii="Google Sans" w:hAnsi="Google Sans"/>
                <w:color w:val="1F1F1F"/>
                <w:sz w:val="18"/>
              </w:rPr>
              <w:t>R³AG introduces a contrastive learning routing framework that explicitly decomposes retriever capability into two distinct, learnable embedding dimensions: (1) Retrieval Quality — the retriever's ability to isolate topically relevant context from the corpus, and (2) Generation Utility — the ability of the retrieved context to support accurate downstream answer generation by the LLM. A multi-head attention mechanism dynamically fuses these two dimensions based on the input query's characteristics, creating a hybrid representation that reflects query-specific retriever preferences. The model is trained using complementary contrastive supervision signals incorporating both intermediate document relevance assessments and final answer correctness evaluations. This critical decoupling proved that traditional IR metrics like NDCG do not perfectly correlate with generation success — a retriever with lower NDCG may produce better generation outcomes for certain query types.</w:t>
            </w:r>
          </w:p>
        </w:tc>
      </w:tr>
      <w:tr>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 w:type="dxa"/>
          </w:tcPr>
          <w:p>
            <w:pPr>
              <w:spacing w:before="40" w:after="40" w:line="260" w:lineRule="exact"/>
              <w:jc w:val="center"/>
            </w:pPr>
            <w:r/>
            <w:r>
              <w:rPr>
                <w:rFonts w:ascii="Google Sans" w:hAnsi="Google Sans"/>
                <w:b/>
                <w:color w:val="1F1F1F"/>
                <w:sz w:val="18"/>
              </w:rPr>
              <w:t>8</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3456" w:type="dxa"/>
          </w:tcPr>
          <w:p>
            <w:pPr>
              <w:spacing w:before="40" w:after="40" w:line="260" w:lineRule="exact"/>
              <w:jc w:val="left"/>
            </w:pPr>
            <w:r/>
            <w:r>
              <w:rPr>
                <w:rFonts w:ascii="Google Sans" w:hAnsi="Google Sans"/>
                <w:b/>
                <w:color w:val="1F1F1F"/>
                <w:sz w:val="18"/>
              </w:rPr>
              <w:t>HyPA-RAG: A Hybrid Parameter Adaptive RAG System for AI Legal and Policy Applications</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2880" w:type="dxa"/>
          </w:tcPr>
          <w:p>
            <w:pPr>
              <w:spacing w:before="40" w:after="40" w:line="260" w:lineRule="exact"/>
              <w:jc w:val="left"/>
            </w:pPr>
            <w:r/>
            <w:r>
              <w:rPr>
                <w:rFonts w:ascii="Google Sans" w:hAnsi="Google Sans"/>
                <w:color w:val="1155CC"/>
                <w:sz w:val="16"/>
                <w:u w:val="single"/>
              </w:rPr>
              <w:t>https://arxiv.org/abs/2409.09046</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1440" w:type="dxa"/>
          </w:tcPr>
          <w:p>
            <w:pPr>
              <w:spacing w:before="40" w:after="40" w:line="260" w:lineRule="exact"/>
              <w:jc w:val="center"/>
            </w:pPr>
            <w:r/>
            <w:r>
              <w:rPr>
                <w:rFonts w:ascii="Google Sans" w:hAnsi="Google Sans"/>
                <w:color w:val="1F1F1F"/>
                <w:sz w:val="18"/>
              </w:rPr>
              <w:t>Kalra et al. (2024)</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184" w:type="dxa"/>
          </w:tcPr>
          <w:p>
            <w:pPr>
              <w:spacing w:before="40" w:after="40" w:line="260" w:lineRule="exact"/>
              <w:jc w:val="left"/>
            </w:pPr>
            <w:r/>
            <w:r>
              <w:rPr>
                <w:rFonts w:ascii="Google Sans" w:hAnsi="Google Sans"/>
                <w:color w:val="1F1F1F"/>
                <w:sz w:val="18"/>
              </w:rPr>
              <w:t>This paper tackles the significant challenges of deploying LLMs in high-stakes legal and policy domains, where hallucinations, outdated knowledge, and poor multi-step reasoning can have severe real-world consequences for legal compliance. Standard RAG systems use fixed retrieval parameters that fail to adapt to the varying factual precision demands of different legal query types. The objective is to create a system that dynamically adjusts its retrieval configuration — including retrieval depth, query reformulation thresholds, and retriever weighting — based on upfront query complexity classification, thereby maintaining high factual fidelity and contextual precision across diverse legal reasoning tasks.</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472" w:type="dxa"/>
          </w:tcPr>
          <w:p>
            <w:pPr>
              <w:spacing w:before="40" w:after="40" w:line="260" w:lineRule="exact"/>
              <w:jc w:val="left"/>
            </w:pPr>
            <w:r/>
            <w:r>
              <w:rPr>
                <w:rFonts w:ascii="Google Sans" w:hAnsi="Google Sans"/>
                <w:color w:val="1F1F1F"/>
                <w:sz w:val="18"/>
              </w:rPr>
              <w:t>HyPA-RAG employs a fine-tuned query complexity classifier that evaluates incoming legal queries and categorizes them by the depth of context required (e.g., simple definitional lookups vs. complex multi-factor comparative legal analysis). Based on this classification, the system autonomously adjusts scalar hyperparameters — such as retrieval depth (top-k), relevance thresholds, and query reformulation triggers — prior to executing its hybrid retrieval pipeline. The hybrid retrieval strategy integrates three complementary retrieval modalities: dense semantic retrieval (for conceptual legal reasoning), sparse lexical retrieval (for exact statutory references and citation lookups), and knowledge graph traversal (for structured relational reasoning across legal entities). A custom evaluation framework with domain-specific metrics measures the system's performance on legal reasoning accuracy, citation fidelity, and contextual completeness.</w:t>
            </w:r>
          </w:p>
        </w:tc>
      </w:tr>
      <w:tr>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 w:type="dxa"/>
          </w:tcPr>
          <w:p>
            <w:pPr>
              <w:spacing w:before="40" w:after="40" w:line="260" w:lineRule="exact"/>
              <w:jc w:val="center"/>
            </w:pPr>
            <w:r/>
            <w:r>
              <w:rPr>
                <w:rFonts w:ascii="Google Sans" w:hAnsi="Google Sans"/>
                <w:b/>
                <w:color w:val="1F1F1F"/>
                <w:sz w:val="18"/>
              </w:rPr>
              <w:t>9</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3456" w:type="dxa"/>
          </w:tcPr>
          <w:p>
            <w:pPr>
              <w:spacing w:before="40" w:after="40" w:line="260" w:lineRule="exact"/>
              <w:jc w:val="left"/>
            </w:pPr>
            <w:r/>
            <w:r>
              <w:rPr>
                <w:rFonts w:ascii="Google Sans" w:hAnsi="Google Sans"/>
                <w:b/>
                <w:color w:val="1F1F1F"/>
                <w:sz w:val="18"/>
              </w:rPr>
              <w:t>Cost-Aware Query Routing in RAG: Empirical Analysis of Retrieval Depth Tradeoffs</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2880" w:type="dxa"/>
          </w:tcPr>
          <w:p>
            <w:pPr>
              <w:spacing w:before="40" w:after="40" w:line="260" w:lineRule="exact"/>
              <w:jc w:val="left"/>
            </w:pPr>
            <w:r/>
            <w:r>
              <w:rPr>
                <w:rFonts w:ascii="Google Sans" w:hAnsi="Google Sans"/>
                <w:color w:val="1155CC"/>
                <w:sz w:val="16"/>
                <w:u w:val="single"/>
              </w:rPr>
              <w:t>https://arxiv.org/abs/2606.02581</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1440" w:type="dxa"/>
          </w:tcPr>
          <w:p>
            <w:pPr>
              <w:spacing w:before="40" w:after="40" w:line="260" w:lineRule="exact"/>
              <w:jc w:val="center"/>
            </w:pPr>
            <w:r/>
            <w:r>
              <w:rPr>
                <w:rFonts w:ascii="Google Sans" w:hAnsi="Google Sans"/>
                <w:color w:val="1F1F1F"/>
                <w:sz w:val="18"/>
              </w:rPr>
              <w:t>Mishra &amp; Naik (2026)</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184" w:type="dxa"/>
          </w:tcPr>
          <w:p>
            <w:pPr>
              <w:spacing w:before="40" w:after="40" w:line="260" w:lineRule="exact"/>
              <w:jc w:val="left"/>
            </w:pPr>
            <w:r/>
            <w:r>
              <w:rPr>
                <w:rFonts w:ascii="Google Sans" w:hAnsi="Google Sans"/>
                <w:color w:val="1F1F1F"/>
                <w:sz w:val="18"/>
              </w:rPr>
              <w:t>This paper addresses the critical 'three-way tension' in production RAG systems between factual grounding accuracy, API token costs, and end-to-end inference latency. Static retrieval configurations waste budget on simple questions that need no retrieval while under-serving complex questions that require deep multi-document evidence gathering. The objective is to formalize retrieval depth as a discrete per-query operational choice rather than a fixed architectural parameter, enabling systems to minimize billed API tokens and latency without degrading the factual quality of generated answers. The paper introduces a principled utility maximization framework for making these routing decisions.</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472" w:type="dxa"/>
          </w:tcPr>
          <w:p>
            <w:pPr>
              <w:spacing w:before="40" w:after="40" w:line="260" w:lineRule="exact"/>
              <w:jc w:val="left"/>
            </w:pPr>
            <w:r/>
            <w:r>
              <w:rPr>
                <w:rFonts w:ascii="Google Sans" w:hAnsi="Google Sans"/>
                <w:color w:val="1F1F1F"/>
                <w:sz w:val="18"/>
              </w:rPr>
              <w:t>The authors introduce the Cost-Aware RAG (CA-RAG) framework, which treats query routing as a discrete optimization problem. CA-RAG selects from a catalog of predefined 'strategy bundles' — ranging from zero-retrieval direct LLM inference to fetching the top-10 most relevant documents — by maximizing a scalar utility function for each incoming query. The utility function balances three competing factors: an estimated answer quality prior (expected factual accuracy), a normalized latency penalty (predicted end-to-end response time), and a token cost penalty (total billable tokens including embeddings, context, and generation). Operators can tune the penalty weights to shift the system's behavior toward higher accuracy or greater cost-efficiency. Empirical evaluations demonstrated 26% reduction in billed tokens and 34% reduction in mean latency compared to static heavy-retrieval baselines, without sacrificing factual accuracy.</w:t>
            </w:r>
          </w:p>
        </w:tc>
      </w:tr>
      <w:tr>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 w:type="dxa"/>
          </w:tcPr>
          <w:p>
            <w:pPr>
              <w:spacing w:before="40" w:after="40" w:line="260" w:lineRule="exact"/>
              <w:jc w:val="center"/>
            </w:pPr>
            <w:r/>
            <w:r>
              <w:rPr>
                <w:rFonts w:ascii="Google Sans" w:hAnsi="Google Sans"/>
                <w:b/>
                <w:color w:val="1F1F1F"/>
                <w:sz w:val="18"/>
              </w:rPr>
              <w:t>10</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3456" w:type="dxa"/>
          </w:tcPr>
          <w:p>
            <w:pPr>
              <w:spacing w:before="40" w:after="40" w:line="260" w:lineRule="exact"/>
              <w:jc w:val="left"/>
            </w:pPr>
            <w:r/>
            <w:r>
              <w:rPr>
                <w:rFonts w:ascii="Google Sans" w:hAnsi="Google Sans"/>
                <w:b/>
                <w:color w:val="1F1F1F"/>
                <w:sz w:val="18"/>
              </w:rPr>
              <w:t>HONEYBEE: Efficient Role-based Access Control for Vector Databases via Dynamic Partitioning</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2880" w:type="dxa"/>
          </w:tcPr>
          <w:p>
            <w:pPr>
              <w:spacing w:before="40" w:after="40" w:line="260" w:lineRule="exact"/>
              <w:jc w:val="left"/>
            </w:pPr>
            <w:r/>
            <w:r>
              <w:rPr>
                <w:rFonts w:ascii="Google Sans" w:hAnsi="Google Sans"/>
                <w:color w:val="1155CC"/>
                <w:sz w:val="16"/>
                <w:u w:val="single"/>
              </w:rPr>
              <w:t>https://arxiv.org/abs/2505.01538</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1440" w:type="dxa"/>
          </w:tcPr>
          <w:p>
            <w:pPr>
              <w:spacing w:before="40" w:after="40" w:line="260" w:lineRule="exact"/>
              <w:jc w:val="center"/>
            </w:pPr>
            <w:r/>
            <w:r>
              <w:rPr>
                <w:rFonts w:ascii="Google Sans" w:hAnsi="Google Sans"/>
                <w:color w:val="1F1F1F"/>
                <w:sz w:val="18"/>
              </w:rPr>
              <w:t>Zhong et al. (2026)</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184" w:type="dxa"/>
          </w:tcPr>
          <w:p>
            <w:pPr>
              <w:spacing w:before="40" w:after="40" w:line="260" w:lineRule="exact"/>
              <w:jc w:val="left"/>
            </w:pPr>
            <w:r/>
            <w:r>
              <w:rPr>
                <w:rFonts w:ascii="Google Sans" w:hAnsi="Google Sans"/>
                <w:color w:val="1F1F1F"/>
                <w:sz w:val="18"/>
              </w:rPr>
              <w:t>This paper addresses the catastrophic performance trade-offs that emerge when enforcing Role-Based Access Control (RBAC) in vector databases used for enterprise AI applications. The naive approach — executing approximate nearest-neighbor search on a shared index and then applying post-search access-control filters — causes severe recall degradation and unpredictable latency spikes, especially when a user's permissions constitute a highly selective subset of the total data. The objective is to develop an efficient dynamic partitioning scheme that enables vector databases to enforce strict RBAC with controllable trade-offs between query latency, memory overhead, and recall quality.</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472" w:type="dxa"/>
          </w:tcPr>
          <w:p>
            <w:pPr>
              <w:spacing w:before="40" w:after="40" w:line="260" w:lineRule="exact"/>
              <w:jc w:val="left"/>
            </w:pPr>
            <w:r/>
            <w:r>
              <w:rPr>
                <w:rFonts w:ascii="Google Sans" w:hAnsi="Google Sans"/>
                <w:color w:val="1F1F1F"/>
                <w:sz w:val="18"/>
              </w:rPr>
              <w:t>HONEYBEE frames the partitioning challenge as a mixed-integer nonlinear programming (MINLP) optimization problem, which is NP-hard. To make this tractable, it introduces a greedy split algorithm that generates partitioning strategies under configurable memory constraints. The system exploits the 'thin waist' topology of real-world RBAC policies — where many users share overlapping permission sets — to create overlapping dynamic vector partitions that strategically replicate vectors across role-aligned indexes. Users are grouped into roles, and datasets are partitioned into disjoint data blocks based on role combinations, organized using an access-aware lattice structure. Large lattice nodes use HNSW graph indexes for efficient approximate search, while small nodes retain linear scan. At query time, a coordinated search mechanism queries only the partitions authorized for the requesting user's role.</w:t>
            </w:r>
          </w:p>
        </w:tc>
      </w:tr>
      <w:tr>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 w:type="dxa"/>
          </w:tcPr>
          <w:p>
            <w:pPr>
              <w:spacing w:before="40" w:after="40" w:line="260" w:lineRule="exact"/>
              <w:jc w:val="center"/>
            </w:pPr>
            <w:r/>
            <w:r>
              <w:rPr>
                <w:rFonts w:ascii="Google Sans" w:hAnsi="Google Sans"/>
                <w:b/>
                <w:color w:val="1F1F1F"/>
                <w:sz w:val="18"/>
              </w:rPr>
              <w:t>11</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3456" w:type="dxa"/>
          </w:tcPr>
          <w:p>
            <w:pPr>
              <w:spacing w:before="40" w:after="40" w:line="260" w:lineRule="exact"/>
              <w:jc w:val="left"/>
            </w:pPr>
            <w:r/>
            <w:r>
              <w:rPr>
                <w:rFonts w:ascii="Google Sans" w:hAnsi="Google Sans"/>
                <w:b/>
                <w:color w:val="1F1F1F"/>
                <w:sz w:val="18"/>
              </w:rPr>
              <w:t>ARES: An Automated Evaluation Framework for Retrieval-Augmented Generation Systems</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2880" w:type="dxa"/>
          </w:tcPr>
          <w:p>
            <w:pPr>
              <w:spacing w:before="40" w:after="40" w:line="260" w:lineRule="exact"/>
              <w:jc w:val="left"/>
            </w:pPr>
            <w:r/>
            <w:r>
              <w:rPr>
                <w:rFonts w:ascii="Google Sans" w:hAnsi="Google Sans"/>
                <w:color w:val="1155CC"/>
                <w:sz w:val="16"/>
                <w:u w:val="single"/>
              </w:rPr>
              <w:t>https://arxiv.org/abs/2311.09476</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1440" w:type="dxa"/>
          </w:tcPr>
          <w:p>
            <w:pPr>
              <w:spacing w:before="40" w:after="40" w:line="260" w:lineRule="exact"/>
              <w:jc w:val="center"/>
            </w:pPr>
            <w:r/>
            <w:r>
              <w:rPr>
                <w:rFonts w:ascii="Google Sans" w:hAnsi="Google Sans"/>
                <w:color w:val="1F1F1F"/>
                <w:sz w:val="18"/>
              </w:rPr>
              <w:t>Saad-Falcon et al. (2024)</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184" w:type="dxa"/>
          </w:tcPr>
          <w:p>
            <w:pPr>
              <w:spacing w:before="40" w:after="40" w:line="260" w:lineRule="exact"/>
              <w:jc w:val="left"/>
            </w:pPr>
            <w:r/>
            <w:r>
              <w:rPr>
                <w:rFonts w:ascii="Google Sans" w:hAnsi="Google Sans"/>
                <w:color w:val="1F1F1F"/>
                <w:sz w:val="18"/>
              </w:rPr>
              <w:t>This paper addresses the prohibitive cost and scalability bottleneck of evaluating RAG systems using manual human annotations. Assessing the three critical dimensions of RAG quality — context relevance, answer faithfulness, and answer relevance — through human judgment is expensive, slow, and difficult to reproduce consistently across evaluation runs. The objective is to build an automated, statistically rigorous evaluation framework that provides accurate, calibrated assessments of RAG system performance while requiring only a minimal set (~150) of human-annotated examples for statistical calibration, enabling scalable and reproducible RAG evaluation.</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472" w:type="dxa"/>
          </w:tcPr>
          <w:p>
            <w:pPr>
              <w:spacing w:before="40" w:after="40" w:line="260" w:lineRule="exact"/>
              <w:jc w:val="left"/>
            </w:pPr>
            <w:r/>
            <w:r>
              <w:rPr>
                <w:rFonts w:ascii="Google Sans" w:hAnsi="Google Sans"/>
                <w:color w:val="1F1F1F"/>
                <w:sz w:val="18"/>
              </w:rPr>
              <w:t>ARES operates in three stages: (1) Synthetic data generation — it creates diverse training triples of (question, context, answer) encompassing high-quality, hallucinated, and poor-quality examples to train automated judges; (2) LLM judge fine-tuning — lightweight language models are fine-tuned on the synthetic data to serve as automated evaluators scoring context relevance, answer faithfulness, and answer relevance; (3) Prediction-Powered Inference (PPI) — to correct for systematic biases in the automated judges, ARES leverages a small set of human-annotated examples to provide statistically valid confidence intervals around the automated scores, bounding the false discovery rate. This PPI calibration step is critical for ensuring that automated evaluations maintain statistical rigor comparable to large-scale human annotation campaigns. The framework is designed to remain robust under domain shifts.</w:t>
            </w:r>
          </w:p>
        </w:tc>
      </w:tr>
      <w:tr>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 w:type="dxa"/>
          </w:tcPr>
          <w:p>
            <w:pPr>
              <w:spacing w:before="40" w:after="40" w:line="260" w:lineRule="exact"/>
              <w:jc w:val="center"/>
            </w:pPr>
            <w:r/>
            <w:r>
              <w:rPr>
                <w:rFonts w:ascii="Google Sans" w:hAnsi="Google Sans"/>
                <w:b/>
                <w:color w:val="1F1F1F"/>
                <w:sz w:val="18"/>
              </w:rPr>
              <w:t>12</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3456" w:type="dxa"/>
          </w:tcPr>
          <w:p>
            <w:pPr>
              <w:spacing w:before="40" w:after="40" w:line="260" w:lineRule="exact"/>
              <w:jc w:val="left"/>
            </w:pPr>
            <w:r/>
            <w:r>
              <w:rPr>
                <w:rFonts w:ascii="Google Sans" w:hAnsi="Google Sans"/>
                <w:b/>
                <w:color w:val="1F1F1F"/>
                <w:sz w:val="18"/>
              </w:rPr>
              <w:t>RAGChecker: A Fine-grained Framework for Diagnosing Retrieval-Augmented Generation</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2880" w:type="dxa"/>
          </w:tcPr>
          <w:p>
            <w:pPr>
              <w:spacing w:before="40" w:after="40" w:line="260" w:lineRule="exact"/>
              <w:jc w:val="left"/>
            </w:pPr>
            <w:r/>
            <w:r>
              <w:rPr>
                <w:rFonts w:ascii="Google Sans" w:hAnsi="Google Sans"/>
                <w:color w:val="1155CC"/>
                <w:sz w:val="16"/>
                <w:u w:val="single"/>
              </w:rPr>
              <w:t>https://arxiv.org/abs/2408.08067</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1440" w:type="dxa"/>
          </w:tcPr>
          <w:p>
            <w:pPr>
              <w:spacing w:before="40" w:after="40" w:line="260" w:lineRule="exact"/>
              <w:jc w:val="center"/>
            </w:pPr>
            <w:r/>
            <w:r>
              <w:rPr>
                <w:rFonts w:ascii="Google Sans" w:hAnsi="Google Sans"/>
                <w:color w:val="1F1F1F"/>
                <w:sz w:val="18"/>
              </w:rPr>
              <w:t>Ru et al. (2024)</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184" w:type="dxa"/>
          </w:tcPr>
          <w:p>
            <w:pPr>
              <w:spacing w:before="40" w:after="40" w:line="260" w:lineRule="exact"/>
              <w:jc w:val="left"/>
            </w:pPr>
            <w:r/>
            <w:r>
              <w:rPr>
                <w:rFonts w:ascii="Google Sans" w:hAnsi="Google Sans"/>
                <w:color w:val="1F1F1F"/>
                <w:sz w:val="18"/>
              </w:rPr>
              <w:t>This paper addresses the critical limitation of evaluating RAG systems using coarse-grained, response-level metrics that treat the entire generated answer as a monolithic unit. When a long-form response contains multiple claims — some correct, some hallucinated — holistic scoring obscures the root cause of failures and makes it impossible to determine whether errors originated from the retriever (missing or contradictory context) or the generator (unsupported reasoning or extrapolation). The objective is to introduce a fine-grained, claim-level diagnostic framework that decomposes responses into atomic claims and individually verifies each claim's entailment relationship with both the retrieved context and gold-standard references.</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472" w:type="dxa"/>
          </w:tcPr>
          <w:p>
            <w:pPr>
              <w:spacing w:before="40" w:after="40" w:line="260" w:lineRule="exact"/>
              <w:jc w:val="left"/>
            </w:pPr>
            <w:r/>
            <w:r>
              <w:rPr>
                <w:rFonts w:ascii="Google Sans" w:hAnsi="Google Sans"/>
                <w:color w:val="1F1F1F"/>
                <w:sz w:val="18"/>
              </w:rPr>
              <w:t>RAGChecker's core mechanism relies on claim-level entailment checking. An LLM decomposes both the RAG-generated response and the ground-truth answer into sets of atomic, independently verifiable claims. Each extracted claim is then checked for entailment against the retrieved context (to measure faithfulness) and against gold-standard references (to measure correctness). This decomposition enables RAGChecker to generate separate diagnostic metrics for the retriever component (e.g., context precision, context recall, noise sensitivity) and the generator component (e.g., faithfulness, hallucination rate, relevant information completeness). Meta-evaluation against human-annotated preference data demonstrates that RAGChecker's claim-level metrics correlate significantly better with human judgment than traditional holistic response-level metrics.</w:t>
            </w:r>
          </w:p>
        </w:tc>
      </w:tr>
      <w:tr>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 w:type="dxa"/>
          </w:tcPr>
          <w:p>
            <w:pPr>
              <w:spacing w:before="40" w:after="40" w:line="260" w:lineRule="exact"/>
              <w:jc w:val="center"/>
            </w:pPr>
            <w:r/>
            <w:r>
              <w:rPr>
                <w:rFonts w:ascii="Google Sans" w:hAnsi="Google Sans"/>
                <w:b/>
                <w:color w:val="1F1F1F"/>
                <w:sz w:val="18"/>
              </w:rPr>
              <w:t>13</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3456" w:type="dxa"/>
          </w:tcPr>
          <w:p>
            <w:pPr>
              <w:spacing w:before="40" w:after="40" w:line="260" w:lineRule="exact"/>
              <w:jc w:val="left"/>
            </w:pPr>
            <w:r/>
            <w:r>
              <w:rPr>
                <w:rFonts w:ascii="Google Sans" w:hAnsi="Google Sans"/>
                <w:b/>
                <w:color w:val="1F1F1F"/>
                <w:sz w:val="18"/>
              </w:rPr>
              <w:t>FinanceBench: A New Benchmark for Financial Question Answering</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2880" w:type="dxa"/>
          </w:tcPr>
          <w:p>
            <w:pPr>
              <w:spacing w:before="40" w:after="40" w:line="260" w:lineRule="exact"/>
              <w:jc w:val="left"/>
            </w:pPr>
            <w:r/>
            <w:r>
              <w:rPr>
                <w:rFonts w:ascii="Google Sans" w:hAnsi="Google Sans"/>
                <w:color w:val="1155CC"/>
                <w:sz w:val="16"/>
                <w:u w:val="single"/>
              </w:rPr>
              <w:t>https://arxiv.org/abs/2311.11944</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1440" w:type="dxa"/>
          </w:tcPr>
          <w:p>
            <w:pPr>
              <w:spacing w:before="40" w:after="40" w:line="260" w:lineRule="exact"/>
              <w:jc w:val="center"/>
            </w:pPr>
            <w:r/>
            <w:r>
              <w:rPr>
                <w:rFonts w:ascii="Google Sans" w:hAnsi="Google Sans"/>
                <w:color w:val="1F1F1F"/>
                <w:sz w:val="18"/>
              </w:rPr>
              <w:t>Islam et al. (2023)</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184" w:type="dxa"/>
          </w:tcPr>
          <w:p>
            <w:pPr>
              <w:spacing w:before="40" w:after="40" w:line="260" w:lineRule="exact"/>
              <w:jc w:val="left"/>
            </w:pPr>
            <w:r/>
            <w:r>
              <w:rPr>
                <w:rFonts w:ascii="Google Sans" w:hAnsi="Google Sans"/>
                <w:color w:val="1F1F1F"/>
                <w:sz w:val="18"/>
              </w:rPr>
              <w:t>This paper addresses the need for ecologically valid benchmarks that expose the real-world limitations of LLMs and RAG systems on complex enterprise reasoning tasks, moving beyond synthetic academic benchmarks. The authors demonstrate that state-of-the-art LLMs — even when heavily augmented with advanced vector stores and retrieval pipelines — exhibit an alarming 81% failure or refusal rate when navigating complex, long-document financial reasoning requiring numerical computation, temporal evidence extraction, and cross-document synthesis. The objective is to establish a minimum performance standard for enterprise-grade financial AI by providing an open-source, rigorously curated benchmark of real financial questions with verified answers and traceable evidence strings.</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472" w:type="dxa"/>
          </w:tcPr>
          <w:p>
            <w:pPr>
              <w:spacing w:before="40" w:after="40" w:line="260" w:lineRule="exact"/>
              <w:jc w:val="left"/>
            </w:pPr>
            <w:r/>
            <w:r>
              <w:rPr>
                <w:rFonts w:ascii="Google Sans" w:hAnsi="Google Sans"/>
                <w:color w:val="1F1F1F"/>
                <w:sz w:val="18"/>
              </w:rPr>
              <w:t>The authors curated an open-book QA benchmark consisting of questions that mirror the types of inquiries financial professionals routinely make about publicly traded companies. Each question is paired with a verified answer and an 'evidence string' — the exact passage from source financial filings that supports the answer. The methodology involved evaluating 16 state-of-the-art model configurations including GPT-4-Turbo, Llama 2, and Claude 2 in both closed-book and open-book (RAG-augmented) settings. Manual expert review assessed each model's accuracy, hallucination rate, and ability to correctly cite source evidence. The benchmark rigorously tests numerical reasoning, temporal evidence extraction, and cross-document synthesis capabilities.</w:t>
            </w:r>
          </w:p>
        </w:tc>
      </w:tr>
    </w:tbl>
    <w:p>
      <w:r>
        <w:br w:type="page"/>
      </w:r>
    </w:p>
    <w:p>
      <w:pPr>
        <w:pStyle w:val="Heading2"/>
        <w:spacing w:before="120" w:after="80"/>
      </w:pPr>
      <w:r>
        <w:rPr>
          <w:rFonts w:ascii="Google Sans" w:hAnsi="Google Sans"/>
          <w:color w:val="4285F4"/>
          <w:sz w:val="26"/>
        </w:rPr>
        <w:t>Table 2: Dataset, Research Gaps &amp; Architectural Resolution</w:t>
      </w:r>
    </w:p>
    <w:tbl>
      <w:tblPr>
        <w:jc w:val="center"/>
        <w:tblLook w:firstColumn="1" w:firstRow="1" w:lastColumn="0" w:lastRow="0" w:noHBand="0" w:noVBand="1" w:val="04A0"/>
        <w:tblW w:w="19008" w:type="dxa"/>
        <w:tblLayout w:type="fixed"/>
      </w:tblPr>
      <w:tblGrid>
        <w:gridCol w:w="3802"/>
        <w:gridCol w:w="3802"/>
        <w:gridCol w:w="3802"/>
        <w:gridCol w:w="3802"/>
        <w:gridCol w:w="3802"/>
      </w:tblGrid>
      <w:tr>
        <w:trPr>
          <w:tblHeader/>
        </w:trPr>
        <w:tc>
          <w:tcPr>
            <w:shd w:fill="1A73E8" w:val="clear"/>
            <w:tcBorders>
              <w:top w:val="single" w:sz="6" w:space="0" w:color="1A73E8"/>
              <w:left w:val="single" w:sz="6" w:space="0" w:color="1A73E8"/>
              <w:bottom w:val="single" w:sz="6" w:space="0" w:color="1A73E8"/>
              <w:right w:val="single" w:sz="6" w:space="0" w:color="1A73E8"/>
            </w:tcBorders>
            <w:tcMar>
              <w:top w:w="60" w:type="dxa"/>
              <w:left w:w="60" w:type="dxa"/>
              <w:bottom w:w="60" w:type="dxa"/>
              <w:right w:w="60" w:type="dxa"/>
            </w:tcMar>
            <w:vAlign w:val="center"/>
            <w:tcW w:w="576" w:type="dxa"/>
          </w:tcPr>
          <w:p>
            <w:pPr>
              <w:jc w:val="center"/>
            </w:pPr>
            <w:r/>
            <w:r>
              <w:rPr>
                <w:rFonts w:ascii="Google Sans" w:hAnsi="Google Sans"/>
                <w:b/>
                <w:color w:val="FFFFFF"/>
                <w:sz w:val="20"/>
              </w:rPr>
              <w:t>#</w:t>
            </w:r>
          </w:p>
        </w:tc>
        <w:tc>
          <w:tcPr>
            <w:shd w:fill="1A73E8" w:val="clear"/>
            <w:tcBorders>
              <w:top w:val="single" w:sz="6" w:space="0" w:color="1A73E8"/>
              <w:left w:val="single" w:sz="6" w:space="0" w:color="1A73E8"/>
              <w:bottom w:val="single" w:sz="6" w:space="0" w:color="1A73E8"/>
              <w:right w:val="single" w:sz="6" w:space="0" w:color="1A73E8"/>
            </w:tcBorders>
            <w:tcMar>
              <w:top w:w="60" w:type="dxa"/>
              <w:left w:w="60" w:type="dxa"/>
              <w:bottom w:w="60" w:type="dxa"/>
              <w:right w:w="60" w:type="dxa"/>
            </w:tcMar>
            <w:vAlign w:val="center"/>
            <w:tcW w:w="2880" w:type="dxa"/>
          </w:tcPr>
          <w:p>
            <w:pPr>
              <w:jc w:val="center"/>
            </w:pPr>
            <w:r/>
            <w:r>
              <w:rPr>
                <w:rFonts w:ascii="Google Sans" w:hAnsi="Google Sans"/>
                <w:b/>
                <w:color w:val="FFFFFF"/>
                <w:sz w:val="20"/>
              </w:rPr>
              <w:t>Title</w:t>
            </w:r>
          </w:p>
        </w:tc>
        <w:tc>
          <w:tcPr>
            <w:shd w:fill="1A73E8" w:val="clear"/>
            <w:tcBorders>
              <w:top w:val="single" w:sz="6" w:space="0" w:color="1A73E8"/>
              <w:left w:val="single" w:sz="6" w:space="0" w:color="1A73E8"/>
              <w:bottom w:val="single" w:sz="6" w:space="0" w:color="1A73E8"/>
              <w:right w:val="single" w:sz="6" w:space="0" w:color="1A73E8"/>
            </w:tcBorders>
            <w:tcMar>
              <w:top w:w="60" w:type="dxa"/>
              <w:left w:w="60" w:type="dxa"/>
              <w:bottom w:w="60" w:type="dxa"/>
              <w:right w:w="60" w:type="dxa"/>
            </w:tcMar>
            <w:vAlign w:val="center"/>
            <w:tcW w:w="4031" w:type="dxa"/>
          </w:tcPr>
          <w:p>
            <w:pPr>
              <w:jc w:val="center"/>
            </w:pPr>
            <w:r/>
            <w:r>
              <w:rPr>
                <w:rFonts w:ascii="Google Sans" w:hAnsi="Google Sans"/>
                <w:b/>
                <w:color w:val="FFFFFF"/>
                <w:sz w:val="20"/>
              </w:rPr>
              <w:t>Dataset</w:t>
            </w:r>
          </w:p>
        </w:tc>
        <w:tc>
          <w:tcPr>
            <w:shd w:fill="1A73E8" w:val="clear"/>
            <w:tcBorders>
              <w:top w:val="single" w:sz="6" w:space="0" w:color="1A73E8"/>
              <w:left w:val="single" w:sz="6" w:space="0" w:color="1A73E8"/>
              <w:bottom w:val="single" w:sz="6" w:space="0" w:color="1A73E8"/>
              <w:right w:val="single" w:sz="6" w:space="0" w:color="1A73E8"/>
            </w:tcBorders>
            <w:tcMar>
              <w:top w:w="60" w:type="dxa"/>
              <w:left w:w="60" w:type="dxa"/>
              <w:bottom w:w="60" w:type="dxa"/>
              <w:right w:w="60" w:type="dxa"/>
            </w:tcMar>
            <w:vAlign w:val="center"/>
            <w:tcW w:w="5760" w:type="dxa"/>
          </w:tcPr>
          <w:p>
            <w:pPr>
              <w:jc w:val="center"/>
            </w:pPr>
            <w:r/>
            <w:r>
              <w:rPr>
                <w:rFonts w:ascii="Google Sans" w:hAnsi="Google Sans"/>
                <w:b/>
                <w:color w:val="FFFFFF"/>
                <w:sz w:val="20"/>
              </w:rPr>
              <w:t>Critical Research Gaps</w:t>
            </w:r>
          </w:p>
        </w:tc>
        <w:tc>
          <w:tcPr>
            <w:shd w:fill="1A73E8" w:val="clear"/>
            <w:tcBorders>
              <w:top w:val="single" w:sz="6" w:space="0" w:color="1A73E8"/>
              <w:left w:val="single" w:sz="6" w:space="0" w:color="1A73E8"/>
              <w:bottom w:val="single" w:sz="6" w:space="0" w:color="1A73E8"/>
              <w:right w:val="single" w:sz="6" w:space="0" w:color="1A73E8"/>
            </w:tcBorders>
            <w:tcMar>
              <w:top w:w="60" w:type="dxa"/>
              <w:left w:w="60" w:type="dxa"/>
              <w:bottom w:w="60" w:type="dxa"/>
              <w:right w:w="60" w:type="dxa"/>
            </w:tcMar>
            <w:vAlign w:val="center"/>
            <w:tcW w:w="5760" w:type="dxa"/>
          </w:tcPr>
          <w:p>
            <w:pPr>
              <w:jc w:val="center"/>
            </w:pPr>
            <w:r/>
            <w:r>
              <w:rPr>
                <w:rFonts w:ascii="Google Sans" w:hAnsi="Google Sans"/>
                <w:b/>
                <w:color w:val="FFFFFF"/>
                <w:sz w:val="20"/>
              </w:rPr>
              <w:t>Proposed Architectural Resolution</w:t>
            </w:r>
          </w:p>
        </w:tc>
      </w:tr>
      <w:tr>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 w:type="dxa"/>
          </w:tcPr>
          <w:p>
            <w:pPr>
              <w:spacing w:before="40" w:after="40" w:line="260" w:lineRule="exact"/>
              <w:jc w:val="center"/>
            </w:pPr>
            <w:r/>
            <w:r>
              <w:rPr>
                <w:rFonts w:ascii="Google Sans" w:hAnsi="Google Sans"/>
                <w:b/>
                <w:color w:val="1F1F1F"/>
                <w:sz w:val="18"/>
              </w:rPr>
              <w:t>1</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2880" w:type="dxa"/>
          </w:tcPr>
          <w:p>
            <w:pPr>
              <w:spacing w:before="40" w:after="40" w:line="260" w:lineRule="exact"/>
              <w:jc w:val="left"/>
            </w:pPr>
            <w:r/>
            <w:r>
              <w:rPr>
                <w:rFonts w:ascii="Google Sans" w:hAnsi="Google Sans"/>
                <w:b/>
                <w:color w:val="1F1F1F"/>
                <w:sz w:val="18"/>
              </w:rPr>
              <w:t>Retrieval-Augmented Generation for Knowledge-Intensive NLP Tasks</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4031" w:type="dxa"/>
          </w:tcPr>
          <w:p>
            <w:pPr>
              <w:spacing w:before="40" w:after="40" w:line="260" w:lineRule="exact"/>
            </w:pPr>
            <w:r/>
            <w:r>
              <w:rPr>
                <w:rFonts w:ascii="Google Sans" w:hAnsi="Google Sans"/>
                <w:color w:val="1F1F1F"/>
                <w:sz w:val="18"/>
              </w:rPr>
              <w:t>Evaluated primarily on Natural Questions (NQ), containing real Google Search queries paired with Wikipedia-annotated answers, and TriviaQA (trivia enthusiast questions). Additional evaluations on WebQuestions, CuratedTrec, and FEVER (fact verification). The non-parametric knowledge source is a dense vector index built from a full English Wikipedia dump.</w:t>
            </w:r>
          </w:p>
          <w:p>
            <w:pPr>
              <w:spacing w:before="80" w:after="40" w:line="260" w:lineRule="exact"/>
            </w:pPr>
            <w:r>
              <w:rPr>
                <w:rFonts w:ascii="Google Sans" w:hAnsi="Google Sans"/>
                <w:color w:val="1155CC"/>
                <w:sz w:val="16"/>
                <w:u w:val="single"/>
              </w:rPr>
              <w:t>https://github.com/google-research-datasets/natural-questions</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0" w:type="dxa"/>
          </w:tcPr>
          <w:p>
            <w:pPr>
              <w:spacing w:before="40" w:after="40" w:line="260" w:lineRule="exact"/>
              <w:jc w:val="left"/>
            </w:pPr>
            <w:r/>
            <w:r>
              <w:rPr>
                <w:rFonts w:ascii="Google Sans" w:hAnsi="Google Sans"/>
                <w:color w:val="1F1F1F"/>
                <w:sz w:val="18"/>
              </w:rPr>
              <w:t>The RAG architecture operates entirely on a uniform, publicly accessible corpus (Wikipedia) and assumes universal, unrestricted read access for all users. It fundamentally lacks any architectural mechanism for enforcing Role-Based Access Control (RBAC), temporal filtering based on document freshness metadata, or source authority tracking. In enterprise environments where data is strictly compartmentalized by user identity, department, and clearance level, this model is inherently unsafe — it cannot prevent a user from receiving answers derived from documents they are not authorized to access. Furthermore, the monolithic dense retrieval pipeline applies uniform retrieval depth to every query regardless of complexity, wasting computational resources on simple parametric lookups and under-serving complex multi-hop queries that require iterative evidence gathering.</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0" w:type="dxa"/>
          </w:tcPr>
          <w:p>
            <w:pPr>
              <w:spacing w:before="40" w:after="40" w:line="260" w:lineRule="exact"/>
              <w:jc w:val="left"/>
            </w:pPr>
            <w:r/>
            <w:r>
              <w:rPr>
                <w:rFonts w:ascii="Google Sans" w:hAnsi="Google Sans"/>
                <w:color w:val="1F1F1F"/>
                <w:sz w:val="18"/>
              </w:rPr>
              <w:t>AHRAG resolves this by computing a holistic context vector x = {q, h, u, scope, Mc} prior to any routing decision, where u encodes the authenticated user's RBAC profile and scope defines the allowable corpus boundaries. This vector explicitly accounts for the user's permissible corpus scope, enforcing strict temporal and identity boundaries at the architectural level — before retrieval, not after. By applying ACL filtering as a pre-retrieval primitive rather than a post-retrieval filter, AHRAG guarantees that the generative model only receives and reasons over documents the requesting user is specifically authorized to read, completely eliminating the access-control blind spot of the original RAG formulation.</w:t>
            </w:r>
          </w:p>
        </w:tc>
      </w:tr>
      <w:tr>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 w:type="dxa"/>
          </w:tcPr>
          <w:p>
            <w:pPr>
              <w:spacing w:before="40" w:after="40" w:line="260" w:lineRule="exact"/>
              <w:jc w:val="center"/>
            </w:pPr>
            <w:r/>
            <w:r>
              <w:rPr>
                <w:rFonts w:ascii="Google Sans" w:hAnsi="Google Sans"/>
                <w:b/>
                <w:color w:val="1F1F1F"/>
                <w:sz w:val="18"/>
              </w:rPr>
              <w:t>2</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2880" w:type="dxa"/>
          </w:tcPr>
          <w:p>
            <w:pPr>
              <w:spacing w:before="40" w:after="40" w:line="260" w:lineRule="exact"/>
              <w:jc w:val="left"/>
            </w:pPr>
            <w:r/>
            <w:r>
              <w:rPr>
                <w:rFonts w:ascii="Google Sans" w:hAnsi="Google Sans"/>
                <w:b/>
                <w:color w:val="1F1F1F"/>
                <w:sz w:val="18"/>
              </w:rPr>
              <w:t>Dense Passage Retrieval for Open-Domain Question Answering</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4031" w:type="dxa"/>
          </w:tcPr>
          <w:p>
            <w:pPr>
              <w:spacing w:before="40" w:after="40" w:line="260" w:lineRule="exact"/>
            </w:pPr>
            <w:r/>
            <w:r>
              <w:rPr>
                <w:rFonts w:ascii="Google Sans" w:hAnsi="Google Sans"/>
                <w:color w:val="1F1F1F"/>
                <w:sz w:val="18"/>
              </w:rPr>
              <w:t>Trained and evaluated on five major open-domain QA benchmarks: Natural Questions (NQ), TriviaQA, WebQuestions, CuratedTrec, and SQuAD v1.1. The retrieval corpus consists of the full English Wikipedia split into 100-word non-overlapping passages, yielding approximately 21 million passages indexed for dense retrieval.</w:t>
            </w:r>
          </w:p>
          <w:p>
            <w:pPr>
              <w:spacing w:before="80" w:after="40" w:line="260" w:lineRule="exact"/>
            </w:pPr>
            <w:r>
              <w:rPr>
                <w:rFonts w:ascii="Google Sans" w:hAnsi="Google Sans"/>
                <w:color w:val="1155CC"/>
                <w:sz w:val="16"/>
                <w:u w:val="single"/>
              </w:rPr>
              <w:t>https://github.com/facebookresearch/DPR</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0" w:type="dxa"/>
          </w:tcPr>
          <w:p>
            <w:pPr>
              <w:spacing w:before="40" w:after="40" w:line="260" w:lineRule="exact"/>
              <w:jc w:val="left"/>
            </w:pPr>
            <w:r/>
            <w:r>
              <w:rPr>
                <w:rFonts w:ascii="Google Sans" w:hAnsi="Google Sans"/>
                <w:color w:val="1F1F1F"/>
                <w:sz w:val="18"/>
              </w:rPr>
              <w:t>Dense continuous vector embeddings inherently smooth over high-frequency lexical signals, causing systematic failure on exact enterprise identifiers. When corporate queries contain rare, out-of-vocabulary terms — such as specific compliance codes (e.g., 'SOX-404b'), UUIDs, alphanumeric product SKUs, or server error strings — the dense embedding space produces vector space collision, where a critically distinct technical document becomes mathematically indistinguishable from semantically similar but factually irrelevant neighbors. This fundamental limitation means DPR-based retrieval will consistently fail on the exact-match precision demands that characterize a significant portion of enterprise query workloads, particularly in technical support, compliance, and inventory management domains.</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0" w:type="dxa"/>
          </w:tcPr>
          <w:p>
            <w:pPr>
              <w:spacing w:before="40" w:after="40" w:line="260" w:lineRule="exact"/>
              <w:jc w:val="left"/>
            </w:pPr>
            <w:r/>
            <w:r>
              <w:rPr>
                <w:rFonts w:ascii="Google Sans" w:hAnsi="Google Sans"/>
                <w:color w:val="1F1F1F"/>
                <w:sz w:val="18"/>
              </w:rPr>
              <w:t>AHRAG overcomes this limitation through dynamic context-aware routing across its five discrete strategy routes (R0-R4). Instead of forcing all queries through a dense vector space, the AHRAG router evaluates the enriched context vector and explicitly directs exact-identifier queries to the sparse-only BM25 pathway (R1), which preserves the critical lexical signals that dense embeddings destroy. Conceptual semantic queries are routed to dense retrieval (R2), while queries requiring both semantic understanding and lexical precision are sent to hybrid rank-fusion pathways (R3/R4). This structural route switching entirely bypasses the semantic collision failures of dense retrieval for queries where exact-match precision is paramount.</w:t>
            </w:r>
          </w:p>
        </w:tc>
      </w:tr>
      <w:tr>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 w:type="dxa"/>
          </w:tcPr>
          <w:p>
            <w:pPr>
              <w:spacing w:before="40" w:after="40" w:line="260" w:lineRule="exact"/>
              <w:jc w:val="center"/>
            </w:pPr>
            <w:r/>
            <w:r>
              <w:rPr>
                <w:rFonts w:ascii="Google Sans" w:hAnsi="Google Sans"/>
                <w:b/>
                <w:color w:val="1F1F1F"/>
                <w:sz w:val="18"/>
              </w:rPr>
              <w:t>3</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2880" w:type="dxa"/>
          </w:tcPr>
          <w:p>
            <w:pPr>
              <w:spacing w:before="40" w:after="40" w:line="260" w:lineRule="exact"/>
              <w:jc w:val="left"/>
            </w:pPr>
            <w:r/>
            <w:r>
              <w:rPr>
                <w:rFonts w:ascii="Google Sans" w:hAnsi="Google Sans"/>
                <w:b/>
                <w:color w:val="1F1F1F"/>
                <w:sz w:val="18"/>
              </w:rPr>
              <w:t>Reciprocal Rank Fusion Outperforms Condorcet and Individual Rank Learning Methods</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4031" w:type="dxa"/>
          </w:tcPr>
          <w:p>
            <w:pPr>
              <w:spacing w:before="40" w:after="40" w:line="260" w:lineRule="exact"/>
            </w:pPr>
            <w:r/>
            <w:r>
              <w:rPr>
                <w:rFonts w:ascii="Google Sans" w:hAnsi="Google Sans"/>
                <w:color w:val="1F1F1F"/>
                <w:sz w:val="18"/>
              </w:rPr>
              <w:t>TREC 2004 Terabyte Track — a text retrieval benchmark based on the 426GB GOV2 corpus containing over 25 million web documents from the .gov domain, designed for evaluating large-scale information retrieval ranking systems. Additional validation on LETOR 3 learning-to-rank datasets.</w:t>
            </w:r>
          </w:p>
          <w:p>
            <w:pPr>
              <w:spacing w:before="80" w:after="40" w:line="260" w:lineRule="exact"/>
            </w:pPr>
            <w:r>
              <w:rPr>
                <w:rFonts w:ascii="Google Sans" w:hAnsi="Google Sans"/>
                <w:color w:val="1155CC"/>
                <w:sz w:val="16"/>
                <w:u w:val="single"/>
              </w:rPr>
              <w:t>https://trec.nist.gov/data/terabyte.html</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0" w:type="dxa"/>
          </w:tcPr>
          <w:p>
            <w:pPr>
              <w:spacing w:before="40" w:after="40" w:line="260" w:lineRule="exact"/>
              <w:jc w:val="left"/>
            </w:pPr>
            <w:r/>
            <w:r>
              <w:rPr>
                <w:rFonts w:ascii="Google Sans" w:hAnsi="Google Sans"/>
                <w:color w:val="1F1F1F"/>
                <w:sz w:val="18"/>
              </w:rPr>
              <w:t>RRF operates purely as a mathematical information retrieval ranking technique entirely divorced from downstream generative model constraints. It completely ignores critical LLM-specific factors: context window saturation limits (where injecting too many fused candidates overwhelms the generator's finite token budget), generation token costs (where merging large candidate pools from multiple indices compounds API billing), and computational latency introduced by executing dual-encoder embeddings, inverted index scans, rank fusion computation, and cross-encoder reranking on every query indiscriminately. Standardizing RRF-based hybrid fusion as a monolithic, universal pipeline creates a secondary systemic failure of computational inefficiency — over-allocating massive resources to trivial queries that could be answered with zero retrieval or a single sparse lookup.</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0" w:type="dxa"/>
          </w:tcPr>
          <w:p>
            <w:pPr>
              <w:spacing w:before="40" w:after="40" w:line="260" w:lineRule="exact"/>
              <w:jc w:val="left"/>
            </w:pPr>
            <w:r/>
            <w:r>
              <w:rPr>
                <w:rFonts w:ascii="Google Sans" w:hAnsi="Google Sans"/>
                <w:color w:val="1F1F1F"/>
                <w:sz w:val="18"/>
              </w:rPr>
              <w:t>AHRAG integrates Reciprocal Rank Fusion exclusively within its hybrid retrieval pathways (R3 for single-step hybrid and R4 for decomposed iterative hybrid), but structurally bounds its execution overhead using the multi-dimensional utility function U(z|x) = Q(z|x) - λL·L(z|x) - λC·C(z|x) - λR·R(z|x). This ensures RRF-based fusion is only triggered when the expected answer quality improvement mathematically justifies the compounded latency and token costs. Simple queries are routed to lighter pathways (R0, R1, R2) that bypass fusion entirely, preventing the computational waste of applying heavyweight hybrid pipelines indiscriminately across all query types.</w:t>
            </w:r>
          </w:p>
        </w:tc>
      </w:tr>
      <w:tr>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 w:type="dxa"/>
          </w:tcPr>
          <w:p>
            <w:pPr>
              <w:spacing w:before="40" w:after="40" w:line="260" w:lineRule="exact"/>
              <w:jc w:val="center"/>
            </w:pPr>
            <w:r/>
            <w:r>
              <w:rPr>
                <w:rFonts w:ascii="Google Sans" w:hAnsi="Google Sans"/>
                <w:b/>
                <w:color w:val="1F1F1F"/>
                <w:sz w:val="18"/>
              </w:rPr>
              <w:t>4</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2880" w:type="dxa"/>
          </w:tcPr>
          <w:p>
            <w:pPr>
              <w:spacing w:before="40" w:after="40" w:line="260" w:lineRule="exact"/>
              <w:jc w:val="left"/>
            </w:pPr>
            <w:r/>
            <w:r>
              <w:rPr>
                <w:rFonts w:ascii="Google Sans" w:hAnsi="Google Sans"/>
                <w:b/>
                <w:color w:val="1F1F1F"/>
                <w:sz w:val="18"/>
              </w:rPr>
              <w:t>Adaptive-RAG: Learning to Adapt Retrieval-Augmented LLMs through Question Complexity</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4031" w:type="dxa"/>
          </w:tcPr>
          <w:p>
            <w:pPr>
              <w:spacing w:before="40" w:after="40" w:line="260" w:lineRule="exact"/>
            </w:pPr>
            <w:r/>
            <w:r>
              <w:rPr>
                <w:rFonts w:ascii="Google Sans" w:hAnsi="Google Sans"/>
                <w:color w:val="1F1F1F"/>
                <w:sz w:val="18"/>
              </w:rPr>
              <w:t>HotpotQA, MuSiQue, and 2WikiMultiHopQA — datasets featuring natural, multi-hop questions with strong supervision for supporting facts, requiring models to synthesize information across multiple Wikipedia articles. These datasets span a wide spectrum of query complexities from simple single-hop extraction to complex multi-document reasoning.</w:t>
            </w:r>
          </w:p>
          <w:p>
            <w:pPr>
              <w:spacing w:before="80" w:after="40" w:line="260" w:lineRule="exact"/>
            </w:pPr>
            <w:r>
              <w:rPr>
                <w:rFonts w:ascii="Google Sans" w:hAnsi="Google Sans"/>
                <w:color w:val="1155CC"/>
                <w:sz w:val="16"/>
                <w:u w:val="single"/>
              </w:rPr>
              <w:t>https://hotpotqa.github.io/</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0" w:type="dxa"/>
          </w:tcPr>
          <w:p>
            <w:pPr>
              <w:spacing w:before="40" w:after="40" w:line="260" w:lineRule="exact"/>
              <w:jc w:val="left"/>
            </w:pPr>
            <w:r/>
            <w:r>
              <w:rPr>
                <w:rFonts w:ascii="Google Sans" w:hAnsi="Google Sans"/>
                <w:color w:val="1F1F1F"/>
                <w:sz w:val="18"/>
              </w:rPr>
              <w:t>Routing decisions in Adaptive-RAG are predicated solely on the linguistic complexity of the input question text, treating query difficulty as a purely textual property. This approach willfully ignores the mandatory, multidimensional constraints of enterprise operations: user access permissions (RBAC profiles), document freshness requirements (temporal metadata), source authority hierarchies, and operational latency/token budgets allocated by system administrators. In a corporate environment, a query that appears linguistically 'simple' may demand complex multi-stage retrieval if the user's restricted permission set blocks access to the primary canonical document, forcing the system to aggregate scattered evidence from secondary authorized sources. Conversely, a linguistically 'complex' query may warrant zero retrieval if the user lacks permission to access any relevant documents, necessitating immediate abstention.</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0" w:type="dxa"/>
          </w:tcPr>
          <w:p>
            <w:pPr>
              <w:spacing w:before="40" w:after="40" w:line="260" w:lineRule="exact"/>
              <w:jc w:val="left"/>
            </w:pPr>
            <w:r/>
            <w:r>
              <w:rPr>
                <w:rFonts w:ascii="Google Sans" w:hAnsi="Google Sans"/>
                <w:color w:val="1F1F1F"/>
                <w:sz w:val="18"/>
              </w:rPr>
              <w:t>AHRAG radically expands the routing decision matrix beyond just the query text. Instead of analyzing solely the query q to determine complexity, the AHRAG Query Router computes utility based on an enriched context vector x = {q, h, u, scope, Mc}, where h encapsulates normalized conversation history, u denotes the authenticated user's RBAC profile, scope defines allowable corpora boundaries, and Mc represents corpus metadata distributions (e.g., local density of exact identifiers versus semantic prose). This ensures retrieval necessity is evaluated against the complete interplay of organizational risk, access structures, operational budgets, and corpus topography — not merely linguistic surface features.</w:t>
            </w:r>
          </w:p>
        </w:tc>
      </w:tr>
      <w:tr>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 w:type="dxa"/>
          </w:tcPr>
          <w:p>
            <w:pPr>
              <w:spacing w:before="40" w:after="40" w:line="260" w:lineRule="exact"/>
              <w:jc w:val="center"/>
            </w:pPr>
            <w:r/>
            <w:r>
              <w:rPr>
                <w:rFonts w:ascii="Google Sans" w:hAnsi="Google Sans"/>
                <w:b/>
                <w:color w:val="1F1F1F"/>
                <w:sz w:val="18"/>
              </w:rPr>
              <w:t>5</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2880" w:type="dxa"/>
          </w:tcPr>
          <w:p>
            <w:pPr>
              <w:spacing w:before="40" w:after="40" w:line="260" w:lineRule="exact"/>
              <w:jc w:val="left"/>
            </w:pPr>
            <w:r/>
            <w:r>
              <w:rPr>
                <w:rFonts w:ascii="Google Sans" w:hAnsi="Google Sans"/>
                <w:b/>
                <w:color w:val="1F1F1F"/>
                <w:sz w:val="18"/>
              </w:rPr>
              <w:t>Self-RAG: Learning to Retrieve, Generate, and Critique through Self-Reflection</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4031" w:type="dxa"/>
          </w:tcPr>
          <w:p>
            <w:pPr>
              <w:spacing w:before="40" w:after="40" w:line="260" w:lineRule="exact"/>
            </w:pPr>
            <w:r/>
            <w:r>
              <w:rPr>
                <w:rFonts w:ascii="Google Sans" w:hAnsi="Google Sans"/>
                <w:color w:val="1F1F1F"/>
                <w:sz w:val="18"/>
              </w:rPr>
              <w:t>PopQA (entity-centric open-domain QA), PubHealth (public health claim fact verification), and ARC-Challenge (complex science reasoning questions). Training dataset: ~150K instruction-output pairs augmented with reflection tokens (available as selfrag/selfrag_train_data on HuggingFace).</w:t>
            </w:r>
          </w:p>
          <w:p>
            <w:pPr>
              <w:spacing w:before="80" w:after="40" w:line="260" w:lineRule="exact"/>
            </w:pPr>
            <w:r>
              <w:rPr>
                <w:rFonts w:ascii="Google Sans" w:hAnsi="Google Sans"/>
                <w:color w:val="1155CC"/>
                <w:sz w:val="16"/>
                <w:u w:val="single"/>
              </w:rPr>
              <w:t>https://github.com/AkariAsai/self-rag</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0" w:type="dxa"/>
          </w:tcPr>
          <w:p>
            <w:pPr>
              <w:spacing w:before="40" w:after="40" w:line="260" w:lineRule="exact"/>
              <w:jc w:val="left"/>
            </w:pPr>
            <w:r/>
            <w:r>
              <w:rPr>
                <w:rFonts w:ascii="Google Sans" w:hAnsi="Google Sans"/>
                <w:color w:val="1F1F1F"/>
                <w:sz w:val="18"/>
              </w:rPr>
              <w:t>Self-RAG demands invasive, highly specialized fine-tuning of the base generator model to emit proprietary reflection tokens — a process that fundamentally alters the model's parametric weights. This approach is computationally expensive to train, brittle to maintain across model version updates, and virtually impossible to implement when leveraging commercial, black-box LLM APIs (such as GPT-4 or Claude) that are the dominant deployment choice in modern enterprise environments. Organizations cannot inject custom control tokens into proprietary API-served models, making Self-RAG's core mechanism architecturally incompatible with the most common enterprise LLM deployment patterns. Additionally, the reflection mechanism operates without awareness of enterprise governance constraints, access permissions, or operational cost budgets.</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0" w:type="dxa"/>
          </w:tcPr>
          <w:p>
            <w:pPr>
              <w:spacing w:before="40" w:after="40" w:line="260" w:lineRule="exact"/>
              <w:jc w:val="left"/>
            </w:pPr>
            <w:r/>
            <w:r>
              <w:rPr>
                <w:rFonts w:ascii="Google Sans" w:hAnsi="Google Sans"/>
                <w:color w:val="1F1F1F"/>
                <w:sz w:val="18"/>
              </w:rPr>
              <w:t>AHRAG completely avoids any base-model fine-tuning, preserving full compatibility with commercial black-box LLM APIs. Instead of embedding reflection tokens within the generator, AHRAG implements independent, external automated evidence sufficiency checks that evaluate whether the governed retrieval has produced adequate supporting context. When evidence is insufficient — whether due to access restrictions, corpus gaps, or low-confidence retrieval — AHRAG enforces strict pre-prompted conversational abstention protocols (route R0), instructing the generator to decline answering rather than extrapolate. This achieves equivalent self-correction and hallucination prevention without altering the underlying LLM's parametric weights.</w:t>
            </w:r>
          </w:p>
        </w:tc>
      </w:tr>
      <w:tr>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 w:type="dxa"/>
          </w:tcPr>
          <w:p>
            <w:pPr>
              <w:spacing w:before="40" w:after="40" w:line="260" w:lineRule="exact"/>
              <w:jc w:val="center"/>
            </w:pPr>
            <w:r/>
            <w:r>
              <w:rPr>
                <w:rFonts w:ascii="Google Sans" w:hAnsi="Google Sans"/>
                <w:b/>
                <w:color w:val="1F1F1F"/>
                <w:sz w:val="18"/>
              </w:rPr>
              <w:t>6</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2880" w:type="dxa"/>
          </w:tcPr>
          <w:p>
            <w:pPr>
              <w:spacing w:before="40" w:after="40" w:line="260" w:lineRule="exact"/>
              <w:jc w:val="left"/>
            </w:pPr>
            <w:r/>
            <w:r>
              <w:rPr>
                <w:rFonts w:ascii="Google Sans" w:hAnsi="Google Sans"/>
                <w:b/>
                <w:color w:val="1F1F1F"/>
                <w:sz w:val="18"/>
              </w:rPr>
              <w:t>Corrective Retrieval Augmented Generation (CRAG)</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4031" w:type="dxa"/>
          </w:tcPr>
          <w:p>
            <w:pPr>
              <w:spacing w:before="40" w:after="40" w:line="260" w:lineRule="exact"/>
            </w:pPr>
            <w:r/>
            <w:r>
              <w:rPr>
                <w:rFonts w:ascii="Google Sans" w:hAnsi="Google Sans"/>
                <w:color w:val="1F1F1F"/>
                <w:sz w:val="18"/>
              </w:rPr>
              <w:t>PopQA and Biographies (WikiBio) for short-form factual generation tasks, plus PubHealth and ARC-Challenge for fact verification and science reasoning. Empirical confidence thresholds were tuned per dataset (e.g., 0.59/-0.99 for PopQA).</w:t>
            </w:r>
          </w:p>
          <w:p>
            <w:pPr>
              <w:spacing w:before="80" w:after="40" w:line="260" w:lineRule="exact"/>
            </w:pPr>
            <w:r>
              <w:rPr>
                <w:rFonts w:ascii="Google Sans" w:hAnsi="Google Sans"/>
                <w:color w:val="1155CC"/>
                <w:sz w:val="16"/>
                <w:u w:val="single"/>
              </w:rPr>
              <w:t>https://github.com/HuskyInSalt/CRAG</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0" w:type="dxa"/>
          </w:tcPr>
          <w:p>
            <w:pPr>
              <w:spacing w:before="40" w:after="40" w:line="260" w:lineRule="exact"/>
              <w:jc w:val="left"/>
            </w:pPr>
            <w:r/>
            <w:r>
              <w:rPr>
                <w:rFonts w:ascii="Google Sans" w:hAnsi="Google Sans"/>
                <w:color w:val="1F1F1F"/>
                <w:sz w:val="18"/>
              </w:rPr>
              <w:t>CRAG's core fallback mechanism — triggering broad external web searches when internal retrieval confidence drops — represents a massive, unacceptable data leakage risk for enterprise deployments. In secure, privacy-compliant, or air-gapped corporate networks, transmitting internal query content to external search engines is fundamentally prohibited by data governance policies, regulatory compliance requirements (GDPR, HIPAA, SOX), and network security architectures. Even in non-air-gapped environments, the web search fallback introduces unverified, uncontrolled external data into the generation pipeline, bypassing all internal quality assurance, source authority tracking, and document provenance controls that enterprise knowledge management demands.</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0" w:type="dxa"/>
          </w:tcPr>
          <w:p>
            <w:pPr>
              <w:spacing w:before="40" w:after="40" w:line="260" w:lineRule="exact"/>
              <w:jc w:val="left"/>
            </w:pPr>
            <w:r/>
            <w:r>
              <w:rPr>
                <w:rFonts w:ascii="Google Sans" w:hAnsi="Google Sans"/>
                <w:color w:val="1F1F1F"/>
                <w:sz w:val="18"/>
              </w:rPr>
              <w:t>AHRAG strips out the unsafe web-search fallback mechanism entirely. Instead, it converts low-confidence internal retrieval signals into a trigger for Conversational Abstention/Clarification (route R0). When the retrieval evaluator detects insufficient evidence quality within the user's authorized corpus scope, AHRAG instructs the generator to either request clarification from the user or explicitly abstain from answering — prioritizing data security and appropriate refusal behavior over unverified external extrapolation. This formalizes the enterprise principle that accurately declining to answer is a successful governance behavior, superior to generating an unsupported response from uncontrolled external sources.</w:t>
            </w:r>
          </w:p>
        </w:tc>
      </w:tr>
      <w:tr>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 w:type="dxa"/>
          </w:tcPr>
          <w:p>
            <w:pPr>
              <w:spacing w:before="40" w:after="40" w:line="260" w:lineRule="exact"/>
              <w:jc w:val="center"/>
            </w:pPr>
            <w:r/>
            <w:r>
              <w:rPr>
                <w:rFonts w:ascii="Google Sans" w:hAnsi="Google Sans"/>
                <w:b/>
                <w:color w:val="1F1F1F"/>
                <w:sz w:val="18"/>
              </w:rPr>
              <w:t>7</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2880" w:type="dxa"/>
          </w:tcPr>
          <w:p>
            <w:pPr>
              <w:spacing w:before="40" w:after="40" w:line="260" w:lineRule="exact"/>
              <w:jc w:val="left"/>
            </w:pPr>
            <w:r/>
            <w:r>
              <w:rPr>
                <w:rFonts w:ascii="Google Sans" w:hAnsi="Google Sans"/>
                <w:b/>
                <w:color w:val="1F1F1F"/>
                <w:sz w:val="18"/>
              </w:rPr>
              <w:t>R³AG: Retriever Routing for Retrieval-Augmented Generation</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4031" w:type="dxa"/>
          </w:tcPr>
          <w:p>
            <w:pPr>
              <w:spacing w:before="40" w:after="40" w:line="260" w:lineRule="exact"/>
            </w:pPr>
            <w:r/>
            <w:r>
              <w:rPr>
                <w:rFonts w:ascii="Google Sans" w:hAnsi="Google Sans"/>
                <w:color w:val="1F1F1F"/>
                <w:sz w:val="18"/>
              </w:rPr>
              <w:t>Natural Questions, TriviaQA, and HotpotQA — a combination of open-domain QA benchmarks assessing both single-hop extraction and complex multi-hop reasoning capabilities across diverse query types.</w:t>
            </w:r>
          </w:p>
          <w:p>
            <w:pPr>
              <w:spacing w:before="80" w:after="40" w:line="260" w:lineRule="exact"/>
            </w:pPr>
            <w:r>
              <w:rPr>
                <w:rFonts w:ascii="Google Sans" w:hAnsi="Google Sans"/>
                <w:color w:val="1155CC"/>
                <w:sz w:val="16"/>
                <w:u w:val="single"/>
              </w:rPr>
              <w:t>https://hotpotqa.github.io/</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0" w:type="dxa"/>
          </w:tcPr>
          <w:p>
            <w:pPr>
              <w:spacing w:before="40" w:after="40" w:line="260" w:lineRule="exact"/>
              <w:jc w:val="left"/>
            </w:pPr>
            <w:r/>
            <w:r>
              <w:rPr>
                <w:rFonts w:ascii="Google Sans" w:hAnsi="Google Sans"/>
                <w:color w:val="1F1F1F"/>
                <w:sz w:val="18"/>
              </w:rPr>
              <w:t>While R³AG successfully evaluates downstream generation accuracy and decouples retrieval quality from generation utility, it operates under the assumption of a completely static operational environment. The routing model is entirely blind to real-world commercial constraints that dictate enterprise system viability: financial token costs (where different retriever pipelines have vastly different API billing implications), infrastructure latency spikes (where system load dynamically changes retriever response times), and identity-bound access limits (where the same query from different users may require routing to different retrievers based on their permission-restricted corpus subsets). The framework optimizes purely for accuracy without any mechanism to incorporate operational penalties or governance constraints into the routing decision.</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0" w:type="dxa"/>
          </w:tcPr>
          <w:p>
            <w:pPr>
              <w:spacing w:before="40" w:after="40" w:line="260" w:lineRule="exact"/>
              <w:jc w:val="left"/>
            </w:pPr>
            <w:r/>
            <w:r>
              <w:rPr>
                <w:rFonts w:ascii="Google Sans" w:hAnsi="Google Sans"/>
                <w:color w:val="1F1F1F"/>
                <w:sz w:val="18"/>
              </w:rPr>
              <w:t>AHRAG overlays R³AG's generative utility calculations with explicit, operator-tuned operational penalties. The AHRAG routing algorithm mathematically deducts utility based on expected latency (λL), token expenditure (λC), and operational risk (λR) using the multi-dimensional utility function U(z|x). The tunable coefficients allow enterprise operators to position the system on the quality-efficiency Pareto frontier based on real-time infrastructure loads or business priorities. Concurrently, AHRAG enforces zero-tolerance ACL checks at the physical database layer, ensuring routing decisions respect user-specific corpus access boundaries — a dimension R³AG entirely ignores.</w:t>
            </w:r>
          </w:p>
        </w:tc>
      </w:tr>
      <w:tr>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 w:type="dxa"/>
          </w:tcPr>
          <w:p>
            <w:pPr>
              <w:spacing w:before="40" w:after="40" w:line="260" w:lineRule="exact"/>
              <w:jc w:val="center"/>
            </w:pPr>
            <w:r/>
            <w:r>
              <w:rPr>
                <w:rFonts w:ascii="Google Sans" w:hAnsi="Google Sans"/>
                <w:b/>
                <w:color w:val="1F1F1F"/>
                <w:sz w:val="18"/>
              </w:rPr>
              <w:t>8</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2880" w:type="dxa"/>
          </w:tcPr>
          <w:p>
            <w:pPr>
              <w:spacing w:before="40" w:after="40" w:line="260" w:lineRule="exact"/>
              <w:jc w:val="left"/>
            </w:pPr>
            <w:r/>
            <w:r>
              <w:rPr>
                <w:rFonts w:ascii="Google Sans" w:hAnsi="Google Sans"/>
                <w:b/>
                <w:color w:val="1F1F1F"/>
                <w:sz w:val="18"/>
              </w:rPr>
              <w:t>HyPA-RAG: A Hybrid Parameter Adaptive RAG System for AI Legal and Policy Applications</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4031" w:type="dxa"/>
          </w:tcPr>
          <w:p>
            <w:pPr>
              <w:spacing w:before="40" w:after="40" w:line="260" w:lineRule="exact"/>
            </w:pPr>
            <w:r/>
            <w:r>
              <w:rPr>
                <w:rFonts w:ascii="Google Sans" w:hAnsi="Google Sans"/>
                <w:color w:val="1F1F1F"/>
                <w:sz w:val="18"/>
              </w:rPr>
              <w:t>NYC Local Law 144 (LL144) — a regulation governing automated employment decision tools — used as the primary test corpus. The researchers developed a custom 'gold standard' evaluation dataset containing diverse question categories (simple, complex, situational, comparative, rule-conclusion) categorized by required context depth.</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0" w:type="dxa"/>
          </w:tcPr>
          <w:p>
            <w:pPr>
              <w:spacing w:before="40" w:after="40" w:line="260" w:lineRule="exact"/>
              <w:jc w:val="left"/>
            </w:pPr>
            <w:r/>
            <w:r>
              <w:rPr>
                <w:rFonts w:ascii="Google Sans" w:hAnsi="Google Sans"/>
                <w:color w:val="1F1F1F"/>
                <w:sz w:val="18"/>
              </w:rPr>
              <w:t>HyPA-RAG merely tunes basic scalar hyperparameters (such as adjusting top-k retrieval depth or relevance thresholds) within a rigidly fixed hybrid pipeline topology. While this parameter adaptation improves results within its fixed architecture, it fundamentally cannot execute structural architectural shifts across different retriever topologies. For example, it cannot bypass dense retrieval entirely for exact statutory citation lookups (where sparse retrieval alone is optimal), nor can it skip retrieval completely for queries answerable from parametric knowledge. The system's adaptation is continuous and incremental rather than discrete and structural, limiting its ability to handle the extreme heterogeneity of enterprise query workloads that span radically different retrieval requirements.</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0" w:type="dxa"/>
          </w:tcPr>
          <w:p>
            <w:pPr>
              <w:spacing w:before="40" w:after="40" w:line="260" w:lineRule="exact"/>
              <w:jc w:val="left"/>
            </w:pPr>
            <w:r/>
            <w:r>
              <w:rPr>
                <w:rFonts w:ascii="Google Sans" w:hAnsi="Google Sans"/>
                <w:color w:val="1F1F1F"/>
                <w:sz w:val="18"/>
              </w:rPr>
              <w:t>AHRAG replaces fixed-pipeline parameter tuning with fully discrete structural route switching across five fundamentally different retrieval topologies (R0 through R4). Driven by the enriched context vector and the multi-dimensional utility function, the AHRAG router can dynamically jump between zero-retrieval abstention (R0), sparse-only exact-match (R1), dense-only semantic (R2), single-step hybrid rank fusion (R3), or decomposed iterative multi-hop hybrid retrieval (R4) on a strictly per-query basis. This discrete structural switching — rather than continuous parameter tuning within a fixed topology — enables AHRAG to handle the full spectrum of enterprise query heterogeneity.</w:t>
            </w:r>
          </w:p>
        </w:tc>
      </w:tr>
      <w:tr>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 w:type="dxa"/>
          </w:tcPr>
          <w:p>
            <w:pPr>
              <w:spacing w:before="40" w:after="40" w:line="260" w:lineRule="exact"/>
              <w:jc w:val="center"/>
            </w:pPr>
            <w:r/>
            <w:r>
              <w:rPr>
                <w:rFonts w:ascii="Google Sans" w:hAnsi="Google Sans"/>
                <w:b/>
                <w:color w:val="1F1F1F"/>
                <w:sz w:val="18"/>
              </w:rPr>
              <w:t>9</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2880" w:type="dxa"/>
          </w:tcPr>
          <w:p>
            <w:pPr>
              <w:spacing w:before="40" w:after="40" w:line="260" w:lineRule="exact"/>
              <w:jc w:val="left"/>
            </w:pPr>
            <w:r/>
            <w:r>
              <w:rPr>
                <w:rFonts w:ascii="Google Sans" w:hAnsi="Google Sans"/>
                <w:b/>
                <w:color w:val="1F1F1F"/>
                <w:sz w:val="18"/>
              </w:rPr>
              <w:t>Cost-Aware Query Routing in RAG: Empirical Analysis of Retrieval Depth Tradeoffs</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4031" w:type="dxa"/>
          </w:tcPr>
          <w:p>
            <w:pPr>
              <w:spacing w:before="40" w:after="40" w:line="260" w:lineRule="exact"/>
            </w:pPr>
            <w:r/>
            <w:r>
              <w:rPr>
                <w:rFonts w:ascii="Google Sans" w:hAnsi="Google Sans"/>
                <w:color w:val="1F1F1F"/>
                <w:sz w:val="18"/>
              </w:rPr>
              <w:t>A custom 15-sentence corporate technical corpus with 28 natural-language test queries spanning different complexity levels, designed to measure API billing efficiency and routing decision quality. Results are reproducible from logged CSV data artifacts.</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0" w:type="dxa"/>
          </w:tcPr>
          <w:p>
            <w:pPr>
              <w:spacing w:before="40" w:after="40" w:line="260" w:lineRule="exact"/>
              <w:jc w:val="left"/>
            </w:pPr>
            <w:r/>
            <w:r>
              <w:rPr>
                <w:rFonts w:ascii="Google Sans" w:hAnsi="Google Sans"/>
                <w:color w:val="1F1F1F"/>
                <w:sz w:val="18"/>
              </w:rPr>
              <w:t>CA-RAG delivers an excellent theoretical economic optimization model for balancing quality against cost and latency, but it exists in a complete security and governance vacuum. The utility function entirely omits integration with enterprise governance frameworks: there is no mechanism for enforcing Role-Based Access Control (RBAC) boundaries, no consideration of hierarchical document freshness constraints (where stale documents must be excluded based on temporal metadata), and no operational risk penalty for generating unverified claims from unauthorized data sources. A cost-optimal route that minimizes tokens but routes through unauthorized documents is a catastrophic governance failure in enterprise environments, regardless of its economic efficiency.</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0" w:type="dxa"/>
          </w:tcPr>
          <w:p>
            <w:pPr>
              <w:spacing w:before="40" w:after="40" w:line="260" w:lineRule="exact"/>
              <w:jc w:val="left"/>
            </w:pPr>
            <w:r/>
            <w:r>
              <w:rPr>
                <w:rFonts w:ascii="Google Sans" w:hAnsi="Google Sans"/>
                <w:color w:val="1F1F1F"/>
                <w:sz w:val="18"/>
              </w:rPr>
              <w:t>AHRAG adopts CA-RAG's core economic utility function as theoretical inspiration but substantially expands it by injecting an explicit operational risk penalty term λR·R(z|x), which quantifies the probability of generating unverified claims or violating freshness constraints for each candidate route. Furthermore, AHRAG enforces physical ACL filtering as a non-negotiable architectural prerequisite — applied before the utility function even evaluates candidate routes — ensuring that cost optimization never overrides enterprise data governance or user permission restrictions. The resulting formulation U(z|x) = Q(z|x) - λL·L(z|x) - λC·C(z|x) - λR·R(z|x) achieves economic efficiency within strict governance boundaries.</w:t>
            </w:r>
          </w:p>
        </w:tc>
      </w:tr>
      <w:tr>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 w:type="dxa"/>
          </w:tcPr>
          <w:p>
            <w:pPr>
              <w:spacing w:before="40" w:after="40" w:line="260" w:lineRule="exact"/>
              <w:jc w:val="center"/>
            </w:pPr>
            <w:r/>
            <w:r>
              <w:rPr>
                <w:rFonts w:ascii="Google Sans" w:hAnsi="Google Sans"/>
                <w:b/>
                <w:color w:val="1F1F1F"/>
                <w:sz w:val="18"/>
              </w:rPr>
              <w:t>10</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2880" w:type="dxa"/>
          </w:tcPr>
          <w:p>
            <w:pPr>
              <w:spacing w:before="40" w:after="40" w:line="260" w:lineRule="exact"/>
              <w:jc w:val="left"/>
            </w:pPr>
            <w:r/>
            <w:r>
              <w:rPr>
                <w:rFonts w:ascii="Google Sans" w:hAnsi="Google Sans"/>
                <w:b/>
                <w:color w:val="1F1F1F"/>
                <w:sz w:val="18"/>
              </w:rPr>
              <w:t>HONEYBEE: Efficient Role-based Access Control for Vector Databases via Dynamic Partitioning</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4031" w:type="dxa"/>
          </w:tcPr>
          <w:p>
            <w:pPr>
              <w:spacing w:before="40" w:after="40" w:line="260" w:lineRule="exact"/>
            </w:pPr>
            <w:r/>
            <w:r>
              <w:rPr>
                <w:rFonts w:ascii="Google Sans" w:hAnsi="Google Sans"/>
                <w:color w:val="1F1F1F"/>
                <w:sz w:val="18"/>
              </w:rPr>
              <w:t>Wikipedia-22-12 (1 million entries with 300-dimensional spaCy embeddings) for primary evaluation, plus standard vector search benchmarks SIFT1M and SIFT10M. Synthetic PostgreSQL pgvector RBAC workloads simulate diverse enterprise permission structures.</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0" w:type="dxa"/>
          </w:tcPr>
          <w:p>
            <w:pPr>
              <w:spacing w:before="40" w:after="40" w:line="260" w:lineRule="exact"/>
              <w:jc w:val="left"/>
            </w:pPr>
            <w:r/>
            <w:r>
              <w:rPr>
                <w:rFonts w:ascii="Google Sans" w:hAnsi="Google Sans"/>
                <w:color w:val="1F1F1F"/>
                <w:sz w:val="18"/>
              </w:rPr>
              <w:t>HONEYBEE focuses exclusively on the physical indexing and memory trade-offs within the vector database layer, operating completely in isolation from the generative reasoning and context routing orchestration layers of the RAG pipeline. The framework has no awareness of how its partitioning decisions affect downstream generation quality — the context routing orchestration and LLM generation phases cannot dynamically adjust their behavior based on the user's restricted access profile or the partition-induced changes in retrieval recall. A partition that is memory-efficient but produces low-recall results for a specific user role may cause the generator to hallucinate due to evidence starvation, but HONEYBEE has no mechanism to signal this risk upstream.</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0" w:type="dxa"/>
          </w:tcPr>
          <w:p>
            <w:pPr>
              <w:spacing w:before="40" w:after="40" w:line="260" w:lineRule="exact"/>
              <w:jc w:val="left"/>
            </w:pPr>
            <w:r/>
            <w:r>
              <w:rPr>
                <w:rFonts w:ascii="Google Sans" w:hAnsi="Google Sans"/>
                <w:color w:val="1F1F1F"/>
                <w:sz w:val="18"/>
              </w:rPr>
              <w:t>AHRAG links physical vector database governance directly to the generation and routing layers, creating a unified governance-aware pipeline. By applying strict ACL partitioning (inspired by HONEYBEE's dynamic partitioning) before executing rank fusion, AHRAG guarantees the generative LLM only receives context from documents the requesting user is authorized to access. Critically, AHRAG's evidence sufficiency checks operate after governed retrieval — if the ACL-filtered retrieval yields insufficient evidence to generate a grounded response, the system triggers abstention (R0) rather than allowing the generator to hallucinate from an evidence-starved context window.</w:t>
            </w:r>
          </w:p>
        </w:tc>
      </w:tr>
      <w:tr>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 w:type="dxa"/>
          </w:tcPr>
          <w:p>
            <w:pPr>
              <w:spacing w:before="40" w:after="40" w:line="260" w:lineRule="exact"/>
              <w:jc w:val="center"/>
            </w:pPr>
            <w:r/>
            <w:r>
              <w:rPr>
                <w:rFonts w:ascii="Google Sans" w:hAnsi="Google Sans"/>
                <w:b/>
                <w:color w:val="1F1F1F"/>
                <w:sz w:val="18"/>
              </w:rPr>
              <w:t>11</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2880" w:type="dxa"/>
          </w:tcPr>
          <w:p>
            <w:pPr>
              <w:spacing w:before="40" w:after="40" w:line="260" w:lineRule="exact"/>
              <w:jc w:val="left"/>
            </w:pPr>
            <w:r/>
            <w:r>
              <w:rPr>
                <w:rFonts w:ascii="Google Sans" w:hAnsi="Google Sans"/>
                <w:b/>
                <w:color w:val="1F1F1F"/>
                <w:sz w:val="18"/>
              </w:rPr>
              <w:t>ARES: An Automated Evaluation Framework for Retrieval-Augmented Generation Systems</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4031" w:type="dxa"/>
          </w:tcPr>
          <w:p>
            <w:pPr>
              <w:spacing w:before="40" w:after="40" w:line="260" w:lineRule="exact"/>
            </w:pPr>
            <w:r/>
            <w:r>
              <w:rPr>
                <w:rFonts w:ascii="Google Sans" w:hAnsi="Google Sans"/>
                <w:color w:val="1F1F1F"/>
                <w:sz w:val="18"/>
              </w:rPr>
              <w:t>Evaluated across eight knowledge-intensive tasks from KILT (Knowledge Intensive Language Tasks) and SuperGLUE benchmarks, covering fact-checking, entity linking, slot filling, and dialogue tasks built on a unified Wikipedia snapshot.</w:t>
            </w:r>
          </w:p>
          <w:p>
            <w:pPr>
              <w:spacing w:before="80" w:after="40" w:line="260" w:lineRule="exact"/>
            </w:pPr>
            <w:r>
              <w:rPr>
                <w:rFonts w:ascii="Google Sans" w:hAnsi="Google Sans"/>
                <w:color w:val="1155CC"/>
                <w:sz w:val="16"/>
                <w:u w:val="single"/>
              </w:rPr>
              <w:t>https://github.com/facebookresearch/KILT</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0" w:type="dxa"/>
          </w:tcPr>
          <w:p>
            <w:pPr>
              <w:spacing w:before="40" w:after="40" w:line="260" w:lineRule="exact"/>
              <w:jc w:val="left"/>
            </w:pPr>
            <w:r/>
            <w:r>
              <w:rPr>
                <w:rFonts w:ascii="Google Sans" w:hAnsi="Google Sans"/>
                <w:color w:val="1F1F1F"/>
                <w:sz w:val="18"/>
              </w:rPr>
              <w:t>ARES focuses evaluation entirely on standard open-domain QA metrics — context relevance, answer faithfulness, and answer relevance — which are necessary but grossly insufficient for enterprise RAG evaluation. It fundamentally ignores mandatory enterprise evaluation parameters: guaranteeing zero ACL violations (ensuring no answer is derived from unauthorized documents), tracing specific citation entailment (verifying that every generated claim maps to a specific authorized source passage), measuring the appropriateness of system abstention (evaluating whether the system correctly refuses to answer when authorized evidence is insufficient), and tracking document freshness compliance (ensuring answers reflect the most current authorized document versions).</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0" w:type="dxa"/>
          </w:tcPr>
          <w:p>
            <w:pPr>
              <w:spacing w:before="40" w:after="40" w:line="260" w:lineRule="exact"/>
              <w:jc w:val="left"/>
            </w:pPr>
            <w:r/>
            <w:r>
              <w:rPr>
                <w:rFonts w:ascii="Google Sans" w:hAnsi="Google Sans"/>
                <w:color w:val="1F1F1F"/>
                <w:sz w:val="18"/>
              </w:rPr>
              <w:t>AHRAG leverages ARES's robust Prediction-Powered Inference (PPI) statistical methodology as the foundation for its evaluation framework but radically extends the evaluation taxonomy to encompass enterprise-critical safety metrics. Beyond standard relevance and faithfulness, AHRAG's evaluation explicitly tracks: ACL compliance rate (percentage of responses derived exclusively from authorized documents), freshness compliance (adherence to temporal metadata constraints), abstention appropriateness (correct refusal rate when governed retrieval yields insufficient evidence), and citation entailment precision (claim-level traceability to specific source passages). This comprehensive evaluation ensures enterprise RAG systems are assessed against real-world governance requirements, not just academic accuracy benchmarks.</w:t>
            </w:r>
          </w:p>
        </w:tc>
      </w:tr>
      <w:tr>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 w:type="dxa"/>
          </w:tcPr>
          <w:p>
            <w:pPr>
              <w:spacing w:before="40" w:after="40" w:line="260" w:lineRule="exact"/>
              <w:jc w:val="center"/>
            </w:pPr>
            <w:r/>
            <w:r>
              <w:rPr>
                <w:rFonts w:ascii="Google Sans" w:hAnsi="Google Sans"/>
                <w:b/>
                <w:color w:val="1F1F1F"/>
                <w:sz w:val="18"/>
              </w:rPr>
              <w:t>12</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2880" w:type="dxa"/>
          </w:tcPr>
          <w:p>
            <w:pPr>
              <w:spacing w:before="40" w:after="40" w:line="260" w:lineRule="exact"/>
              <w:jc w:val="left"/>
            </w:pPr>
            <w:r/>
            <w:r>
              <w:rPr>
                <w:rFonts w:ascii="Google Sans" w:hAnsi="Google Sans"/>
                <w:b/>
                <w:color w:val="1F1F1F"/>
                <w:sz w:val="18"/>
              </w:rPr>
              <w:t>RAGChecker: A Fine-grained Framework for Diagnosing Retrieval-Augmented Generation</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4031" w:type="dxa"/>
          </w:tcPr>
          <w:p>
            <w:pPr>
              <w:spacing w:before="40" w:after="40" w:line="260" w:lineRule="exact"/>
            </w:pPr>
            <w:r/>
            <w:r>
              <w:rPr>
                <w:rFonts w:ascii="Google Sans" w:hAnsi="Google Sans"/>
                <w:color w:val="1F1F1F"/>
                <w:sz w:val="18"/>
              </w:rPr>
              <w:t>RAGChecker Benchmark — a comprehensive diagnostic dataset containing 4,000 QA pairs across 10 diverse domains, designed to evaluate claim-level entailment and reasoning with fine-grained error attribution.</w:t>
            </w:r>
          </w:p>
          <w:p>
            <w:pPr>
              <w:spacing w:before="80" w:after="40" w:line="260" w:lineRule="exact"/>
            </w:pPr>
            <w:r>
              <w:rPr>
                <w:rFonts w:ascii="Google Sans" w:hAnsi="Google Sans"/>
                <w:color w:val="1155CC"/>
                <w:sz w:val="16"/>
                <w:u w:val="single"/>
              </w:rPr>
              <w:t>https://github.com/amazon-science/ragchecker</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0" w:type="dxa"/>
          </w:tcPr>
          <w:p>
            <w:pPr>
              <w:spacing w:before="40" w:after="40" w:line="260" w:lineRule="exact"/>
              <w:jc w:val="left"/>
            </w:pPr>
            <w:r/>
            <w:r>
              <w:rPr>
                <w:rFonts w:ascii="Google Sans" w:hAnsi="Google Sans"/>
                <w:color w:val="1F1F1F"/>
                <w:sz w:val="18"/>
              </w:rPr>
              <w:t>RAGChecker is extremely effective at identifying hallucinations and isolating error sources between retriever and generator, but it evaluates models in a purely operational vacuum disconnected from real-world deployment constraints. It does not assess the execution latency cost of performing claim-level decomposition and entailment checking (which can be substantial for long-form responses), the token budget consumption of the entailment verification pipeline itself, or the system's compliance with underlying dataset governance and document access rules. In enterprise deployments, a faithfulness metric is meaningless if the 'faithful' response was generated from documents the user was not authorized to access.</w:t>
            </w:r>
          </w:p>
        </w:tc>
        <w:tc>
          <w:tcPr>
            <w:shd w:fill="F1F3F4" w:val="clea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0" w:type="dxa"/>
          </w:tcPr>
          <w:p>
            <w:pPr>
              <w:spacing w:before="40" w:after="40" w:line="260" w:lineRule="exact"/>
              <w:jc w:val="left"/>
            </w:pPr>
            <w:r/>
            <w:r>
              <w:rPr>
                <w:rFonts w:ascii="Google Sans" w:hAnsi="Google Sans"/>
                <w:color w:val="1F1F1F"/>
                <w:sz w:val="18"/>
              </w:rPr>
              <w:t>AHRAG pairs RAGChecker's fine-grained claim-level entailment checking methodology directly with live operational efficiency telemetry. This allows enterprise administrators to evaluate the direct trade-offs between end-to-end execution latency (p50/p95 response times), token billing costs (total API expenditure per query), and the resulting factual correctness of generated claims. By combining claim-level diagnostic precision with operational cost awareness, AHRAG enables practitioners to make informed decisions about the acceptable quality-cost trade-off for their specific enterprise deployment context.</w:t>
            </w:r>
          </w:p>
        </w:tc>
      </w:tr>
      <w:tr>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 w:type="dxa"/>
          </w:tcPr>
          <w:p>
            <w:pPr>
              <w:spacing w:before="40" w:after="40" w:line="260" w:lineRule="exact"/>
              <w:jc w:val="center"/>
            </w:pPr>
            <w:r/>
            <w:r>
              <w:rPr>
                <w:rFonts w:ascii="Google Sans" w:hAnsi="Google Sans"/>
                <w:b/>
                <w:color w:val="1F1F1F"/>
                <w:sz w:val="18"/>
              </w:rPr>
              <w:t>13</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2880" w:type="dxa"/>
          </w:tcPr>
          <w:p>
            <w:pPr>
              <w:spacing w:before="40" w:after="40" w:line="260" w:lineRule="exact"/>
              <w:jc w:val="left"/>
            </w:pPr>
            <w:r/>
            <w:r>
              <w:rPr>
                <w:rFonts w:ascii="Google Sans" w:hAnsi="Google Sans"/>
                <w:b/>
                <w:color w:val="1F1F1F"/>
                <w:sz w:val="18"/>
              </w:rPr>
              <w:t>FinanceBench: A New Benchmark for Financial Question Answering</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4031" w:type="dxa"/>
          </w:tcPr>
          <w:p>
            <w:pPr>
              <w:spacing w:before="40" w:after="40" w:line="260" w:lineRule="exact"/>
            </w:pPr>
            <w:r/>
            <w:r>
              <w:rPr>
                <w:rFonts w:ascii="Google Sans" w:hAnsi="Google Sans"/>
                <w:color w:val="1F1F1F"/>
                <w:sz w:val="18"/>
              </w:rPr>
              <w:t>Comprises 10,231 questions about publicly traded companies, with corresponding verified answers and evidence strings extracted from 361 public financial filings (10-Ks, 10-Qs, 8-Ks). Open-sourced as a reference benchmark for financial AI research.</w:t>
            </w:r>
          </w:p>
          <w:p>
            <w:pPr>
              <w:spacing w:before="80" w:after="40" w:line="260" w:lineRule="exact"/>
            </w:pPr>
            <w:r>
              <w:rPr>
                <w:rFonts w:ascii="Google Sans" w:hAnsi="Google Sans"/>
                <w:color w:val="1155CC"/>
                <w:sz w:val="16"/>
                <w:u w:val="single"/>
              </w:rPr>
              <w:t>https://github.com/patronus-ai/financebench</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0" w:type="dxa"/>
          </w:tcPr>
          <w:p>
            <w:pPr>
              <w:spacing w:before="40" w:after="40" w:line="260" w:lineRule="exact"/>
              <w:jc w:val="left"/>
            </w:pPr>
            <w:r/>
            <w:r>
              <w:rPr>
                <w:rFonts w:ascii="Google Sans" w:hAnsi="Google Sans"/>
                <w:color w:val="1F1F1F"/>
                <w:sz w:val="18"/>
              </w:rPr>
              <w:t>FinanceBench represents a single, highly specific industry vertical (finance) and, while valuable, structurally fails to capture the full complexity of enterprise RAG deployment. Crucially, the benchmark lacks multi-tier user role profiles (where different analysts have different access levels to the same financial documents), permissions-based abstention checks (where the system must refuse to answer when the user lacks authorization for the relevant filings), and conflicting temporal document versions (where multiple versions of the same filing exist with different effective dates, and the system must select the version appropriate to the user's query timeframe). These omissions mean FinanceBench overstates system readiness for real corporate deployments.</w:t>
            </w:r>
          </w:p>
        </w:tc>
        <w:tc>
          <w:tcPr>
            <w:tcBorders>
              <w:top w:val="single" w:sz="4" w:space="0" w:color="DADCE0"/>
              <w:left w:val="single" w:sz="4" w:space="0" w:color="DADCE0"/>
              <w:bottom w:val="single" w:sz="4" w:space="0" w:color="DADCE0"/>
              <w:right w:val="single" w:sz="4" w:space="0" w:color="DADCE0"/>
            </w:tcBorders>
            <w:tcMar>
              <w:top w:w="40" w:type="dxa"/>
              <w:left w:w="60" w:type="dxa"/>
              <w:bottom w:w="40" w:type="dxa"/>
              <w:right w:w="60" w:type="dxa"/>
            </w:tcMar>
            <w:vAlign w:val="top"/>
            <w:tcW w:w="5760" w:type="dxa"/>
          </w:tcPr>
          <w:p>
            <w:pPr>
              <w:spacing w:before="40" w:after="40" w:line="260" w:lineRule="exact"/>
              <w:jc w:val="left"/>
            </w:pPr>
            <w:r/>
            <w:r>
              <w:rPr>
                <w:rFonts w:ascii="Google Sans" w:hAnsi="Google Sans"/>
                <w:color w:val="1F1F1F"/>
                <w:sz w:val="18"/>
              </w:rPr>
              <w:t>AHRAG supplements standard public vertical benchmarks like FinanceBench with a strictly controlled, de-identified corporate pilot dataset that explicitly maps complex organizational permission structures. This custom evaluation dataset introduces multi-tier user roles with varying access levels, temporal document versioning conflicts, and mandatory abstention scenarios — ensuring the AHRAG router's multi-dimensional utility function is validated against actual enterprise access restrictions, permission hierarchies, and the chaotic document versioning realities of a live corporate knowledge base.</w:t>
            </w:r>
          </w:p>
        </w:tc>
      </w:tr>
    </w:tbl>
    <w:sectPr w:rsidR="00FC693F" w:rsidRPr="0006063C" w:rsidSect="00034616">
      <w:pgSz w:w="20160" w:h="12240" w:orient="landscape"/>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oogle Sans" w:hAnsi="Google Sans"/>
      <w:color w:val="1F1F1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