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c523edadf5d452a080feab6e3480438c36d244"/>
    <w:p>
      <w:pPr>
        <w:pStyle w:val="Heading1"/>
      </w:pPr>
      <w:r>
        <w:t xml:space="preserve">Adaptive Hybrid Retrieval-Augmented Generation with Context-Aware Query Routing for Enterprise Knowledge Intelligence</w:t>
      </w:r>
    </w:p>
    <w:bookmarkStart w:id="9" w:name="abstract"/>
    <w:p>
      <w:pPr>
        <w:pStyle w:val="Heading2"/>
      </w:pPr>
      <w:r>
        <w:t xml:space="preserve">Abstract</w:t>
      </w:r>
    </w:p>
    <w:p>
      <w:pPr>
        <w:pStyle w:val="FirstParagraph"/>
      </w:pPr>
      <w:r>
        <w:t xml:space="preserve">Enterprise knowledge is distributed across policies, project documents, tickets, email, wikis, and structured reports. Retrieval-augmented generation (RAG) can ground large-language-model (LLM) responses in this changing knowledge, but a single fixed retrieval method is poorly matched to the diversity of enterprise questions. Exact-match questions about policy identifiers or error codes are unlike conceptual questions, and both differ from multi-document, temporal, or permission-sensitive questions. This paper proposes</w:t>
      </w:r>
      <w:r>
        <w:t xml:space="preserve"> </w:t>
      </w:r>
      <w:r>
        <w:rPr>
          <w:b/>
          <w:bCs/>
        </w:rPr>
        <w:t xml:space="preserve">Adaptive Hybrid Retrieval-Augmented Generation (AHRAG)</w:t>
      </w:r>
      <w:r>
        <w:t xml:space="preserve">, a context-aware architecture that selects a retrieval strategy per query rather than applying one pipeline indiscriminately. A lightweight router uses query features, conversation context, corpus metadata, access permissions, and uncertainty to choose clarification, sparse retrieval, dense retrieval, hybrid retrieval, or iterative/decomposed retrieval. Hybrid routes fuse sparse and dense rankings with Reciprocal Rank Fusion (RRF), rerank only authorised candidates, and require citation-grounded generation or abstention. The proposed study compares AHRAG with fixed and adaptive baselines on retrieval effectiveness, answer correctness, faithfulness, citation quality, latency, cost, and access-control compliance. Its contribution is a reproducible, governance-aware routing formulation for enterprise RAG—not an untested claim that one retriever is universally best.</w:t>
      </w:r>
    </w:p>
    <w:p>
      <w:pPr>
        <w:pStyle w:val="BodyText"/>
      </w:pPr>
      <w:r>
        <w:rPr>
          <w:b/>
          <w:bCs/>
        </w:rPr>
        <w:t xml:space="preserve">Keywords:</w:t>
      </w:r>
      <w:r>
        <w:t xml:space="preserve"> </w:t>
      </w:r>
      <w:r>
        <w:t xml:space="preserve">retrieval-augmented generation; hybrid retrieval; query routing; enterprise search; large language models; information retrieval; grounded generation.</w:t>
      </w:r>
    </w:p>
    <w:bookmarkEnd w:id="9"/>
    <w:bookmarkStart w:id="10" w:name="introduction"/>
    <w:p>
      <w:pPr>
        <w:pStyle w:val="Heading2"/>
      </w:pPr>
      <w:r>
        <w:t xml:space="preserve">1. Introduction</w:t>
      </w:r>
    </w:p>
    <w:p>
      <w:pPr>
        <w:pStyle w:val="FirstParagraph"/>
      </w:pPr>
      <w:r>
        <w:t xml:space="preserve">Large language models are useful interfaces to organisational knowledge, but their parametric knowledge can be outdated, opaque, and unable to reflect private enterprise content. RAG addresses this limitation by retrieving external passages and conditioning generation on them. Lewis et al. introduced RAG as a combination of parametric language-model memory and non-parametric retrieved memory, reporting stronger factual and knowledge-intensive generation than a parametric-only baseline [1]. This makes RAG a promising foundation for enterprise knowledge intelligence: a system that helps staff discover, synthesize, and verify information from authorised internal sources.</w:t>
      </w:r>
    </w:p>
    <w:p>
      <w:pPr>
        <w:pStyle w:val="BodyText"/>
      </w:pPr>
      <w:r>
        <w:t xml:space="preserve">However, enterprise knowledge bases are heterogeneous. They include exact terms (product SKUs, regulation clauses, ticket IDs), semantically expressed policies, tables, versioned documents, short conversations, and conflicting or superseded records. A fixed dense retriever may miss rare exact terms; a sparse lexical retriever may miss paraphrases and conceptual similarity. Dense Passage Retrieval (DPR) demonstrated the value of dense dual-encoder retrieval for open-domain QA [2], but does not imply that dense retrieval is best for every enterprise query. Combining independent rankers is a practical alternative: RRF was shown to consistently improve over individual ranked systems in the experiments of Cormack, Clarke, and Büttcher [3].</w:t>
      </w:r>
    </w:p>
    <w:p>
      <w:pPr>
        <w:pStyle w:val="BodyText"/>
      </w:pPr>
      <w:r>
        <w:t xml:space="preserve">Equally important, not every question warrants the same retrieval workflow. A simple definition already represented in a trusted, short document may need one retrieval pass; a question requiring comparison across projects or dates may need decomposition, multiple retrieval rounds, and stronger verification. Adaptive-RAG formalises this intuition by selecting strategies based on question complexity [4]. Self-RAG and Corrective RAG further demonstrate the value of deciding when retrieval is necessary and assessing retrieved evidence before final generation [5, 6].</w:t>
      </w:r>
    </w:p>
    <w:p>
      <w:pPr>
        <w:pStyle w:val="BodyText"/>
      </w:pPr>
      <w:r>
        <w:t xml:space="preserve">This paper proposes AHRAG, a context-aware query-routing approach that combines these strands for enterprise settings. It is designed around four principles: (i) route rather than apply a fixed pipeline; (ii) combine lexical and semantic evidence only when the expected utility justifies it; (iii) enforce authorisation before text is exposed to later stages; and (iv) make answers traceable to retrieved source segments. The paper frames the proposal as an experimentally testable architecture rather than claiming performance results before evaluation.</w:t>
      </w:r>
    </w:p>
    <w:p>
      <w:pPr>
        <w:pStyle w:val="BodyText"/>
      </w:pPr>
      <w:r>
        <w:t xml:space="preserve">The study has three objectives: (1) develop a router that selects both retriever family and retrieval depth using enterprise context; (2) quantify the quality–latency–cost trade-off against fixed retrieval pipelines; and (3) assess whether the design can preserve evidence traceability and access control. The following contributions are proposed:</w:t>
      </w:r>
    </w:p>
    <w:p>
      <w:pPr>
        <w:pStyle w:val="Compact"/>
        <w:numPr>
          <w:ilvl w:val="0"/>
          <w:numId w:val="1001"/>
        </w:numPr>
      </w:pPr>
      <w:r>
        <w:t xml:space="preserve">A constrained routing formulation that incorporates query intent, conversation state, document metadata, permissions, retrieval confidence, and operational cost.</w:t>
      </w:r>
    </w:p>
    <w:p>
      <w:pPr>
        <w:pStyle w:val="Compact"/>
        <w:numPr>
          <w:ilvl w:val="0"/>
          <w:numId w:val="1001"/>
        </w:numPr>
      </w:pPr>
      <w:r>
        <w:t xml:space="preserve">An enterprise-safe retrieval pipeline that applies ACL filtering before candidate reranking and generation, preserves evidence provenance, and supports abstention.</w:t>
      </w:r>
    </w:p>
    <w:p>
      <w:pPr>
        <w:pStyle w:val="Compact"/>
        <w:numPr>
          <w:ilvl w:val="0"/>
          <w:numId w:val="1001"/>
        </w:numPr>
      </w:pPr>
      <w:r>
        <w:t xml:space="preserve">An evaluation protocol that reports retrieval, answer, citation, safety, and efficiency metrics together, with public benchmarks and a controlled de-identified pilot dataset.</w:t>
      </w:r>
    </w:p>
    <w:bookmarkEnd w:id="10"/>
    <w:bookmarkStart w:id="15" w:name="literature-review"/>
    <w:p>
      <w:pPr>
        <w:pStyle w:val="Heading2"/>
      </w:pPr>
      <w:r>
        <w:t xml:space="preserve">2. Literature Review</w:t>
      </w:r>
    </w:p>
    <w:bookmarkStart w:id="11" w:name="retrieval-augmented-generation"/>
    <w:p>
      <w:pPr>
        <w:pStyle w:val="Heading3"/>
      </w:pPr>
      <w:r>
        <w:t xml:space="preserve">2.1 Retrieval-augmented generation</w:t>
      </w:r>
    </w:p>
    <w:p>
      <w:pPr>
        <w:pStyle w:val="FirstParagraph"/>
      </w:pPr>
      <w:r>
        <w:t xml:space="preserve">RAG supplements an LLM with retrieved non-parametric knowledge at inference time. The original RAG study established the core retrieve-then-generate formulation for knowledge-intensive NLP tasks [1]. Subsequent surveys distinguish naïve pipelines from advanced and modular RAG systems, with improvements in indexing, query processing, reranking, and evaluation [7]. The central benefit is not merely better answers: retrieved evidence can make answers inspectable and can be refreshed without retraining the base LLM.</w:t>
      </w:r>
    </w:p>
    <w:bookmarkEnd w:id="11"/>
    <w:bookmarkStart w:id="12" w:name="sparse-dense-and-hybrid-retrieval"/>
    <w:p>
      <w:pPr>
        <w:pStyle w:val="Heading3"/>
      </w:pPr>
      <w:r>
        <w:t xml:space="preserve">2.2 Sparse, dense, and hybrid retrieval</w:t>
      </w:r>
    </w:p>
    <w:p>
      <w:pPr>
        <w:pStyle w:val="FirstParagraph"/>
      </w:pPr>
      <w:r>
        <w:t xml:space="preserve">Sparse retrieval methods such as BM25 score lexical overlap and remain valuable for identifiers, rare terminology, exact phrases, and compliance language. Dense retrievers embed queries and passages in a shared vector space and can recover semantically related text despite lexical mismatch. DPR demonstrated that a dual-encoder dense retriever could outperform a strong BM25 baseline on several open-domain QA benchmarks [2]. Yet retrieval methods fail differently, motivating hybrid retrieval.</w:t>
      </w:r>
    </w:p>
    <w:p>
      <w:pPr>
        <w:pStyle w:val="BodyText"/>
      </w:pPr>
      <w:r>
        <w:t xml:space="preserve">Hybrid retrieval obtains candidates from sparse and dense indexes and merges them. A robust rank-based choice is RRF:</w:t>
      </w:r>
    </w:p>
    <w:p>
      <w:pPr>
        <w:pStyle w:val="BodyText"/>
      </w:pPr>
      <w:r>
        <w:t xml:space="preserve">[</w:t>
      </w:r>
      <w:r>
        <w:t xml:space="preserve"> </w:t>
      </w:r>
      <w:r>
        <w:t xml:space="preserve">(d) =</w:t>
      </w:r>
      <w:r>
        <w:t xml:space="preserve"> </w:t>
      </w:r>
      <w:r>
        <w:t xml:space="preserve">_{r</w:t>
      </w:r>
      <w:r>
        <w:t xml:space="preserve"> </w:t>
      </w:r>
      <w:r>
        <w:t xml:space="preserve">R}</w:t>
      </w:r>
      <w:r>
        <w:t xml:space="preserve"> </w:t>
      </w:r>
      <w:r>
        <w:t xml:space="preserve">,</w:t>
      </w:r>
      <w:r>
        <w:t xml:space="preserve"> </w:t>
      </w:r>
      <w:r>
        <w:t xml:space="preserve">]</w:t>
      </w:r>
    </w:p>
    <w:p>
      <w:pPr>
        <w:pStyle w:val="BodyText"/>
      </w:pPr>
      <w:r>
        <w:t xml:space="preserve">where (R) is the set of retrievers, (</w:t>
      </w:r>
      <w:r>
        <w:t xml:space="preserve">_{r}(d)) is the rank assigned to document (d), and (k) is a smoothing constant. RRF avoids directly comparing incompatible sparse and dense similarity scales and has empirical support as a rank-fusion method [3]. A cross-encoder reranker can then score the query and candidate text jointly, trading additional latency for greater precision.</w:t>
      </w:r>
    </w:p>
    <w:bookmarkEnd w:id="12"/>
    <w:bookmarkStart w:id="13" w:name="adaptive-retrieval-and-query-routing"/>
    <w:p>
      <w:pPr>
        <w:pStyle w:val="Heading3"/>
      </w:pPr>
      <w:r>
        <w:t xml:space="preserve">2.3 Adaptive retrieval and query routing</w:t>
      </w:r>
    </w:p>
    <w:p>
      <w:pPr>
        <w:pStyle w:val="FirstParagraph"/>
      </w:pPr>
      <w:r>
        <w:t xml:space="preserve">Fixed retrieval depth creates an efficiency–quality dilemma: always using a costly multi-step pipeline wastes resources on simple questions, while always using a one-shot pipeline can fail on multi-hop questions. Adaptive-RAG addresses this by using a classifier to select no-retrieval, single-step, or iterative strategies according to predicted query complexity [4]. Self-RAG introduces learned reflection tokens to decide whether to retrieve and to critique relevance and support [5]. Corrective RAG adds a retrieval evaluator that chooses corrective actions when retrieved documents are weak [6].</w:t>
      </w:r>
    </w:p>
    <w:p>
      <w:pPr>
        <w:pStyle w:val="BodyText"/>
      </w:pPr>
      <w:r>
        <w:t xml:space="preserve">These studies establish that retrieval should be conditional, but they mainly use open-domain QA settings. Enterprise routing also needs to account for corpus type, security constraints, freshness, document authority, conversation context, and user role. HyPA-RAG combines a query-complexity classifier with hybrid retrieval for legal and policy material [13], while the recent R³AG work studies retriever routing using document assessments and downstream answer correctness [14]. These are highly relevant precedents. The remaining enterprise challenge is to make the route decision simultaneously governance-aware, source-aware, and operationally measurable rather than treating routing only as an answer-accuracy problem.</w:t>
      </w:r>
    </w:p>
    <w:bookmarkEnd w:id="13"/>
    <w:bookmarkStart w:id="14" w:name="X83259dd7c7f6c1e442addad5bc5c526e90b27e1"/>
    <w:p>
      <w:pPr>
        <w:pStyle w:val="Heading3"/>
      </w:pPr>
      <w:r>
        <w:t xml:space="preserve">2.4 Evaluation and enterprise-oriented benchmarks</w:t>
      </w:r>
    </w:p>
    <w:p>
      <w:pPr>
        <w:pStyle w:val="FirstParagraph"/>
      </w:pPr>
      <w:r>
        <w:t xml:space="preserve">RAG evaluation must separate retrieval quality from generated-answer quality. RAGAS proposes reference-free measures for context relevance, faithfulness, and answer relevance [8]; ARES similarly evaluates context relevance, answer faithfulness, and answer relevance with lightweight judges and limited human labels [9]. Conventional retrieval metrics—Recall@K, MRR, and nDCG—are still required where evidence labels exist.</w:t>
      </w:r>
    </w:p>
    <w:p>
      <w:pPr>
        <w:pStyle w:val="BodyText"/>
      </w:pPr>
      <w:r>
        <w:t xml:space="preserve">Enterprise-style evaluation is becoming more realistic. FinanceBench contains 10,231 financial QA items with answers and evidence strings; its authors report that even strong models have substantial limitations in realistic financial QA [10]. EnterpriseRAG-Bench provides a synthetic but large-scale company-internal corpus spanning nine source types, including noisy, duplicated, conflicting, and cross-document information [11]. These resources are useful complements: FinanceBench tests difficult long-document, high-stakes retrieval, while EnterpriseRAG-Bench better reflects heterogeneous internal repositories. Neither by itself replaces a privacy-preserving evaluation set from the target organisation.</w:t>
      </w:r>
    </w:p>
    <w:bookmarkEnd w:id="14"/>
    <w:bookmarkEnd w:id="15"/>
    <w:bookmarkStart w:id="16" w:name="problem-statement"/>
    <w:p>
      <w:pPr>
        <w:pStyle w:val="Heading2"/>
      </w:pPr>
      <w:r>
        <w:t xml:space="preserve">3. Problem Statement</w:t>
      </w:r>
    </w:p>
    <w:p>
      <w:pPr>
        <w:pStyle w:val="FirstParagraph"/>
      </w:pPr>
      <w:r>
        <w:t xml:space="preserve">Let an enterprise corpus be (</w:t>
      </w:r>
      <w:r>
        <w:t xml:space="preserve">), containing document segments (d) with text, source, timestamp, version, authority, and access-control metadata. Given an authenticated user (u), conversation context (h), and query (q), the system must generate an answer (a), citations (E), and a route (z). The objective is not simply to maximise answer accuracy; it is to maximise supported answer utility while obeying access, latency, and cost constraints.</w:t>
      </w:r>
    </w:p>
    <w:p>
      <w:pPr>
        <w:pStyle w:val="BodyText"/>
      </w:pPr>
      <w:r>
        <w:t xml:space="preserve">Most conventional RAG systems apply one fixed retriever and one fixed top-(K) setting to all queries. This creates four practical problems:</w:t>
      </w:r>
    </w:p>
    <w:p>
      <w:pPr>
        <w:pStyle w:val="Compact"/>
        <w:numPr>
          <w:ilvl w:val="0"/>
          <w:numId w:val="1002"/>
        </w:numPr>
      </w:pPr>
      <w:r>
        <w:rPr>
          <w:b/>
          <w:bCs/>
        </w:rPr>
        <w:t xml:space="preserve">Retrieval mismatch:</w:t>
      </w:r>
      <w:r>
        <w:t xml:space="preserve"> </w:t>
      </w:r>
      <w:r>
        <w:t xml:space="preserve">lexical questions and semantic questions receive the same retrieval treatment.</w:t>
      </w:r>
    </w:p>
    <w:p>
      <w:pPr>
        <w:pStyle w:val="Compact"/>
        <w:numPr>
          <w:ilvl w:val="0"/>
          <w:numId w:val="1002"/>
        </w:numPr>
      </w:pPr>
      <w:r>
        <w:rPr>
          <w:b/>
          <w:bCs/>
        </w:rPr>
        <w:t xml:space="preserve">Unnecessary cost:</w:t>
      </w:r>
      <w:r>
        <w:t xml:space="preserve"> </w:t>
      </w:r>
      <w:r>
        <w:t xml:space="preserve">simple or conversational queries incur expensive retrieval and reranking.</w:t>
      </w:r>
    </w:p>
    <w:p>
      <w:pPr>
        <w:pStyle w:val="Compact"/>
        <w:numPr>
          <w:ilvl w:val="0"/>
          <w:numId w:val="1002"/>
        </w:numPr>
      </w:pPr>
      <w:r>
        <w:rPr>
          <w:b/>
          <w:bCs/>
        </w:rPr>
        <w:t xml:space="preserve">Insufficient reasoning support:</w:t>
      </w:r>
      <w:r>
        <w:t xml:space="preserve"> </w:t>
      </w:r>
      <w:r>
        <w:t xml:space="preserve">multi-document, comparative, and temporal questions receive too little retrieval depth.</w:t>
      </w:r>
    </w:p>
    <w:p>
      <w:pPr>
        <w:pStyle w:val="Compact"/>
        <w:numPr>
          <w:ilvl w:val="0"/>
          <w:numId w:val="1002"/>
        </w:numPr>
      </w:pPr>
      <w:r>
        <w:rPr>
          <w:b/>
          <w:bCs/>
        </w:rPr>
        <w:t xml:space="preserve">Enterprise risk:</w:t>
      </w:r>
      <w:r>
        <w:t xml:space="preserve"> </w:t>
      </w:r>
      <w:r>
        <w:t xml:space="preserve">retrieved context may be stale, low-authority, contradictory, or inaccessible to the user; an answer can also appear credible without sufficient evidence.</w:t>
      </w:r>
    </w:p>
    <w:p>
      <w:pPr>
        <w:pStyle w:val="FirstParagraph"/>
      </w:pPr>
      <w:r>
        <w:t xml:space="preserve">The research problem is therefore:</w:t>
      </w:r>
      <w:r>
        <w:t xml:space="preserve"> </w:t>
      </w:r>
      <w:r>
        <w:rPr>
          <w:b/>
          <w:bCs/>
        </w:rPr>
        <w:t xml:space="preserve">How can an enterprise RAG system route a query, using its context and predicted retrieval need, to the retrieval strategy that maximises grounded answer quality under latency, cost, freshness, and access-control constraints?</w:t>
      </w:r>
    </w:p>
    <w:p>
      <w:pPr>
        <w:pStyle w:val="BodyText"/>
      </w:pPr>
      <w:r>
        <w:t xml:space="preserve">The study is guided by three research questions:</w:t>
      </w:r>
    </w:p>
    <w:p>
      <w:pPr>
        <w:pStyle w:val="Compact"/>
        <w:numPr>
          <w:ilvl w:val="0"/>
          <w:numId w:val="1003"/>
        </w:numPr>
      </w:pPr>
      <w:r>
        <w:rPr>
          <w:b/>
          <w:bCs/>
        </w:rPr>
        <w:t xml:space="preserve">RQ1:</w:t>
      </w:r>
      <w:r>
        <w:t xml:space="preserve"> </w:t>
      </w:r>
      <w:r>
        <w:t xml:space="preserve">Which query, conversation, and corpus features most reliably predict whether sparse, dense, hybrid, or iterative retrieval will obtain sufficient evidence?</w:t>
      </w:r>
    </w:p>
    <w:p>
      <w:pPr>
        <w:pStyle w:val="Compact"/>
        <w:numPr>
          <w:ilvl w:val="0"/>
          <w:numId w:val="1003"/>
        </w:numPr>
      </w:pPr>
      <w:r>
        <w:rPr>
          <w:b/>
          <w:bCs/>
        </w:rPr>
        <w:t xml:space="preserve">RQ2:</w:t>
      </w:r>
      <w:r>
        <w:t xml:space="preserve"> </w:t>
      </w:r>
      <w:r>
        <w:t xml:space="preserve">Does context-aware routing improve the quality–efficiency Pareto frontier relative to fixed pipelines and a complexity-only router?</w:t>
      </w:r>
    </w:p>
    <w:p>
      <w:pPr>
        <w:pStyle w:val="Compact"/>
        <w:numPr>
          <w:ilvl w:val="0"/>
          <w:numId w:val="1003"/>
        </w:numPr>
      </w:pPr>
      <w:r>
        <w:rPr>
          <w:b/>
          <w:bCs/>
        </w:rPr>
        <w:t xml:space="preserve">RQ3:</w:t>
      </w:r>
      <w:r>
        <w:t xml:space="preserve"> </w:t>
      </w:r>
      <w:r>
        <w:t xml:space="preserve">Can provenance-preserving retrieval and evidence sufficiency checks reduce unsupported, stale, and permission-inappropriate answers without unacceptable latency?</w:t>
      </w:r>
    </w:p>
    <w:p>
      <w:pPr>
        <w:pStyle w:val="FirstParagraph"/>
      </w:pPr>
      <w:r>
        <w:t xml:space="preserve">The study will test the following hypotheses:</w:t>
      </w:r>
    </w:p>
    <w:p>
      <w:pPr>
        <w:pStyle w:val="Compact"/>
        <w:numPr>
          <w:ilvl w:val="0"/>
          <w:numId w:val="1004"/>
        </w:numPr>
      </w:pPr>
      <w:r>
        <w:rPr>
          <w:b/>
          <w:bCs/>
        </w:rPr>
        <w:t xml:space="preserve">H1:</w:t>
      </w:r>
      <w:r>
        <w:t xml:space="preserve"> </w:t>
      </w:r>
      <w:r>
        <w:t xml:space="preserve">Context-aware adaptive routing improves evidence Recall@K and answer faithfulness over fixed sparse-only and dense-only RAG.</w:t>
      </w:r>
    </w:p>
    <w:p>
      <w:pPr>
        <w:pStyle w:val="Compact"/>
        <w:numPr>
          <w:ilvl w:val="0"/>
          <w:numId w:val="1004"/>
        </w:numPr>
      </w:pPr>
      <w:r>
        <w:rPr>
          <w:b/>
          <w:bCs/>
        </w:rPr>
        <w:t xml:space="preserve">H2:</w:t>
      </w:r>
      <w:r>
        <w:t xml:space="preserve"> </w:t>
      </w:r>
      <w:r>
        <w:t xml:space="preserve">Adaptive hybrid retrieval achieves comparable or better answer quality than an always-maximal hybrid/iterative pipeline with lower mean latency and token cost.</w:t>
      </w:r>
    </w:p>
    <w:p>
      <w:pPr>
        <w:pStyle w:val="Compact"/>
        <w:numPr>
          <w:ilvl w:val="0"/>
          <w:numId w:val="1004"/>
        </w:numPr>
      </w:pPr>
      <w:r>
        <w:rPr>
          <w:b/>
          <w:bCs/>
        </w:rPr>
        <w:t xml:space="preserve">H3:</w:t>
      </w:r>
      <w:r>
        <w:t xml:space="preserve"> </w:t>
      </w:r>
      <w:r>
        <w:t xml:space="preserve">Using corpus metadata (source authority, timestamp, document type, and permissions) improves citation quality and reduces unsupported or unauthorised answers.</w:t>
      </w:r>
    </w:p>
    <w:bookmarkEnd w:id="16"/>
    <w:bookmarkStart w:id="17" w:name="research-gap"/>
    <w:p>
      <w:pPr>
        <w:pStyle w:val="Heading2"/>
      </w:pPr>
      <w:r>
        <w:t xml:space="preserve">4. Research Gap</w:t>
      </w:r>
    </w:p>
    <w:p>
      <w:pPr>
        <w:pStyle w:val="FirstParagraph"/>
      </w:pPr>
      <w:r>
        <w:t xml:space="preserve">The literature identifies several unresolved gaps relevant to enterprise deployment.</w:t>
      </w:r>
    </w:p>
    <w:p>
      <w:pPr>
        <w:pStyle w:val="BodyText"/>
      </w:pPr>
      <w:r>
        <w:t xml:space="preserve">First, RAG and DPR establish the value of external retrieval, but their principal evaluations use public, open-domain corpora [1, 2]. Enterprise repositories add access controls, document versions, inconsistent schemas, source-specific semantics, and recency requirements. Second, hybrid rank fusion is established in information retrieval [3], but a uniformly applied hybrid pipeline does not test whether its extra cost is necessary for each query. Third, adaptive and retriever-routing approaches select strategies based on complexity, self-reflection, or downstream signals [4–6, 13, 14], yet there is limited evaluation of a policy that jointly uses conversational context, source authority, freshness, ACL scope, and retriever complementarity. Fourth, evaluation frameworks measure relevance and faithfulness [8, 9, 15], while practical enterprise evaluation must also report citation entailment, freshness, abstention, and permission safety. Finally, available benchmarks are valuable but either domain-specific (FinanceBench) or synthetic (EnterpriseRAG-Bench), creating a need for a controlled, de-identified enterprise evaluation protocol [10, 11].</w:t>
      </w:r>
    </w:p>
    <w:p>
      <w:pPr>
        <w:pStyle w:val="BodyText"/>
      </w:pPr>
      <w:r>
        <w:t xml:space="preserve">Accordingly, AHRAG does not claim to be the first system to route retrievers. Its research gap is the absence of a controlled, end-to-end evaluation of</w:t>
      </w:r>
      <w:r>
        <w:t xml:space="preserve"> </w:t>
      </w:r>
      <w:r>
        <w:rPr>
          <w:b/>
          <w:bCs/>
        </w:rPr>
        <w:t xml:space="preserve">governance-aware, context-aware routing across retrieval family and retrieval depth</w:t>
      </w:r>
      <w:r>
        <w:t xml:space="preserve"> </w:t>
      </w:r>
      <w:r>
        <w:t xml:space="preserve">for heterogeneous enterprise knowledge.</w:t>
      </w:r>
    </w:p>
    <w:bookmarkEnd w:id="17"/>
    <w:bookmarkStart w:id="23" w:name="proposed-methodology"/>
    <w:p>
      <w:pPr>
        <w:pStyle w:val="Heading2"/>
      </w:pPr>
      <w:r>
        <w:t xml:space="preserve">5. Proposed Methodology</w:t>
      </w:r>
    </w:p>
    <w:bookmarkStart w:id="18" w:name="system-architecture"/>
    <w:p>
      <w:pPr>
        <w:pStyle w:val="Heading3"/>
      </w:pPr>
      <w:r>
        <w:t xml:space="preserve">5.1 System architecture</w:t>
      </w:r>
    </w:p>
    <w:p>
      <w:pPr>
        <w:pStyle w:val="FirstParagraph"/>
      </w:pPr>
      <w:r>
        <w:t xml:space="preserve">AHRAG consists of six stages:</w:t>
      </w:r>
    </w:p>
    <w:p>
      <w:pPr>
        <w:pStyle w:val="Compact"/>
        <w:numPr>
          <w:ilvl w:val="0"/>
          <w:numId w:val="1005"/>
        </w:numPr>
      </w:pPr>
      <w:r>
        <w:rPr>
          <w:b/>
          <w:bCs/>
        </w:rPr>
        <w:t xml:space="preserve">Ingestion and governance:</w:t>
      </w:r>
      <w:r>
        <w:t xml:space="preserve"> </w:t>
      </w:r>
      <w:r>
        <w:t xml:space="preserve">Parse enterprise sources into structure-aware chunks. Store text, embeddings, BM25 terms, source URI, timestamp, version, document type, authority level, and access-control list (ACL). Apply ACL and metadata filtering before candidate reranking or generation. The index must retain a stable chunk ID and parent-document ID for every evidence span.</w:t>
      </w:r>
    </w:p>
    <w:p>
      <w:pPr>
        <w:pStyle w:val="Compact"/>
        <w:numPr>
          <w:ilvl w:val="0"/>
          <w:numId w:val="1005"/>
        </w:numPr>
      </w:pPr>
      <w:r>
        <w:rPr>
          <w:b/>
          <w:bCs/>
        </w:rPr>
        <w:t xml:space="preserve">Context construction:</w:t>
      </w:r>
      <w:r>
        <w:t xml:space="preserve"> </w:t>
      </w:r>
      <w:r>
        <w:t xml:space="preserve">Combine the current query (q), normalised conversation history (h), authenticated user/role (u), and allowed source scope into a routing representation (x).</w:t>
      </w:r>
    </w:p>
    <w:p>
      <w:pPr>
        <w:pStyle w:val="Compact"/>
        <w:numPr>
          <w:ilvl w:val="0"/>
          <w:numId w:val="1005"/>
        </w:numPr>
      </w:pPr>
      <w:r>
        <w:rPr>
          <w:b/>
          <w:bCs/>
        </w:rPr>
        <w:t xml:space="preserve">Query router:</w:t>
      </w:r>
      <w:r>
        <w:t xml:space="preserve"> </w:t>
      </w:r>
      <w:r>
        <w:t xml:space="preserve">Predict a route (z) and retrieval budget. Candidate routes are: (R0) clarification or a non-factual conversational response, (R1) sparse-only, (R2) dense-only, (R3) hybrid sparse+dense, and (R4) decomposed or iterative hybrid retrieval. R0 must never be used to answer an enterprise factual question from the base model alone.</w:t>
      </w:r>
    </w:p>
    <w:p>
      <w:pPr>
        <w:pStyle w:val="Compact"/>
        <w:numPr>
          <w:ilvl w:val="0"/>
          <w:numId w:val="1005"/>
        </w:numPr>
      </w:pPr>
      <w:r>
        <w:rPr>
          <w:b/>
          <w:bCs/>
        </w:rPr>
        <w:t xml:space="preserve">Retrieval and fusion:</w:t>
      </w:r>
      <w:r>
        <w:t xml:space="preserve"> </w:t>
      </w:r>
      <w:r>
        <w:t xml:space="preserve">Retrieve ACL-permitted candidates. For R3/R4, merge sparse and dense rankings with RRF; for R4, decompose the query into sub-queries and aggregate evidence across iterations.</w:t>
      </w:r>
    </w:p>
    <w:p>
      <w:pPr>
        <w:pStyle w:val="Compact"/>
        <w:numPr>
          <w:ilvl w:val="0"/>
          <w:numId w:val="1005"/>
        </w:numPr>
      </w:pPr>
      <w:r>
        <w:rPr>
          <w:b/>
          <w:bCs/>
        </w:rPr>
        <w:t xml:space="preserve">Evidence validation and generation:</w:t>
      </w:r>
      <w:r>
        <w:t xml:space="preserve"> </w:t>
      </w:r>
      <w:r>
        <w:t xml:space="preserve">Rerank candidates, remove duplicate or contradictory snippets, check evidence sufficiency, then prompt the generator to answer only from the evidence pack with source citations. If support is inadequate, ask a clarifying question or abstain.</w:t>
      </w:r>
    </w:p>
    <w:p>
      <w:pPr>
        <w:pStyle w:val="Compact"/>
        <w:numPr>
          <w:ilvl w:val="0"/>
          <w:numId w:val="1005"/>
        </w:numPr>
      </w:pPr>
      <w:r>
        <w:rPr>
          <w:b/>
          <w:bCs/>
        </w:rPr>
        <w:t xml:space="preserve">Audit and feedback:</w:t>
      </w:r>
      <w:r>
        <w:t xml:space="preserve"> </w:t>
      </w:r>
      <w:r>
        <w:t xml:space="preserve">Log route, retrieved documents, citations, latency, evaluation signals, and user feedback without storing unnecessary sensitive content. Use reviewed failures to update router thresholds or train the router.</w:t>
      </w:r>
    </w:p>
    <w:bookmarkEnd w:id="18"/>
    <w:bookmarkStart w:id="19" w:name="context-aware-routing-model"/>
    <w:p>
      <w:pPr>
        <w:pStyle w:val="Heading3"/>
      </w:pPr>
      <w:r>
        <w:t xml:space="preserve">5.2 Context-aware routing model</w:t>
      </w:r>
    </w:p>
    <w:p>
      <w:pPr>
        <w:pStyle w:val="FirstParagraph"/>
      </w:pPr>
      <w:r>
        <w:t xml:space="preserve">The router estimates a utility for each route (z):</w:t>
      </w:r>
    </w:p>
    <w:p>
      <w:pPr>
        <w:pStyle w:val="BodyText"/>
      </w:pPr>
      <w:r>
        <w:t xml:space="preserve">[</w:t>
      </w:r>
      <w:r>
        <w:t xml:space="preserve"> </w:t>
      </w:r>
      <w:r>
        <w:t xml:space="preserve">U(z</w:t>
      </w:r>
      <w:r>
        <w:t xml:space="preserve">x) =</w:t>
      </w:r>
      <w:r>
        <w:t xml:space="preserve"> </w:t>
      </w:r>
      <w:r>
        <w:t xml:space="preserve">(z</w:t>
      </w:r>
      <w:r>
        <w:t xml:space="preserve">x) -</w:t>
      </w:r>
      <w:r>
        <w:t xml:space="preserve"> </w:t>
      </w:r>
      <w:r>
        <w:t xml:space="preserve">_L</w:t>
      </w:r>
      <w:r>
        <w:t xml:space="preserve">(z</w:t>
      </w:r>
      <w:r>
        <w:t xml:space="preserve">x) -</w:t>
      </w:r>
      <w:r>
        <w:t xml:space="preserve"> </w:t>
      </w:r>
      <w:r>
        <w:t xml:space="preserve">_C</w:t>
      </w:r>
      <w:r>
        <w:t xml:space="preserve">(z</w:t>
      </w:r>
      <w:r>
        <w:t xml:space="preserve">x) -</w:t>
      </w:r>
      <w:r>
        <w:t xml:space="preserve"> </w:t>
      </w:r>
      <w:r>
        <w:t xml:space="preserve">_R</w:t>
      </w:r>
      <w:r>
        <w:t xml:space="preserve">(z</w:t>
      </w:r>
      <w:r>
        <w:t xml:space="preserve">x),</w:t>
      </w:r>
      <w:r>
        <w:t xml:space="preserve"> </w:t>
      </w:r>
      <w:r>
        <w:t xml:space="preserve">]</w:t>
      </w:r>
    </w:p>
    <w:p>
      <w:pPr>
        <w:pStyle w:val="BodyText"/>
      </w:pPr>
      <w:r>
        <w:t xml:space="preserve">where (</w:t>
      </w:r>
      <w:r>
        <w:t xml:space="preserve">) estimates grounded-answer quality, (</w:t>
      </w:r>
      <w:r>
        <w:t xml:space="preserve">) estimates latency, (</w:t>
      </w:r>
      <w:r>
        <w:t xml:space="preserve">) estimates compute/token cost, and (</w:t>
      </w:r>
      <w:r>
        <w:t xml:space="preserve">) estimates risk (for example, insufficient evidence or permission-sensitive ambiguity). The selected route is (z^* =</w:t>
      </w:r>
      <w:r>
        <w:t xml:space="preserve"> </w:t>
      </w:r>
      <w:r>
        <w:t xml:space="preserve">_z U(z</w:t>
      </w:r>
      <w:r>
        <w:t xml:space="preserve">x)), subject to the user’s authorised source set.</w:t>
      </w:r>
    </w:p>
    <w:p>
      <w:pPr>
        <w:pStyle w:val="BodyText"/>
      </w:pPr>
      <w:r>
        <w:t xml:space="preserve">Features should include: query length; named entities; numbers and identifier patterns; lexical specificity; embedding-based ambiguity; query intent (lookup, explanation, comparison, summarisation, procedural, temporal); predicted hop count; follow-up/coreference indicators; source/document-type hints; user role; and first-pass retrieval-confidence signals. A practical first implementation can use a calibrated gradient-boosted classifier or small language-model classifier, then compare it with an LLM router.</w:t>
      </w:r>
    </w:p>
    <w:p>
      <w:pPr>
        <w:pStyle w:val="BodyText"/>
      </w:pPr>
      <w:r>
        <w:t xml:space="preserve">Training labels should be produced without circular evaluation: run all candidate routes offline on a training partition, score evidence sufficiency and answer quality against annotated references, and assign the lowest-cost route that reaches pre-registered thresholds. A stratified human review must check routing labels, especially for unanswerable, permission-constrained, temporal, and multi-hop questions. The held-out test set must not be used to choose these thresholds.</w:t>
      </w:r>
    </w:p>
    <w:bookmarkEnd w:id="19"/>
    <w:bookmarkStart w:id="20" w:name="retrieval-evidence-and-safety-procedures"/>
    <w:p>
      <w:pPr>
        <w:pStyle w:val="Heading3"/>
      </w:pPr>
      <w:r>
        <w:t xml:space="preserve">5.3 Retrieval, evidence, and safety procedures</w:t>
      </w:r>
    </w:p>
    <w:p>
      <w:pPr>
        <w:pStyle w:val="FirstParagraph"/>
      </w:pPr>
      <w:r>
        <w:t xml:space="preserve">Sparse retrieval will use BM25; dense retrieval will use a domain-suitable embedding model. Each returns a candidate pool larger than the generation context. Hybrid routes apply RRF, followed by a reranker. The final evidence pack should preserve source IDs, exact spans, date/version, and access status. For conflicting evidence, the policy should prefer current, authoritative documents and disclose material conflict rather than silently selecting one source.</w:t>
      </w:r>
    </w:p>
    <w:p>
      <w:pPr>
        <w:pStyle w:val="BodyText"/>
      </w:pPr>
      <w:r>
        <w:t xml:space="preserve">The generator receives an explicit evidence-only instruction: cite every factual claim to a source segment; do not infer facts absent from the retrieved context; state uncertainty or abstain when evidence is missing. An automated verifier checks that every citation maps to a retrieved, ACL-permitted chunk. These are design requirements, not guarantees of correctness; they must be evaluated empirically.</w:t>
      </w:r>
    </w:p>
    <w:bookmarkEnd w:id="20"/>
    <w:bookmarkStart w:id="21" w:name="experimental-design"/>
    <w:p>
      <w:pPr>
        <w:pStyle w:val="Heading3"/>
      </w:pPr>
      <w:r>
        <w:t xml:space="preserve">5.4 Experimental design</w:t>
      </w:r>
    </w:p>
    <w:p>
      <w:pPr>
        <w:pStyle w:val="FirstParagraph"/>
      </w:pPr>
      <w:r>
        <w:t xml:space="preserve">Compare AHRAG with the following baselines using the same document parser, chunking, corpus snapshot, LLM, prompts, ACL filter, and maximum context budget: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System</w:t>
            </w:r>
          </w:p>
        </w:tc>
        <w:tc>
          <w:tcPr/>
          <w:p>
            <w:pPr>
              <w:pStyle w:val="Compact"/>
            </w:pPr>
            <w:r>
              <w:t xml:space="preserve">Retrieval policy</w:t>
            </w:r>
          </w:p>
        </w:tc>
      </w:tr>
      <w:tr>
        <w:tc>
          <w:tcPr/>
          <w:p>
            <w:pPr>
              <w:pStyle w:val="Compact"/>
            </w:pPr>
            <w:r>
              <w:t xml:space="preserve">B1</w:t>
            </w:r>
          </w:p>
        </w:tc>
        <w:tc>
          <w:tcPr/>
          <w:p>
            <w:pPr>
              <w:pStyle w:val="Compact"/>
            </w:pPr>
            <w:r>
              <w:t xml:space="preserve">BM25 sparse retrieval, fixed top-(K)</w:t>
            </w:r>
          </w:p>
        </w:tc>
      </w:tr>
      <w:tr>
        <w:tc>
          <w:tcPr/>
          <w:p>
            <w:pPr>
              <w:pStyle w:val="Compact"/>
            </w:pPr>
            <w:r>
              <w:t xml:space="preserve">B2</w:t>
            </w:r>
          </w:p>
        </w:tc>
        <w:tc>
          <w:tcPr/>
          <w:p>
            <w:pPr>
              <w:pStyle w:val="Compact"/>
            </w:pPr>
            <w:r>
              <w:t xml:space="preserve">Dense vector retrieval, fixed top-(K)</w:t>
            </w:r>
          </w:p>
        </w:tc>
      </w:tr>
      <w:tr>
        <w:tc>
          <w:tcPr/>
          <w:p>
            <w:pPr>
              <w:pStyle w:val="Compact"/>
            </w:pPr>
            <w:r>
              <w:t xml:space="preserve">B3</w:t>
            </w:r>
          </w:p>
        </w:tc>
        <w:tc>
          <w:tcPr/>
          <w:p>
            <w:pPr>
              <w:pStyle w:val="Compact"/>
            </w:pPr>
            <w:r>
              <w:t xml:space="preserve">Fixed hybrid retrieval with RRF</w:t>
            </w:r>
          </w:p>
        </w:tc>
      </w:tr>
      <w:tr>
        <w:tc>
          <w:tcPr/>
          <w:p>
            <w:pPr>
              <w:pStyle w:val="Compact"/>
            </w:pPr>
            <w:r>
              <w:t xml:space="preserve">B4</w:t>
            </w:r>
          </w:p>
        </w:tc>
        <w:tc>
          <w:tcPr/>
          <w:p>
            <w:pPr>
              <w:pStyle w:val="Compact"/>
            </w:pPr>
            <w:r>
              <w:t xml:space="preserve">Always-on hybrid + reranking + iterative/decomposition workflow</w:t>
            </w:r>
          </w:p>
        </w:tc>
      </w:tr>
      <w:tr>
        <w:tc>
          <w:tcPr/>
          <w:p>
            <w:pPr>
              <w:pStyle w:val="Compact"/>
            </w:pPr>
            <w:r>
              <w:t xml:space="preserve">B5</w:t>
            </w:r>
          </w:p>
        </w:tc>
        <w:tc>
          <w:tcPr/>
          <w:p>
            <w:pPr>
              <w:pStyle w:val="Compact"/>
            </w:pPr>
            <w:r>
              <w:t xml:space="preserve">Adaptive-RAG-style complexity routing (without enterprise metadata)</w:t>
            </w:r>
          </w:p>
        </w:tc>
      </w:tr>
      <w:tr>
        <w:tc>
          <w:tcPr/>
          <w:p>
            <w:pPr>
              <w:pStyle w:val="Compact"/>
            </w:pPr>
            <w:r>
              <w:t xml:space="preserve">P1</w:t>
            </w:r>
          </w:p>
        </w:tc>
        <w:tc>
          <w:tcPr/>
          <w:p>
            <w:pPr>
              <w:pStyle w:val="Compact"/>
            </w:pPr>
            <w:r>
              <w:t xml:space="preserve">Proposed AHRAG context-aware router</w:t>
            </w:r>
          </w:p>
        </w:tc>
      </w:tr>
    </w:tbl>
    <w:p>
      <w:pPr>
        <w:pStyle w:val="BodyText"/>
      </w:pPr>
      <w:r>
        <w:t xml:space="preserve">Measure retrieval Recall@K, MRR, and nDCG; answer exact match/F1 where applicable; faithfulness, answer relevance, and context relevance using RAGAS/ARES plus human adjudication; claim-level diagnostic metrics using RAGChecker [15]; citation precision, citation recall, and citation entailment; abstention appropriateness; end-to-end p50/p95 latency; token/compute cost; freshness compliance; and ACL-violation rate (target: zero). Report aggregate results and slices by query type, source type, complexity, freshness requirement, and permission scope. Use paired bootstrap confidence intervals and an appropriate paired test for comparisons over the same question set. Report the router’s confusion matrix and route-selection calibration, not only end-to-end results.</w:t>
      </w:r>
    </w:p>
    <w:bookmarkEnd w:id="21"/>
    <w:bookmarkStart w:id="22" w:name="ethical-and-operational-considerations"/>
    <w:p>
      <w:pPr>
        <w:pStyle w:val="Heading3"/>
      </w:pPr>
      <w:r>
        <w:t xml:space="preserve">5.5 Ethical and operational considerations</w:t>
      </w:r>
    </w:p>
    <w:p>
      <w:pPr>
        <w:pStyle w:val="FirstParagraph"/>
      </w:pPr>
      <w:r>
        <w:t xml:space="preserve">The study must use de-identified or permissioned data, enforce least-privilege retrieval, minimise log retention, and prevent sensitive text from entering training data without approval. Human evaluation should not expose restricted evidence to annotators. The research should report limitations, failure cases, and the possibility of confident but wrong answers even with citations.</w:t>
      </w:r>
    </w:p>
    <w:bookmarkEnd w:id="22"/>
    <w:bookmarkEnd w:id="23"/>
    <w:bookmarkStart w:id="28" w:name="dataset"/>
    <w:p>
      <w:pPr>
        <w:pStyle w:val="Heading2"/>
      </w:pPr>
      <w:r>
        <w:t xml:space="preserve">6. Dataset</w:t>
      </w:r>
    </w:p>
    <w:p>
      <w:pPr>
        <w:pStyle w:val="FirstParagraph"/>
      </w:pPr>
      <w:r>
        <w:t xml:space="preserve">The evaluation will use a layered dataset strategy. Public datasets establish comparability; a de-identified pilot dataset tests the enterprise-specific claims that public benchmarks cannot fully represent.</w:t>
      </w:r>
    </w:p>
    <w:bookmarkStart w:id="24" w:name="public-benchmark-datasets"/>
    <w:p>
      <w:pPr>
        <w:pStyle w:val="Heading3"/>
      </w:pPr>
      <w:r>
        <w:t xml:space="preserve">6.1 Public benchmark datasets</w:t>
      </w:r>
    </w:p>
    <w:p>
      <w:pPr>
        <w:pStyle w:val="Compact"/>
        <w:numPr>
          <w:ilvl w:val="0"/>
          <w:numId w:val="1006"/>
        </w:numPr>
      </w:pPr>
      <w:r>
        <w:rPr>
          <w:b/>
          <w:bCs/>
        </w:rPr>
        <w:t xml:space="preserve">FinanceBench</w:t>
      </w:r>
      <w:r>
        <w:t xml:space="preserve"> </w:t>
      </w:r>
      <w:r>
        <w:t xml:space="preserve">[10]: use for high-stakes long-document financial QA, evidence retrieval, numerical/temporal questions, and an enterprise-like evaluation setting. The full benchmark includes 10,231 QA pairs; use its public evaluation subset and prescribed licensing/access procedures.</w:t>
      </w:r>
    </w:p>
    <w:p>
      <w:pPr>
        <w:pStyle w:val="Compact"/>
        <w:numPr>
          <w:ilvl w:val="0"/>
          <w:numId w:val="1006"/>
        </w:numPr>
      </w:pPr>
      <w:r>
        <w:rPr>
          <w:b/>
          <w:bCs/>
        </w:rPr>
        <w:t xml:space="preserve">EnterpriseRAG-Bench</w:t>
      </w:r>
      <w:r>
        <w:t xml:space="preserve"> </w:t>
      </w:r>
      <w:r>
        <w:t xml:space="preserve">[11]: use for source heterogeneity, noise, near duplicates, conflict resolution, absent-information questions, and multi-document company-internal reasoning. It contains approximately 500,000 synthetic documents from nine enterprise source types and 500 questions.</w:t>
      </w:r>
    </w:p>
    <w:p>
      <w:pPr>
        <w:pStyle w:val="Compact"/>
        <w:numPr>
          <w:ilvl w:val="0"/>
          <w:numId w:val="1006"/>
        </w:numPr>
      </w:pPr>
      <w:r>
        <w:rPr>
          <w:b/>
          <w:bCs/>
        </w:rPr>
        <w:t xml:space="preserve">BEIR task subsets (optional)</w:t>
      </w:r>
      <w:r>
        <w:t xml:space="preserve"> </w:t>
      </w:r>
      <w:r>
        <w:t xml:space="preserve">[12]: use selected heterogeneous retrieval tasks as a robustness check for zero-shot retrieval generalisation. Do not treat BEIR as a substitute for enterprise governance testing.</w:t>
      </w:r>
    </w:p>
    <w:bookmarkEnd w:id="24"/>
    <w:bookmarkStart w:id="25" w:name="de-identified-enterprise-pilot-dataset"/>
    <w:p>
      <w:pPr>
        <w:pStyle w:val="Heading3"/>
      </w:pPr>
      <w:r>
        <w:t xml:space="preserve">6.2 De-identified enterprise pilot dataset</w:t>
      </w:r>
    </w:p>
    <w:p>
      <w:pPr>
        <w:pStyle w:val="FirstParagraph"/>
      </w:pPr>
      <w:r>
        <w:t xml:space="preserve">If institutional approval and data owner permission are obtained, construct a small de-identified pilot corpus from at least three source categories, such as policy documents, internal wiki pages, and resolved support tickets. Preserve source type, document date, version, authority tier, and synthetic role/ACL labels. Exclude personal data, secrets, and raw confidential content. Create 300–500 questions across the following strata: exact lookup, semantic lookup, summarisation, comparison, multi-hop, temporal/freshness, unanswerable, and permission-constrained questions. Assign gold evidence spans and answerability labels through two annotators and adjudication.</w:t>
      </w:r>
    </w:p>
    <w:bookmarkEnd w:id="25"/>
    <w:bookmarkStart w:id="26" w:name="dataset-plan-and-question-taxonomy"/>
    <w:p>
      <w:pPr>
        <w:pStyle w:val="Heading3"/>
      </w:pPr>
      <w:r>
        <w:t xml:space="preserve">6.3 Dataset plan and question taxonomy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Recommended content</w:t>
            </w:r>
          </w:p>
        </w:tc>
        <w:tc>
          <w:tcPr/>
          <w:p>
            <w:pPr>
              <w:pStyle w:val="Compact"/>
            </w:pPr>
            <w:r>
              <w:t xml:space="preserve">Purpose</w:t>
            </w:r>
          </w:p>
        </w:tc>
      </w:tr>
      <w:tr>
        <w:tc>
          <w:tcPr/>
          <w:p>
            <w:pPr>
              <w:pStyle w:val="Compact"/>
            </w:pPr>
            <w:r>
              <w:t xml:space="preserve">Router training</w:t>
            </w:r>
          </w:p>
        </w:tc>
        <w:tc>
          <w:tcPr/>
          <w:p>
            <w:pPr>
              <w:pStyle w:val="Compact"/>
            </w:pPr>
            <w:r>
              <w:t xml:space="preserve">60% of the de-identified pilot questions; route labels constructed offline</w:t>
            </w:r>
          </w:p>
        </w:tc>
        <w:tc>
          <w:tcPr/>
          <w:p>
            <w:pPr>
              <w:pStyle w:val="Compact"/>
            </w:pPr>
            <w:r>
              <w:t xml:space="preserve">Train/calibrate the routing policy and set thresholds.</w:t>
            </w:r>
          </w:p>
        </w:tc>
      </w:tr>
      <w:tr>
        <w:tc>
          <w:tcPr/>
          <w:p>
            <w:pPr>
              <w:pStyle w:val="Compact"/>
            </w:pPr>
            <w:r>
              <w:t xml:space="preserve">Development</w:t>
            </w:r>
          </w:p>
        </w:tc>
        <w:tc>
          <w:tcPr/>
          <w:p>
            <w:pPr>
              <w:pStyle w:val="Compact"/>
            </w:pPr>
            <w:r>
              <w:t xml:space="preserve">20% of pilot questions, disjoint by source document/project</w:t>
            </w:r>
          </w:p>
        </w:tc>
        <w:tc>
          <w:tcPr/>
          <w:p>
            <w:pPr>
              <w:pStyle w:val="Compact"/>
            </w:pPr>
            <w:r>
              <w:t xml:space="preserve">Select hyperparameters and prompts; perform failure analysis.</w:t>
            </w:r>
          </w:p>
        </w:tc>
      </w:tr>
      <w:tr>
        <w:tc>
          <w:tcPr/>
          <w:p>
            <w:pPr>
              <w:pStyle w:val="Compact"/>
            </w:pPr>
            <w:r>
              <w:t xml:space="preserve">Held-out test</w:t>
            </w:r>
          </w:p>
        </w:tc>
        <w:tc>
          <w:tcPr/>
          <w:p>
            <w:pPr>
              <w:pStyle w:val="Compact"/>
            </w:pPr>
            <w:r>
              <w:t xml:space="preserve">20% of pilot questions, disjoint by source document/project/time</w:t>
            </w:r>
          </w:p>
        </w:tc>
        <w:tc>
          <w:tcPr/>
          <w:p>
            <w:pPr>
              <w:pStyle w:val="Compact"/>
            </w:pPr>
            <w:r>
              <w:t xml:space="preserve">Final comparison of all baselines and AHRAG.</w:t>
            </w:r>
          </w:p>
        </w:tc>
      </w:tr>
      <w:tr>
        <w:tc>
          <w:tcPr/>
          <w:p>
            <w:pPr>
              <w:pStyle w:val="Compact"/>
            </w:pPr>
            <w:r>
              <w:t xml:space="preserve">External tests</w:t>
            </w:r>
          </w:p>
        </w:tc>
        <w:tc>
          <w:tcPr/>
          <w:p>
            <w:pPr>
              <w:pStyle w:val="Compact"/>
            </w:pPr>
            <w:r>
              <w:t xml:space="preserve">FinanceBench and EnterpriseRAG-Bench official splits</w:t>
            </w:r>
          </w:p>
        </w:tc>
        <w:tc>
          <w:tcPr/>
          <w:p>
            <w:pPr>
              <w:pStyle w:val="Compact"/>
            </w:pPr>
            <w:r>
              <w:t xml:space="preserve">Test transferability; do not tune on their test subsets.</w:t>
            </w:r>
          </w:p>
        </w:tc>
      </w:tr>
    </w:tbl>
    <w:p>
      <w:pPr>
        <w:pStyle w:val="BodyText"/>
      </w:pPr>
      <w:r>
        <w:t xml:space="preserve">The pilot taxonomy should deliberately balance: exact identifier lookup; semantic paraphrase; document summary; procedural question; comparison; cross-document/multi-hop reasoning; temporal or version-sensitive questions; unanswerable questions; conflicting-evidence questions; and permission-constrained questions. Each item should contain a canonical answer, one or more evidence spans, source/version/date, answerability label, and authorised role set.</w:t>
      </w:r>
    </w:p>
    <w:bookmarkEnd w:id="26"/>
    <w:bookmarkStart w:id="27" w:name="data-splitting-and-quality-controls"/>
    <w:p>
      <w:pPr>
        <w:pStyle w:val="Heading3"/>
      </w:pPr>
      <w:r>
        <w:t xml:space="preserve">6.4 Data splitting and quality controls</w:t>
      </w:r>
    </w:p>
    <w:p>
      <w:pPr>
        <w:pStyle w:val="FirstParagraph"/>
      </w:pPr>
      <w:r>
        <w:t xml:space="preserve">Split by document/project/time rather than randomly by chunk to reduce leakage. Ensure that near-duplicate documents and question paraphrases do not cross train/test partitions. Maintain an immutable test set, record corpus version and index configuration, and include adversarial cases: rare identifiers, contradictory versions, distractor chunks, inaccessible documents, and queries whose answer is absent. Report inter-annotator agreement for the manually labelled subset.</w:t>
      </w:r>
    </w:p>
    <w:bookmarkEnd w:id="27"/>
    <w:bookmarkEnd w:id="28"/>
    <w:bookmarkStart w:id="44" w:name="references"/>
    <w:p>
      <w:pPr>
        <w:pStyle w:val="Heading2"/>
      </w:pPr>
      <w:r>
        <w:t xml:space="preserve">References</w:t>
      </w:r>
    </w:p>
    <w:p>
      <w:pPr>
        <w:pStyle w:val="FirstParagraph"/>
      </w:pPr>
      <w:r>
        <w:t xml:space="preserve">[1] P. Lewis et al., “Retrieval-Augmented Generation for Knowledge-Intensive NLP Tasks,”</w:t>
      </w:r>
      <w:r>
        <w:t xml:space="preserve"> </w:t>
      </w:r>
      <w:r>
        <w:rPr>
          <w:i/>
          <w:iCs/>
        </w:rPr>
        <w:t xml:space="preserve">NeurIPS</w:t>
      </w:r>
      <w:r>
        <w:t xml:space="preserve">, 2020.</w:t>
      </w:r>
      <w:r>
        <w:t xml:space="preserve"> </w:t>
      </w:r>
      <w:hyperlink r:id="rId29">
        <w:r>
          <w:rPr>
            <w:rStyle w:val="Hyperlink"/>
          </w:rPr>
          <w:t xml:space="preserve">Paper</w:t>
        </w:r>
      </w:hyperlink>
    </w:p>
    <w:p>
      <w:pPr>
        <w:pStyle w:val="BodyText"/>
      </w:pPr>
      <w:r>
        <w:t xml:space="preserve">[2] V. Karpukhin et al., “Dense Passage Retrieval for Open-Domain Question Answering,”</w:t>
      </w:r>
      <w:r>
        <w:t xml:space="preserve"> </w:t>
      </w:r>
      <w:r>
        <w:rPr>
          <w:i/>
          <w:iCs/>
        </w:rPr>
        <w:t xml:space="preserve">EMNLP</w:t>
      </w:r>
      <w:r>
        <w:t xml:space="preserve">, 2020.</w:t>
      </w:r>
      <w:r>
        <w:t xml:space="preserve"> </w:t>
      </w:r>
      <w:hyperlink r:id="rId30">
        <w:r>
          <w:rPr>
            <w:rStyle w:val="Hyperlink"/>
          </w:rPr>
          <w:t xml:space="preserve">Paper</w:t>
        </w:r>
      </w:hyperlink>
    </w:p>
    <w:p>
      <w:pPr>
        <w:pStyle w:val="BodyText"/>
      </w:pPr>
      <w:r>
        <w:t xml:space="preserve">[3] G. V. Cormack, C. L. A. Clarke, and S. Büttcher, “Reciprocal Rank Fusion Outperforms Condorcet and Individual Rank Learning Methods,”</w:t>
      </w:r>
      <w:r>
        <w:t xml:space="preserve"> </w:t>
      </w:r>
      <w:r>
        <w:rPr>
          <w:i/>
          <w:iCs/>
        </w:rPr>
        <w:t xml:space="preserve">SIGIR</w:t>
      </w:r>
      <w:r>
        <w:t xml:space="preserve">, 2009.</w:t>
      </w:r>
      <w:r>
        <w:t xml:space="preserve"> </w:t>
      </w:r>
      <w:hyperlink r:id="rId31">
        <w:r>
          <w:rPr>
            <w:rStyle w:val="Hyperlink"/>
          </w:rPr>
          <w:t xml:space="preserve">Paper</w:t>
        </w:r>
      </w:hyperlink>
    </w:p>
    <w:p>
      <w:pPr>
        <w:pStyle w:val="BodyText"/>
      </w:pPr>
      <w:r>
        <w:t xml:space="preserve">[4] S. Jeong et al., “Adaptive-RAG: Learning to Adapt Retrieval-Augmented Large Language Models through Question Complexity,”</w:t>
      </w:r>
      <w:r>
        <w:t xml:space="preserve"> </w:t>
      </w:r>
      <w:r>
        <w:rPr>
          <w:i/>
          <w:iCs/>
        </w:rPr>
        <w:t xml:space="preserve">NAACL</w:t>
      </w:r>
      <w:r>
        <w:t xml:space="preserve">, 2024.</w:t>
      </w:r>
      <w:r>
        <w:t xml:space="preserve"> </w:t>
      </w:r>
      <w:hyperlink r:id="rId32">
        <w:r>
          <w:rPr>
            <w:rStyle w:val="Hyperlink"/>
          </w:rPr>
          <w:t xml:space="preserve">Paper</w:t>
        </w:r>
      </w:hyperlink>
    </w:p>
    <w:p>
      <w:pPr>
        <w:pStyle w:val="BodyText"/>
      </w:pPr>
      <w:r>
        <w:t xml:space="preserve">[5] A. Asai et al., “Self-RAG: Learning to Retrieve, Generate, and Critique Through Self-Reflection,”</w:t>
      </w:r>
      <w:r>
        <w:t xml:space="preserve"> </w:t>
      </w:r>
      <w:r>
        <w:rPr>
          <w:i/>
          <w:iCs/>
        </w:rPr>
        <w:t xml:space="preserve">ICLR</w:t>
      </w:r>
      <w:r>
        <w:t xml:space="preserve">, 2024.</w:t>
      </w:r>
      <w:r>
        <w:t xml:space="preserve"> </w:t>
      </w:r>
      <w:hyperlink r:id="rId33">
        <w:r>
          <w:rPr>
            <w:rStyle w:val="Hyperlink"/>
          </w:rPr>
          <w:t xml:space="preserve">Paper</w:t>
        </w:r>
      </w:hyperlink>
    </w:p>
    <w:p>
      <w:pPr>
        <w:pStyle w:val="BodyText"/>
      </w:pPr>
      <w:r>
        <w:t xml:space="preserve">[6] S.-Q. Yan et al., “Corrective Retrieval Augmented Generation,” 2024.</w:t>
      </w:r>
      <w:r>
        <w:t xml:space="preserve"> </w:t>
      </w:r>
      <w:hyperlink r:id="rId34">
        <w:r>
          <w:rPr>
            <w:rStyle w:val="Hyperlink"/>
          </w:rPr>
          <w:t xml:space="preserve">Paper</w:t>
        </w:r>
      </w:hyperlink>
    </w:p>
    <w:p>
      <w:pPr>
        <w:pStyle w:val="BodyText"/>
      </w:pPr>
      <w:r>
        <w:t xml:space="preserve">[7] Y. Gao et al., “Retrieval-Augmented Generation for Large Language Models: A Survey,” 2023.</w:t>
      </w:r>
      <w:r>
        <w:t xml:space="preserve"> </w:t>
      </w:r>
      <w:hyperlink r:id="rId35">
        <w:r>
          <w:rPr>
            <w:rStyle w:val="Hyperlink"/>
          </w:rPr>
          <w:t xml:space="preserve">Paper</w:t>
        </w:r>
      </w:hyperlink>
    </w:p>
    <w:p>
      <w:pPr>
        <w:pStyle w:val="BodyText"/>
      </w:pPr>
      <w:r>
        <w:t xml:space="preserve">[8] S. Es et al., “RAGAS: Automated Evaluation of Retrieval Augmented Generation,”</w:t>
      </w:r>
      <w:r>
        <w:t xml:space="preserve"> </w:t>
      </w:r>
      <w:r>
        <w:rPr>
          <w:i/>
          <w:iCs/>
        </w:rPr>
        <w:t xml:space="preserve">EACL Demonstrations</w:t>
      </w:r>
      <w:r>
        <w:t xml:space="preserve">, 2024.</w:t>
      </w:r>
      <w:r>
        <w:t xml:space="preserve"> </w:t>
      </w:r>
      <w:hyperlink r:id="rId36">
        <w:r>
          <w:rPr>
            <w:rStyle w:val="Hyperlink"/>
          </w:rPr>
          <w:t xml:space="preserve">Paper</w:t>
        </w:r>
      </w:hyperlink>
    </w:p>
    <w:p>
      <w:pPr>
        <w:pStyle w:val="BodyText"/>
      </w:pPr>
      <w:r>
        <w:t xml:space="preserve">[9] J. Saad-Falcon et al., “ARES: An Automated Evaluation Framework for Retrieval-Augmented Generation Systems,” 2023.</w:t>
      </w:r>
      <w:r>
        <w:t xml:space="preserve"> </w:t>
      </w:r>
      <w:hyperlink r:id="rId37">
        <w:r>
          <w:rPr>
            <w:rStyle w:val="Hyperlink"/>
          </w:rPr>
          <w:t xml:space="preserve">Paper</w:t>
        </w:r>
      </w:hyperlink>
    </w:p>
    <w:p>
      <w:pPr>
        <w:pStyle w:val="BodyText"/>
      </w:pPr>
      <w:r>
        <w:t xml:space="preserve">[10] P. Islam et al., “FinanceBench: A New Benchmark for Financial Question Answering,” 2023.</w:t>
      </w:r>
      <w:r>
        <w:t xml:space="preserve"> </w:t>
      </w:r>
      <w:hyperlink r:id="rId38">
        <w:r>
          <w:rPr>
            <w:rStyle w:val="Hyperlink"/>
          </w:rPr>
          <w:t xml:space="preserve">Paper</w:t>
        </w:r>
      </w:hyperlink>
    </w:p>
    <w:p>
      <w:pPr>
        <w:pStyle w:val="BodyText"/>
      </w:pPr>
      <w:r>
        <w:t xml:space="preserve">[11] Y. Sun et al., “EnterpriseRAG-Bench: A RAG Benchmark for Company Internal Knowledge,” 2026.</w:t>
      </w:r>
      <w:r>
        <w:t xml:space="preserve"> </w:t>
      </w:r>
      <w:hyperlink r:id="rId39">
        <w:r>
          <w:rPr>
            <w:rStyle w:val="Hyperlink"/>
          </w:rPr>
          <w:t xml:space="preserve">Paper</w:t>
        </w:r>
      </w:hyperlink>
    </w:p>
    <w:p>
      <w:pPr>
        <w:pStyle w:val="BodyText"/>
      </w:pPr>
      <w:r>
        <w:t xml:space="preserve">[12] N. Thakur et al., “BEIR: A Heterogeneous Benchmark for Zero-shot Evaluation of Information Retrieval Models,” 2021.</w:t>
      </w:r>
      <w:r>
        <w:t xml:space="preserve"> </w:t>
      </w:r>
      <w:hyperlink r:id="rId40">
        <w:r>
          <w:rPr>
            <w:rStyle w:val="Hyperlink"/>
          </w:rPr>
          <w:t xml:space="preserve">Paper</w:t>
        </w:r>
      </w:hyperlink>
    </w:p>
    <w:p>
      <w:pPr>
        <w:pStyle w:val="BodyText"/>
      </w:pPr>
      <w:r>
        <w:t xml:space="preserve">[13] R. Kalra et al., “HyPA-RAG: A Hybrid Parameter Adaptive Retrieval-Augmented Generation System for AI Legal and Policy Applications,”</w:t>
      </w:r>
      <w:r>
        <w:t xml:space="preserve"> </w:t>
      </w:r>
      <w:r>
        <w:rPr>
          <w:i/>
          <w:iCs/>
        </w:rPr>
        <w:t xml:space="preserve">CustomNLP4U</w:t>
      </w:r>
      <w:r>
        <w:t xml:space="preserve">, 2024.</w:t>
      </w:r>
      <w:r>
        <w:t xml:space="preserve"> </w:t>
      </w:r>
      <w:hyperlink r:id="rId41">
        <w:r>
          <w:rPr>
            <w:rStyle w:val="Hyperlink"/>
          </w:rPr>
          <w:t xml:space="preserve">Paper</w:t>
        </w:r>
      </w:hyperlink>
    </w:p>
    <w:p>
      <w:pPr>
        <w:pStyle w:val="BodyText"/>
      </w:pPr>
      <w:r>
        <w:t xml:space="preserve">[14] Y. Zhao et al., “R³AG: Retriever Routing for Retrieval-Augmented Generation,”</w:t>
      </w:r>
      <w:r>
        <w:t xml:space="preserve"> </w:t>
      </w:r>
      <w:r>
        <w:rPr>
          <w:i/>
          <w:iCs/>
        </w:rPr>
        <w:t xml:space="preserve">ACL</w:t>
      </w:r>
      <w:r>
        <w:t xml:space="preserve">, 2026.</w:t>
      </w:r>
      <w:r>
        <w:t xml:space="preserve"> </w:t>
      </w:r>
      <w:hyperlink r:id="rId42">
        <w:r>
          <w:rPr>
            <w:rStyle w:val="Hyperlink"/>
          </w:rPr>
          <w:t xml:space="preserve">Paper</w:t>
        </w:r>
      </w:hyperlink>
    </w:p>
    <w:p>
      <w:pPr>
        <w:pStyle w:val="BodyText"/>
      </w:pPr>
      <w:r>
        <w:t xml:space="preserve">[15] D. Ru et al., “RAGChecker: A Fine-grained Framework for Diagnosing Retrieval-Augmented Generation,” 2024.</w:t>
      </w:r>
      <w:r>
        <w:t xml:space="preserve"> </w:t>
      </w:r>
      <w:hyperlink r:id="rId43">
        <w:r>
          <w:rPr>
            <w:rStyle w:val="Hyperlink"/>
          </w:rPr>
          <w:t xml:space="preserve">Paper</w:t>
        </w:r>
      </w:hyperlink>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aclanthology.org/2020.emnlp-main.550/" TargetMode="External" /><Relationship Type="http://schemas.openxmlformats.org/officeDocument/2006/relationships/hyperlink" Id="rId41" Target="https://aclanthology.org/2024.customnlp4u-1.18/" TargetMode="External" /><Relationship Type="http://schemas.openxmlformats.org/officeDocument/2006/relationships/hyperlink" Id="rId42" Target="https://aclanthology.org/2026.acl-long.939/" TargetMode="External" /><Relationship Type="http://schemas.openxmlformats.org/officeDocument/2006/relationships/hyperlink" Id="rId40" Target="https://arxiv.org/abs/2104.08663" TargetMode="External" /><Relationship Type="http://schemas.openxmlformats.org/officeDocument/2006/relationships/hyperlink" Id="rId36" Target="https://arxiv.org/abs/2309.15217" TargetMode="External" /><Relationship Type="http://schemas.openxmlformats.org/officeDocument/2006/relationships/hyperlink" Id="rId37" Target="https://arxiv.org/abs/2311.09476" TargetMode="External" /><Relationship Type="http://schemas.openxmlformats.org/officeDocument/2006/relationships/hyperlink" Id="rId38" Target="https://arxiv.org/abs/2311.11944" TargetMode="External" /><Relationship Type="http://schemas.openxmlformats.org/officeDocument/2006/relationships/hyperlink" Id="rId35" Target="https://arxiv.org/abs/2312.10997" TargetMode="External" /><Relationship Type="http://schemas.openxmlformats.org/officeDocument/2006/relationships/hyperlink" Id="rId34" Target="https://arxiv.org/abs/2401.15884" TargetMode="External" /><Relationship Type="http://schemas.openxmlformats.org/officeDocument/2006/relationships/hyperlink" Id="rId32" Target="https://arxiv.org/abs/2403.14403" TargetMode="External" /><Relationship Type="http://schemas.openxmlformats.org/officeDocument/2006/relationships/hyperlink" Id="rId43" Target="https://arxiv.org/abs/2408.08067" TargetMode="External" /><Relationship Type="http://schemas.openxmlformats.org/officeDocument/2006/relationships/hyperlink" Id="rId39" Target="https://arxiv.org/abs/2605.05253" TargetMode="External" /><Relationship Type="http://schemas.openxmlformats.org/officeDocument/2006/relationships/hyperlink" Id="rId31" Target="https://dl.acm.org/doi/10.1145/1571941.1572114" TargetMode="External" /><Relationship Type="http://schemas.openxmlformats.org/officeDocument/2006/relationships/hyperlink" Id="rId33" Target="https://mlanthology.org/iclr/2024/asai2024iclr-selfrag/" TargetMode="External" /><Relationship Type="http://schemas.openxmlformats.org/officeDocument/2006/relationships/hyperlink" Id="rId29" Target="https://papers.neurips.cc/paper_files/paper/2020/hash/6b493230205f780e1bc26945df7481e5-Abstract.html" TargetMode="External" /></Relationships>
</file>

<file path=word/_rels/footnotes.xml.rels><?xml version="1.0" encoding="UTF-8"?><Relationships xmlns="http://schemas.openxmlformats.org/package/2006/relationships"><Relationship Type="http://schemas.openxmlformats.org/officeDocument/2006/relationships/hyperlink" Id="rId30" Target="https://aclanthology.org/2020.emnlp-main.550/" TargetMode="External" /><Relationship Type="http://schemas.openxmlformats.org/officeDocument/2006/relationships/hyperlink" Id="rId41" Target="https://aclanthology.org/2024.customnlp4u-1.18/" TargetMode="External" /><Relationship Type="http://schemas.openxmlformats.org/officeDocument/2006/relationships/hyperlink" Id="rId42" Target="https://aclanthology.org/2026.acl-long.939/" TargetMode="External" /><Relationship Type="http://schemas.openxmlformats.org/officeDocument/2006/relationships/hyperlink" Id="rId40" Target="https://arxiv.org/abs/2104.08663" TargetMode="External" /><Relationship Type="http://schemas.openxmlformats.org/officeDocument/2006/relationships/hyperlink" Id="rId36" Target="https://arxiv.org/abs/2309.15217" TargetMode="External" /><Relationship Type="http://schemas.openxmlformats.org/officeDocument/2006/relationships/hyperlink" Id="rId37" Target="https://arxiv.org/abs/2311.09476" TargetMode="External" /><Relationship Type="http://schemas.openxmlformats.org/officeDocument/2006/relationships/hyperlink" Id="rId38" Target="https://arxiv.org/abs/2311.11944" TargetMode="External" /><Relationship Type="http://schemas.openxmlformats.org/officeDocument/2006/relationships/hyperlink" Id="rId35" Target="https://arxiv.org/abs/2312.10997" TargetMode="External" /><Relationship Type="http://schemas.openxmlformats.org/officeDocument/2006/relationships/hyperlink" Id="rId34" Target="https://arxiv.org/abs/2401.15884" TargetMode="External" /><Relationship Type="http://schemas.openxmlformats.org/officeDocument/2006/relationships/hyperlink" Id="rId32" Target="https://arxiv.org/abs/2403.14403" TargetMode="External" /><Relationship Type="http://schemas.openxmlformats.org/officeDocument/2006/relationships/hyperlink" Id="rId43" Target="https://arxiv.org/abs/2408.08067" TargetMode="External" /><Relationship Type="http://schemas.openxmlformats.org/officeDocument/2006/relationships/hyperlink" Id="rId39" Target="https://arxiv.org/abs/2605.05253" TargetMode="External" /><Relationship Type="http://schemas.openxmlformats.org/officeDocument/2006/relationships/hyperlink" Id="rId31" Target="https://dl.acm.org/doi/10.1145/1571941.1572114" TargetMode="External" /><Relationship Type="http://schemas.openxmlformats.org/officeDocument/2006/relationships/hyperlink" Id="rId33" Target="https://mlanthology.org/iclr/2024/asai2024iclr-selfrag/" TargetMode="External" /><Relationship Type="http://schemas.openxmlformats.org/officeDocument/2006/relationships/hyperlink" Id="rId29" Target="https://papers.neurips.cc/paper_files/paper/2020/hash/6b493230205f780e1bc26945df7481e5-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2026-07-28T20:39:37Z</dcterms:created>
  <dcterms:modified xsi:type="dcterms:W3CDTF">2026-07-28T20:39:37Z</dcterms:modified>
</cp:coreProperties>
</file>

<file path=docProps/custom.xml><?xml version="1.0" encoding="utf-8"?>
<Properties xmlns="http://schemas.openxmlformats.org/officeDocument/2006/custom-properties" xmlns:vt="http://schemas.openxmlformats.org/officeDocument/2006/docPropsVTypes"/>
</file>