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50A" w:rsidRPr="001E150A" w:rsidRDefault="001E150A" w:rsidP="001E15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150A">
        <w:rPr>
          <w:rFonts w:ascii="Times New Roman" w:hAnsi="Times New Roman" w:cs="Times New Roman"/>
          <w:sz w:val="24"/>
          <w:szCs w:val="24"/>
        </w:rPr>
        <w:t xml:space="preserve">Avg. End to End Delay </w:t>
      </w:r>
      <w:r>
        <w:rPr>
          <w:rFonts w:ascii="Times New Roman" w:hAnsi="Times New Roman" w:cs="Times New Roman"/>
          <w:sz w:val="24"/>
          <w:szCs w:val="24"/>
        </w:rPr>
        <w:t xml:space="preserve">(ms)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Friis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E150A">
        <w:rPr>
          <w:rFonts w:ascii="Times New Roman" w:hAnsi="Times New Roman" w:cs="Times New Roman"/>
          <w:sz w:val="24"/>
          <w:szCs w:val="24"/>
        </w:rPr>
        <w:t>Avg. End to End Delay (ms) in ITU-RP.1411 Model</w:t>
      </w:r>
    </w:p>
    <w:p w:rsidR="00DB243A" w:rsidRDefault="001E150A">
      <w:r w:rsidRPr="001E150A">
        <w:drawing>
          <wp:inline distT="0" distB="0" distL="0" distR="0">
            <wp:extent cx="3533042" cy="2558561"/>
            <wp:effectExtent l="19050" t="0" r="10258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t xml:space="preserve">       </w:t>
      </w:r>
      <w:r w:rsidRPr="001E150A">
        <w:drawing>
          <wp:inline distT="0" distB="0" distL="0" distR="0">
            <wp:extent cx="3198934" cy="2558562"/>
            <wp:effectExtent l="19050" t="0" r="20516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B243A" w:rsidSect="001E150A">
      <w:pgSz w:w="12240" w:h="15840"/>
      <w:pgMar w:top="1440" w:right="333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E150A"/>
    <w:rsid w:val="001E150A"/>
    <w:rsid w:val="00DB2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5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Avg%20end%20to%20end%20dela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ICMR%20project\NS%203.29%20Simulation%20outputs\Avg%20end%20to%20end%20dela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v>20-Vehicle</c:v>
          </c:tx>
          <c:cat>
            <c:strRef>
              <c:f>Sheet1!$B$2:$E$2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1.1599999999999997</c:v>
                </c:pt>
                <c:pt idx="1">
                  <c:v>1.2</c:v>
                </c:pt>
                <c:pt idx="2">
                  <c:v>1.1399999999999997</c:v>
                </c:pt>
                <c:pt idx="3">
                  <c:v>1.02</c:v>
                </c:pt>
              </c:numCache>
            </c:numRef>
          </c:val>
        </c:ser>
        <c:ser>
          <c:idx val="1"/>
          <c:order val="1"/>
          <c:tx>
            <c:v>40-Vehicle</c:v>
          </c:tx>
          <c:val>
            <c:numRef>
              <c:f>Sheet1!$B$5:$E$5</c:f>
              <c:numCache>
                <c:formatCode>General</c:formatCode>
                <c:ptCount val="4"/>
                <c:pt idx="0">
                  <c:v>1.3</c:v>
                </c:pt>
                <c:pt idx="1">
                  <c:v>1.1499999999999997</c:v>
                </c:pt>
                <c:pt idx="2">
                  <c:v>0.97000000000000008</c:v>
                </c:pt>
                <c:pt idx="3">
                  <c:v>0.98</c:v>
                </c:pt>
              </c:numCache>
            </c:numRef>
          </c:val>
        </c:ser>
        <c:ser>
          <c:idx val="2"/>
          <c:order val="2"/>
          <c:tx>
            <c:v>60-Vehicle</c:v>
          </c:tx>
          <c:val>
            <c:numRef>
              <c:f>Sheet1!$B$7:$E$7</c:f>
              <c:numCache>
                <c:formatCode>General</c:formatCode>
                <c:ptCount val="4"/>
                <c:pt idx="0">
                  <c:v>1.1100000000000001</c:v>
                </c:pt>
                <c:pt idx="1">
                  <c:v>0.97000000000000008</c:v>
                </c:pt>
                <c:pt idx="2">
                  <c:v>0.66000000000000014</c:v>
                </c:pt>
                <c:pt idx="3">
                  <c:v>0.78</c:v>
                </c:pt>
              </c:numCache>
            </c:numRef>
          </c:val>
        </c:ser>
        <c:axId val="131218816"/>
        <c:axId val="131265664"/>
      </c:barChart>
      <c:catAx>
        <c:axId val="131218816"/>
        <c:scaling>
          <c:orientation val="minMax"/>
        </c:scaling>
        <c:axPos val="b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31265664"/>
        <c:crosses val="autoZero"/>
        <c:auto val="1"/>
        <c:lblAlgn val="ctr"/>
        <c:lblOffset val="100"/>
      </c:catAx>
      <c:valAx>
        <c:axId val="131265664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31218816"/>
        <c:crosses val="autoZero"/>
        <c:crossBetween val="between"/>
      </c:valAx>
    </c:plotArea>
    <c:legend>
      <c:legendPos val="r"/>
      <c:txPr>
        <a:bodyPr/>
        <a:lstStyle/>
        <a:p>
          <a:pPr>
            <a:defRPr sz="10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v>20-Vehicle</c:v>
          </c:tx>
          <c:cat>
            <c:strRef>
              <c:f>Sheet1!$H$2:$K$2</c:f>
              <c:strCache>
                <c:ptCount val="4"/>
                <c:pt idx="0">
                  <c:v>OLSR</c:v>
                </c:pt>
                <c:pt idx="1">
                  <c:v>AODV</c:v>
                </c:pt>
                <c:pt idx="2">
                  <c:v>DSDV</c:v>
                </c:pt>
                <c:pt idx="3">
                  <c:v>DSR</c:v>
                </c:pt>
              </c:strCache>
            </c:strRef>
          </c:cat>
          <c:val>
            <c:numRef>
              <c:f>Sheet1!$H$3:$K$3</c:f>
              <c:numCache>
                <c:formatCode>General</c:formatCode>
                <c:ptCount val="4"/>
                <c:pt idx="0">
                  <c:v>0.8600000000000001</c:v>
                </c:pt>
                <c:pt idx="1">
                  <c:v>0.8600000000000001</c:v>
                </c:pt>
                <c:pt idx="2">
                  <c:v>0.85000000000000009</c:v>
                </c:pt>
                <c:pt idx="3">
                  <c:v>0.78</c:v>
                </c:pt>
              </c:numCache>
            </c:numRef>
          </c:val>
        </c:ser>
        <c:ser>
          <c:idx val="1"/>
          <c:order val="1"/>
          <c:tx>
            <c:v>40-Vehicle</c:v>
          </c:tx>
          <c:val>
            <c:numRef>
              <c:f>Sheet1!$H$5:$K$5</c:f>
              <c:numCache>
                <c:formatCode>General</c:formatCode>
                <c:ptCount val="4"/>
                <c:pt idx="0">
                  <c:v>1.31</c:v>
                </c:pt>
                <c:pt idx="1">
                  <c:v>1.3</c:v>
                </c:pt>
                <c:pt idx="2">
                  <c:v>1.1800000000000002</c:v>
                </c:pt>
                <c:pt idx="3">
                  <c:v>1.07</c:v>
                </c:pt>
              </c:numCache>
            </c:numRef>
          </c:val>
        </c:ser>
        <c:ser>
          <c:idx val="2"/>
          <c:order val="2"/>
          <c:tx>
            <c:v>60-Vehicle</c:v>
          </c:tx>
          <c:val>
            <c:numRef>
              <c:f>Sheet1!$H$7:$K$7</c:f>
              <c:numCache>
                <c:formatCode>General</c:formatCode>
                <c:ptCount val="4"/>
                <c:pt idx="0">
                  <c:v>1.53</c:v>
                </c:pt>
                <c:pt idx="1">
                  <c:v>1.29</c:v>
                </c:pt>
                <c:pt idx="2">
                  <c:v>0.92</c:v>
                </c:pt>
                <c:pt idx="3">
                  <c:v>0.88</c:v>
                </c:pt>
              </c:numCache>
            </c:numRef>
          </c:val>
        </c:ser>
        <c:axId val="167345536"/>
        <c:axId val="101725312"/>
      </c:barChart>
      <c:catAx>
        <c:axId val="167345536"/>
        <c:scaling>
          <c:orientation val="minMax"/>
        </c:scaling>
        <c:axPos val="b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01725312"/>
        <c:crosses val="autoZero"/>
        <c:auto val="1"/>
        <c:lblAlgn val="ctr"/>
        <c:lblOffset val="100"/>
      </c:catAx>
      <c:valAx>
        <c:axId val="101725312"/>
        <c:scaling>
          <c:orientation val="minMax"/>
        </c:scaling>
        <c:axPos val="l"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67345536"/>
        <c:crosses val="autoZero"/>
        <c:crossBetween val="between"/>
      </c:valAx>
    </c:plotArea>
    <c:legend>
      <c:legendPos val="r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2020-03-04T04:55:00Z</dcterms:created>
  <dcterms:modified xsi:type="dcterms:W3CDTF">2020-03-04T05:00:00Z</dcterms:modified>
</cp:coreProperties>
</file>