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Use Case Name"/>
        <w:tag w:val="Use Case Name"/>
        <w:id w:val="8652467"/>
        <w:placeholder>
          <w:docPart w:val="05D1D6AFAB2F43509678C9583E3B70B4"/>
        </w:placeholder>
        <w:text/>
      </w:sdtPr>
      <w:sdtEndPr/>
      <w:sdtContent>
        <w:p w:rsidR="003B6B92" w:rsidRDefault="0051292E" w:rsidP="003B6B92">
          <w:pPr>
            <w:pStyle w:val="UseCaseTitle"/>
          </w:pPr>
          <w:r>
            <w:t>Online</w:t>
          </w:r>
          <w:r w:rsidR="00F82E7B">
            <w:t xml:space="preserve"> S</w:t>
          </w:r>
          <w:r>
            <w:t>ubscription</w:t>
          </w:r>
        </w:p>
      </w:sdtContent>
    </w:sdt>
    <w:sdt>
      <w:sdtPr>
        <w:alias w:val="Use Case Description"/>
        <w:tag w:val="Use Case Description"/>
        <w:id w:val="79736063"/>
        <w:placeholder>
          <w:docPart w:val="05D1D6AFAB2F43509678C9583E3B70B4"/>
        </w:placeholder>
        <w:text w:multiLine="1"/>
      </w:sdtPr>
      <w:sdtEndPr/>
      <w:sdtContent>
        <w:p w:rsidR="00335A34" w:rsidRDefault="0051292E" w:rsidP="00335A34">
          <w:r>
            <w:t xml:space="preserve">A </w:t>
          </w:r>
          <w:r w:rsidR="006668FE">
            <w:t xml:space="preserve">registered </w:t>
          </w:r>
          <w:r>
            <w:t>user subscribing to the new series of ‘YIPEE!!’</w:t>
          </w:r>
          <w:r w:rsidR="00F82E7B">
            <w:t xml:space="preserve"> </w:t>
          </w:r>
          <w:r w:rsidR="00CB4AEC">
            <w:t>comics, online</w:t>
          </w:r>
        </w:p>
      </w:sdtContent>
    </w:sdt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3721"/>
        <w:gridCol w:w="3746"/>
      </w:tblGrid>
      <w:tr w:rsidR="003B6B92" w:rsidTr="007D4BF3">
        <w:tc>
          <w:tcPr>
            <w:tcW w:w="1908" w:type="dxa"/>
            <w:vAlign w:val="center"/>
          </w:tcPr>
          <w:p w:rsidR="003B6B92" w:rsidRPr="007D4BF3" w:rsidRDefault="003B6B92" w:rsidP="007D4BF3">
            <w:pPr>
              <w:rPr>
                <w:b/>
              </w:rPr>
            </w:pPr>
            <w:r w:rsidRPr="007D4BF3">
              <w:rPr>
                <w:b/>
              </w:rPr>
              <w:t>Scenario</w:t>
            </w:r>
          </w:p>
        </w:tc>
        <w:tc>
          <w:tcPr>
            <w:tcW w:w="7668" w:type="dxa"/>
            <w:gridSpan w:val="2"/>
            <w:vAlign w:val="center"/>
          </w:tcPr>
          <w:sdt>
            <w:sdtPr>
              <w:alias w:val="Scenario"/>
              <w:tag w:val="Scenario"/>
              <w:id w:val="8652422"/>
              <w:placeholder>
                <w:docPart w:val="05D1D6AFAB2F43509678C9583E3B70B4"/>
              </w:placeholder>
              <w:text/>
            </w:sdtPr>
            <w:sdtEndPr/>
            <w:sdtContent>
              <w:p w:rsidR="003B6B92" w:rsidRDefault="006668FE" w:rsidP="007D4BF3">
                <w:r>
                  <w:t>The</w:t>
                </w:r>
                <w:r w:rsidR="0018073D">
                  <w:t xml:space="preserve"> </w:t>
                </w:r>
                <w:r w:rsidR="00E80CD5">
                  <w:t xml:space="preserve">registered </w:t>
                </w:r>
                <w:r w:rsidR="0018073D">
                  <w:t xml:space="preserve">user subscribing </w:t>
                </w:r>
                <w:r w:rsidR="00E543AD">
                  <w:t>the</w:t>
                </w:r>
                <w:r w:rsidR="0018073D">
                  <w:t xml:space="preserve"> ‘YIPEE!!’ comics, online</w:t>
                </w:r>
              </w:p>
            </w:sdtContent>
          </w:sdt>
        </w:tc>
      </w:tr>
      <w:tr w:rsidR="003B6B92" w:rsidTr="007D4BF3">
        <w:tc>
          <w:tcPr>
            <w:tcW w:w="1908" w:type="dxa"/>
            <w:vAlign w:val="center"/>
          </w:tcPr>
          <w:p w:rsidR="003B6B92" w:rsidRPr="007D4BF3" w:rsidRDefault="003B6B92" w:rsidP="007D4BF3">
            <w:pPr>
              <w:rPr>
                <w:b/>
              </w:rPr>
            </w:pPr>
            <w:r w:rsidRPr="007D4BF3">
              <w:rPr>
                <w:b/>
              </w:rPr>
              <w:t>Triggering event</w:t>
            </w:r>
          </w:p>
        </w:tc>
        <w:tc>
          <w:tcPr>
            <w:tcW w:w="7668" w:type="dxa"/>
            <w:gridSpan w:val="2"/>
            <w:vAlign w:val="center"/>
          </w:tcPr>
          <w:sdt>
            <w:sdtPr>
              <w:alias w:val="Trigger"/>
              <w:tag w:val="Trigger"/>
              <w:id w:val="8652423"/>
              <w:placeholder>
                <w:docPart w:val="05D1D6AFAB2F43509678C9583E3B70B4"/>
              </w:placeholder>
              <w:text/>
            </w:sdtPr>
            <w:sdtEndPr/>
            <w:sdtContent>
              <w:p w:rsidR="003B6B92" w:rsidRDefault="0018073D" w:rsidP="007D4BF3">
                <w:r>
                  <w:t xml:space="preserve">The user </w:t>
                </w:r>
                <w:r w:rsidR="00A27C7A">
                  <w:t xml:space="preserve">opening </w:t>
                </w:r>
                <w:r>
                  <w:t>the website to subscribe</w:t>
                </w:r>
              </w:p>
            </w:sdtContent>
          </w:sdt>
        </w:tc>
      </w:tr>
      <w:tr w:rsidR="003B6B92" w:rsidTr="007D4BF3">
        <w:tc>
          <w:tcPr>
            <w:tcW w:w="1908" w:type="dxa"/>
            <w:vAlign w:val="center"/>
          </w:tcPr>
          <w:p w:rsidR="003B6B92" w:rsidRPr="007D4BF3" w:rsidRDefault="003B6B92" w:rsidP="007D4BF3">
            <w:pPr>
              <w:rPr>
                <w:b/>
              </w:rPr>
            </w:pPr>
            <w:r w:rsidRPr="007D4BF3">
              <w:rPr>
                <w:b/>
              </w:rPr>
              <w:t>Actors</w:t>
            </w:r>
          </w:p>
        </w:tc>
        <w:tc>
          <w:tcPr>
            <w:tcW w:w="7668" w:type="dxa"/>
            <w:gridSpan w:val="2"/>
            <w:vAlign w:val="center"/>
          </w:tcPr>
          <w:sdt>
            <w:sdtPr>
              <w:alias w:val="Actors"/>
              <w:tag w:val="Actors"/>
              <w:id w:val="8652425"/>
              <w:placeholder>
                <w:docPart w:val="05D1D6AFAB2F43509678C9583E3B70B4"/>
              </w:placeholder>
              <w:text/>
            </w:sdtPr>
            <w:sdtEndPr/>
            <w:sdtContent>
              <w:p w:rsidR="003B6B92" w:rsidRDefault="0018073D" w:rsidP="007D4BF3">
                <w:r>
                  <w:t>User, Computer, Online payment</w:t>
                </w:r>
                <w:r w:rsidR="00E80CD5">
                  <w:t xml:space="preserve"> </w:t>
                </w:r>
                <w:proofErr w:type="gramStart"/>
                <w:r w:rsidR="00E80CD5">
                  <w:t xml:space="preserve">service </w:t>
                </w:r>
                <w:r>
                  <w:t>,</w:t>
                </w:r>
                <w:proofErr w:type="gramEnd"/>
                <w:r>
                  <w:t xml:space="preserve"> Sales manager</w:t>
                </w:r>
              </w:p>
            </w:sdtContent>
          </w:sdt>
        </w:tc>
      </w:tr>
      <w:tr w:rsidR="005A247E" w:rsidTr="007D4BF3">
        <w:tc>
          <w:tcPr>
            <w:tcW w:w="1908" w:type="dxa"/>
            <w:vAlign w:val="center"/>
          </w:tcPr>
          <w:p w:rsidR="005A247E" w:rsidRPr="007D4BF3" w:rsidRDefault="005A247E" w:rsidP="0001127B">
            <w:pPr>
              <w:rPr>
                <w:b/>
              </w:rPr>
            </w:pPr>
            <w:r>
              <w:rPr>
                <w:b/>
              </w:rPr>
              <w:t>Related use cases</w:t>
            </w:r>
          </w:p>
        </w:tc>
        <w:tc>
          <w:tcPr>
            <w:tcW w:w="7668" w:type="dxa"/>
            <w:gridSpan w:val="2"/>
            <w:vAlign w:val="center"/>
          </w:tcPr>
          <w:sdt>
            <w:sdtPr>
              <w:alias w:val="Related Use Cases"/>
              <w:tag w:val="Related Use Cases"/>
              <w:id w:val="68076485"/>
              <w:placeholder>
                <w:docPart w:val="B47E634EE22149C5818643776FC51E39"/>
              </w:placeholder>
              <w:text/>
            </w:sdtPr>
            <w:sdtEndPr/>
            <w:sdtContent>
              <w:p w:rsidR="005A247E" w:rsidRDefault="00E543AD" w:rsidP="0001127B">
                <w:r>
                  <w:t>Selecting, Subscribing</w:t>
                </w:r>
              </w:p>
            </w:sdtContent>
          </w:sdt>
        </w:tc>
      </w:tr>
      <w:tr w:rsidR="003B6B92" w:rsidTr="007D4BF3">
        <w:tc>
          <w:tcPr>
            <w:tcW w:w="1908" w:type="dxa"/>
            <w:vAlign w:val="center"/>
          </w:tcPr>
          <w:p w:rsidR="003B6B92" w:rsidRPr="007D4BF3" w:rsidRDefault="003B6B92" w:rsidP="007D4BF3">
            <w:pPr>
              <w:rPr>
                <w:b/>
              </w:rPr>
            </w:pPr>
            <w:r w:rsidRPr="007D4BF3">
              <w:rPr>
                <w:b/>
              </w:rPr>
              <w:t>Stakeholders</w:t>
            </w:r>
          </w:p>
        </w:tc>
        <w:tc>
          <w:tcPr>
            <w:tcW w:w="7668" w:type="dxa"/>
            <w:gridSpan w:val="2"/>
            <w:vAlign w:val="center"/>
          </w:tcPr>
          <w:sdt>
            <w:sdtPr>
              <w:alias w:val="Stakeholders"/>
              <w:tag w:val="Stakeholders"/>
              <w:id w:val="8652426"/>
              <w:placeholder>
                <w:docPart w:val="05D1D6AFAB2F43509678C9583E3B70B4"/>
              </w:placeholder>
              <w:text w:multiLine="1"/>
            </w:sdtPr>
            <w:sdtEndPr/>
            <w:sdtContent>
              <w:p w:rsidR="003B6B92" w:rsidRDefault="00E543AD" w:rsidP="007D4BF3">
                <w:r>
                  <w:t>User, Publisher</w:t>
                </w:r>
              </w:p>
            </w:sdtContent>
          </w:sdt>
        </w:tc>
      </w:tr>
      <w:tr w:rsidR="003B6B92" w:rsidTr="007D4BF3">
        <w:tc>
          <w:tcPr>
            <w:tcW w:w="1908" w:type="dxa"/>
            <w:vAlign w:val="center"/>
          </w:tcPr>
          <w:p w:rsidR="003B6B92" w:rsidRPr="007D4BF3" w:rsidRDefault="003B6B92" w:rsidP="007D4BF3">
            <w:pPr>
              <w:rPr>
                <w:b/>
              </w:rPr>
            </w:pPr>
            <w:r w:rsidRPr="007D4BF3">
              <w:rPr>
                <w:b/>
              </w:rPr>
              <w:t>Pre-condition</w:t>
            </w:r>
          </w:p>
        </w:tc>
        <w:tc>
          <w:tcPr>
            <w:tcW w:w="7668" w:type="dxa"/>
            <w:gridSpan w:val="2"/>
            <w:vAlign w:val="center"/>
          </w:tcPr>
          <w:sdt>
            <w:sdtPr>
              <w:alias w:val="Pre-Condition"/>
              <w:tag w:val="Pre-Condition"/>
              <w:id w:val="8652427"/>
              <w:placeholder>
                <w:docPart w:val="05D1D6AFAB2F43509678C9583E3B70B4"/>
              </w:placeholder>
              <w:text/>
            </w:sdtPr>
            <w:sdtEndPr/>
            <w:sdtContent>
              <w:p w:rsidR="003B6B92" w:rsidRDefault="00E543AD" w:rsidP="007D4BF3">
                <w:r>
                  <w:t xml:space="preserve">The user should have an account for online subscription </w:t>
                </w:r>
                <w:r w:rsidR="007F1F5B">
                  <w:t>and proper payment method (credit/debit) configured in the account.</w:t>
                </w:r>
              </w:p>
            </w:sdtContent>
          </w:sdt>
        </w:tc>
      </w:tr>
      <w:tr w:rsidR="003B6B92" w:rsidTr="007D4BF3">
        <w:tc>
          <w:tcPr>
            <w:tcW w:w="1908" w:type="dxa"/>
            <w:vAlign w:val="center"/>
          </w:tcPr>
          <w:p w:rsidR="003B6B92" w:rsidRPr="007D4BF3" w:rsidRDefault="003B6B92" w:rsidP="007D4BF3">
            <w:pPr>
              <w:rPr>
                <w:b/>
              </w:rPr>
            </w:pPr>
            <w:r w:rsidRPr="007D4BF3">
              <w:rPr>
                <w:b/>
              </w:rPr>
              <w:t>Post-condition</w:t>
            </w:r>
          </w:p>
        </w:tc>
        <w:tc>
          <w:tcPr>
            <w:tcW w:w="7668" w:type="dxa"/>
            <w:gridSpan w:val="2"/>
            <w:vAlign w:val="center"/>
          </w:tcPr>
          <w:p w:rsidR="003B6B92" w:rsidRDefault="004926B5" w:rsidP="007D4BF3">
            <w:r>
              <w:t xml:space="preserve">On successful subscription, that is when the user’s transaction is approved, the copy of series will be accessible through the website. On </w:t>
            </w:r>
            <w:r w:rsidR="00CB29C2">
              <w:t>un</w:t>
            </w:r>
            <w:r>
              <w:t>successful subscription, that is the user’s transaction is declined, the copy of series will not be accessible.</w:t>
            </w:r>
          </w:p>
        </w:tc>
      </w:tr>
      <w:tr w:rsidR="005A247E" w:rsidTr="002471DB">
        <w:trPr>
          <w:trHeight w:val="278"/>
        </w:trPr>
        <w:tc>
          <w:tcPr>
            <w:tcW w:w="1908" w:type="dxa"/>
            <w:vMerge w:val="restart"/>
            <w:vAlign w:val="center"/>
          </w:tcPr>
          <w:p w:rsidR="005A247E" w:rsidRPr="007D4BF3" w:rsidRDefault="005A247E" w:rsidP="007D4BF3">
            <w:pPr>
              <w:rPr>
                <w:b/>
              </w:rPr>
            </w:pPr>
            <w:r w:rsidRPr="007D4BF3">
              <w:rPr>
                <w:b/>
              </w:rPr>
              <w:t>Flow of events</w:t>
            </w:r>
          </w:p>
        </w:tc>
        <w:tc>
          <w:tcPr>
            <w:tcW w:w="3834" w:type="dxa"/>
            <w:vAlign w:val="center"/>
          </w:tcPr>
          <w:p w:rsidR="005A247E" w:rsidRPr="005A247E" w:rsidRDefault="005A247E" w:rsidP="005A247E">
            <w:pPr>
              <w:jc w:val="center"/>
              <w:rPr>
                <w:b/>
              </w:rPr>
            </w:pPr>
            <w:r w:rsidRPr="005A247E">
              <w:rPr>
                <w:b/>
              </w:rPr>
              <w:t>Actor</w:t>
            </w:r>
          </w:p>
        </w:tc>
        <w:tc>
          <w:tcPr>
            <w:tcW w:w="3834" w:type="dxa"/>
            <w:vAlign w:val="center"/>
          </w:tcPr>
          <w:p w:rsidR="005A247E" w:rsidRPr="005A247E" w:rsidRDefault="005A247E" w:rsidP="005A247E">
            <w:pPr>
              <w:jc w:val="center"/>
              <w:rPr>
                <w:b/>
              </w:rPr>
            </w:pPr>
            <w:r w:rsidRPr="005A247E">
              <w:rPr>
                <w:b/>
              </w:rPr>
              <w:t>System</w:t>
            </w:r>
          </w:p>
        </w:tc>
      </w:tr>
      <w:tr w:rsidR="005A247E" w:rsidTr="005A247E">
        <w:tc>
          <w:tcPr>
            <w:tcW w:w="1908" w:type="dxa"/>
            <w:vMerge/>
            <w:vAlign w:val="center"/>
          </w:tcPr>
          <w:p w:rsidR="005A247E" w:rsidRPr="007D4BF3" w:rsidRDefault="005A247E" w:rsidP="007D4BF3">
            <w:pPr>
              <w:rPr>
                <w:b/>
              </w:rPr>
            </w:pPr>
          </w:p>
        </w:tc>
        <w:tc>
          <w:tcPr>
            <w:tcW w:w="3834" w:type="dxa"/>
          </w:tcPr>
          <w:p w:rsidR="005A247E" w:rsidRDefault="00335A34" w:rsidP="005A247E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51292E">
              <w:t>user opening the website</w:t>
            </w:r>
          </w:p>
          <w:p w:rsidR="0051292E" w:rsidRDefault="0051292E" w:rsidP="005A247E">
            <w:pPr>
              <w:pStyle w:val="ListParagraph"/>
              <w:numPr>
                <w:ilvl w:val="0"/>
                <w:numId w:val="4"/>
              </w:numPr>
            </w:pPr>
            <w:r>
              <w:t>The user selecting the new series of the comics</w:t>
            </w:r>
          </w:p>
          <w:p w:rsidR="0051292E" w:rsidRDefault="004926B5" w:rsidP="005A247E">
            <w:pPr>
              <w:pStyle w:val="ListParagraph"/>
              <w:numPr>
                <w:ilvl w:val="0"/>
                <w:numId w:val="4"/>
              </w:numPr>
            </w:pPr>
            <w:r>
              <w:t>The payment is initiated through online transaction and the inventory is updated.</w:t>
            </w:r>
          </w:p>
        </w:tc>
        <w:tc>
          <w:tcPr>
            <w:tcW w:w="3834" w:type="dxa"/>
          </w:tcPr>
          <w:p w:rsidR="005A247E" w:rsidRDefault="0051292E" w:rsidP="0051292E">
            <w:pPr>
              <w:pStyle w:val="ListParagraph"/>
              <w:numPr>
                <w:ilvl w:val="0"/>
                <w:numId w:val="5"/>
              </w:numPr>
            </w:pPr>
            <w:r>
              <w:t>When the user opens the website, he/she is asked to login.</w:t>
            </w:r>
          </w:p>
          <w:p w:rsidR="0051292E" w:rsidRDefault="0051292E" w:rsidP="0051292E">
            <w:pPr>
              <w:pStyle w:val="ListParagraph"/>
              <w:numPr>
                <w:ilvl w:val="0"/>
                <w:numId w:val="5"/>
              </w:numPr>
            </w:pPr>
            <w:r>
              <w:t>After logging in, the list of the new series comes up and the user selects the desired and the payment option comes up</w:t>
            </w:r>
          </w:p>
          <w:p w:rsidR="0051292E" w:rsidRDefault="0051292E" w:rsidP="0051292E">
            <w:pPr>
              <w:pStyle w:val="ListParagraph"/>
              <w:numPr>
                <w:ilvl w:val="0"/>
                <w:numId w:val="5"/>
              </w:numPr>
            </w:pPr>
            <w:r>
              <w:t xml:space="preserve">A) The user confirms the </w:t>
            </w:r>
            <w:r w:rsidR="00CB29C2">
              <w:t>subscription and the payment is initiated.</w:t>
            </w:r>
          </w:p>
          <w:p w:rsidR="0051292E" w:rsidRDefault="0051292E" w:rsidP="0051292E">
            <w:pPr>
              <w:pStyle w:val="ListParagraph"/>
            </w:pPr>
            <w:r>
              <w:t>B) The user gets a confirmation letter,</w:t>
            </w:r>
            <w:r w:rsidR="00CB29C2">
              <w:t xml:space="preserve"> inventory gets updated</w:t>
            </w:r>
            <w:r>
              <w:t xml:space="preserve"> and </w:t>
            </w:r>
            <w:r w:rsidR="00CB29C2">
              <w:t xml:space="preserve">the user </w:t>
            </w:r>
            <w:r>
              <w:t xml:space="preserve">starts receiving the </w:t>
            </w:r>
            <w:r w:rsidR="00CB4AEC">
              <w:t>latest copy.</w:t>
            </w:r>
          </w:p>
        </w:tc>
      </w:tr>
      <w:tr w:rsidR="003B6B92" w:rsidTr="007D4BF3">
        <w:tc>
          <w:tcPr>
            <w:tcW w:w="1908" w:type="dxa"/>
            <w:vAlign w:val="center"/>
          </w:tcPr>
          <w:p w:rsidR="003B6B92" w:rsidRPr="007D4BF3" w:rsidRDefault="003B6B92" w:rsidP="007D4BF3">
            <w:pPr>
              <w:rPr>
                <w:b/>
              </w:rPr>
            </w:pPr>
            <w:r w:rsidRPr="007D4BF3">
              <w:rPr>
                <w:b/>
              </w:rPr>
              <w:t>Exception</w:t>
            </w:r>
          </w:p>
        </w:tc>
        <w:tc>
          <w:tcPr>
            <w:tcW w:w="7668" w:type="dxa"/>
            <w:gridSpan w:val="2"/>
            <w:vAlign w:val="center"/>
          </w:tcPr>
          <w:p w:rsidR="003B6B92" w:rsidRDefault="0051292E" w:rsidP="0051292E">
            <w:pPr>
              <w:pStyle w:val="ListParagraph"/>
              <w:numPr>
                <w:ilvl w:val="0"/>
                <w:numId w:val="7"/>
              </w:numPr>
            </w:pPr>
            <w:r>
              <w:t xml:space="preserve">If system 2 fails, that is the user </w:t>
            </w:r>
            <w:r w:rsidR="00CB4AEC">
              <w:t xml:space="preserve">fails to login with proper </w:t>
            </w:r>
            <w:r w:rsidR="00CB29C2">
              <w:t>credentials</w:t>
            </w:r>
            <w:r>
              <w:t xml:space="preserve">, </w:t>
            </w:r>
            <w:r w:rsidR="00CB29C2">
              <w:t>the user</w:t>
            </w:r>
            <w:r>
              <w:t xml:space="preserve"> will be asked to </w:t>
            </w:r>
            <w:r w:rsidR="00CB4AEC">
              <w:t>login again</w:t>
            </w:r>
            <w:r w:rsidR="00CB29C2">
              <w:t>.</w:t>
            </w:r>
          </w:p>
          <w:p w:rsidR="0051292E" w:rsidRDefault="0051292E" w:rsidP="0051292E">
            <w:pPr>
              <w:pStyle w:val="ListParagraph"/>
              <w:numPr>
                <w:ilvl w:val="0"/>
                <w:numId w:val="7"/>
              </w:numPr>
            </w:pPr>
            <w:r>
              <w:t xml:space="preserve">If system 3A fails, that is </w:t>
            </w:r>
            <w:r w:rsidR="00CB29C2">
              <w:t>the transaction gets declined, the website loads back to the subscription page showing error.</w:t>
            </w:r>
          </w:p>
        </w:tc>
      </w:tr>
    </w:tbl>
    <w:p w:rsidR="003921BB" w:rsidRDefault="00E80CD5"/>
    <w:sectPr w:rsidR="003921BB" w:rsidSect="0037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CDB"/>
    <w:multiLevelType w:val="hybridMultilevel"/>
    <w:tmpl w:val="B05E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A6547"/>
    <w:multiLevelType w:val="hybridMultilevel"/>
    <w:tmpl w:val="2A240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29D6"/>
    <w:multiLevelType w:val="hybridMultilevel"/>
    <w:tmpl w:val="3E5E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0951"/>
    <w:multiLevelType w:val="hybridMultilevel"/>
    <w:tmpl w:val="E622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32B16"/>
    <w:multiLevelType w:val="hybridMultilevel"/>
    <w:tmpl w:val="EC9A81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93B"/>
    <w:multiLevelType w:val="hybridMultilevel"/>
    <w:tmpl w:val="D2AA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4D7FCE"/>
    <w:multiLevelType w:val="hybridMultilevel"/>
    <w:tmpl w:val="FF5060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E7"/>
    <w:rsid w:val="0002747D"/>
    <w:rsid w:val="000D3A0B"/>
    <w:rsid w:val="0018073D"/>
    <w:rsid w:val="00196BF7"/>
    <w:rsid w:val="001979E7"/>
    <w:rsid w:val="002011EE"/>
    <w:rsid w:val="002471DB"/>
    <w:rsid w:val="002C40F2"/>
    <w:rsid w:val="003153C6"/>
    <w:rsid w:val="00335A34"/>
    <w:rsid w:val="00351E55"/>
    <w:rsid w:val="00375863"/>
    <w:rsid w:val="003B6B92"/>
    <w:rsid w:val="003D446B"/>
    <w:rsid w:val="003D691E"/>
    <w:rsid w:val="00491262"/>
    <w:rsid w:val="004926B5"/>
    <w:rsid w:val="0051292E"/>
    <w:rsid w:val="0055776E"/>
    <w:rsid w:val="005A247E"/>
    <w:rsid w:val="005B1598"/>
    <w:rsid w:val="00604FBC"/>
    <w:rsid w:val="00607A7F"/>
    <w:rsid w:val="00642001"/>
    <w:rsid w:val="006668FE"/>
    <w:rsid w:val="006D7AFA"/>
    <w:rsid w:val="007D4BF3"/>
    <w:rsid w:val="007F1F5B"/>
    <w:rsid w:val="0083199E"/>
    <w:rsid w:val="00A23529"/>
    <w:rsid w:val="00A27C7A"/>
    <w:rsid w:val="00B1408C"/>
    <w:rsid w:val="00B77675"/>
    <w:rsid w:val="00B87F22"/>
    <w:rsid w:val="00C03C4B"/>
    <w:rsid w:val="00CB29C2"/>
    <w:rsid w:val="00CB4AEC"/>
    <w:rsid w:val="00DB63C5"/>
    <w:rsid w:val="00E543AD"/>
    <w:rsid w:val="00E80CD5"/>
    <w:rsid w:val="00F8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27E5"/>
  <w15:docId w15:val="{9DD1E16E-23CD-4276-B46C-AFA16D66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B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6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UseCaseTitle">
    <w:name w:val="Use Case Title"/>
    <w:basedOn w:val="Heading2"/>
    <w:link w:val="UseCaseTitleChar"/>
    <w:qFormat/>
    <w:rsid w:val="003B6B92"/>
  </w:style>
  <w:style w:type="character" w:styleId="PlaceholderText">
    <w:name w:val="Placeholder Text"/>
    <w:basedOn w:val="DefaultParagraphFont"/>
    <w:uiPriority w:val="99"/>
    <w:semiHidden/>
    <w:rsid w:val="003B6B92"/>
    <w:rPr>
      <w:color w:val="808080"/>
    </w:rPr>
  </w:style>
  <w:style w:type="character" w:customStyle="1" w:styleId="UseCaseTitleChar">
    <w:name w:val="Use Case Title Char"/>
    <w:basedOn w:val="Heading2Char"/>
    <w:link w:val="UseCaseTitle"/>
    <w:rsid w:val="003B6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gessb\AppData\Roaming\Microsoft\Templates\C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D1D6AFAB2F43509678C9583E3B7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10CC9-F073-4F38-9505-6E3BA179E600}"/>
      </w:docPartPr>
      <w:docPartBody>
        <w:p w:rsidR="00FA60E4" w:rsidRDefault="00D6725C">
          <w:pPr>
            <w:pStyle w:val="05D1D6AFAB2F43509678C9583E3B70B4"/>
          </w:pPr>
          <w:r w:rsidRPr="007D1D2E">
            <w:rPr>
              <w:rStyle w:val="PlaceholderText"/>
            </w:rPr>
            <w:t>Click here to enter text.</w:t>
          </w:r>
        </w:p>
      </w:docPartBody>
    </w:docPart>
    <w:docPart>
      <w:docPartPr>
        <w:name w:val="B47E634EE22149C5818643776FC51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657B-EABC-4853-8432-F1465CA0DDA4}"/>
      </w:docPartPr>
      <w:docPartBody>
        <w:p w:rsidR="00FA60E4" w:rsidRDefault="00D6725C">
          <w:pPr>
            <w:pStyle w:val="B47E634EE22149C5818643776FC51E39"/>
          </w:pPr>
          <w:r w:rsidRPr="007D1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5C"/>
    <w:rsid w:val="00280FE2"/>
    <w:rsid w:val="00370026"/>
    <w:rsid w:val="004D42E5"/>
    <w:rsid w:val="00782568"/>
    <w:rsid w:val="00AA21BD"/>
    <w:rsid w:val="00AA3012"/>
    <w:rsid w:val="00D6725C"/>
    <w:rsid w:val="00F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D1D6AFAB2F43509678C9583E3B70B4">
    <w:name w:val="05D1D6AFAB2F43509678C9583E3B70B4"/>
  </w:style>
  <w:style w:type="paragraph" w:customStyle="1" w:styleId="B47E634EE22149C5818643776FC51E39">
    <w:name w:val="B47E634EE22149C5818643776FC51E39"/>
  </w:style>
  <w:style w:type="paragraph" w:customStyle="1" w:styleId="930554193E7F42E1926D90199DBEC005">
    <w:name w:val="930554193E7F42E1926D90199DBEC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712604640C14D96984209D0EB65E7" ma:contentTypeVersion="0" ma:contentTypeDescription="Create a new document." ma:contentTypeScope="" ma:versionID="9cb458b911c204ceff1b874c0621a7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7A91B0-39E1-4C38-93C8-36944B747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8DD5B-F5CC-4F65-8902-106E5373DF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CDCDD8-C727-4466-BC18-864469493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73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 Burgess</dc:creator>
  <cp:lastModifiedBy>Adhrika Pai</cp:lastModifiedBy>
  <cp:revision>4</cp:revision>
  <dcterms:created xsi:type="dcterms:W3CDTF">2016-10-16T05:11:00Z</dcterms:created>
  <dcterms:modified xsi:type="dcterms:W3CDTF">2016-10-20T00:40:00Z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TC300080679990</vt:lpwstr>
  </property>
  <property fmtid="{D5CDD505-2E9C-101B-9397-08002B2CF9AE}" pid="3" name="ContentTypeId">
    <vt:lpwstr>0x010100C6F712604640C14D96984209D0EB65E7</vt:lpwstr>
  </property>
</Properties>
</file>