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999" w:type="dxa"/>
        <w:tblInd w:w="324"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ADFFF"/>
        <w:tblLayout w:type="fixed"/>
        <w:tblCellMar>
          <w:top w:w="0" w:type="dxa"/>
          <w:left w:w="108" w:type="dxa"/>
          <w:bottom w:w="0" w:type="dxa"/>
          <w:right w:w="108" w:type="dxa"/>
        </w:tblCellMar>
      </w:tblPr>
      <w:tblGrid>
        <w:gridCol w:w="1414"/>
        <w:gridCol w:w="2480"/>
        <w:gridCol w:w="6105"/>
      </w:tblGrid>
      <w:tr w14:paraId="1F53E01F">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7ACE9AF">
            <w:pPr>
              <w:pStyle w:val="5"/>
            </w:pPr>
            <w:r>
              <w:rPr>
                <w:rFonts w:ascii="Calibri" w:hAnsi="Calibri"/>
                <w:color w:val="FF0000"/>
                <w:u w:color="FF0000"/>
              </w:rPr>
              <w:t>Exam Category</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F8DA96D">
            <w:pPr>
              <w:pStyle w:val="4"/>
              <w:rPr>
                <w:rFonts w:hint="default"/>
                <w:lang w:val="en-US"/>
              </w:rPr>
            </w:pPr>
            <w:r>
              <w:rPr>
                <w:rFonts w:hint="default"/>
                <w:lang w:val="en-US"/>
              </w:rPr>
              <w:t>Judiciary</w:t>
            </w:r>
          </w:p>
        </w:tc>
      </w:tr>
      <w:tr w14:paraId="75EFCA63">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FC9BCEE">
            <w:pPr>
              <w:pStyle w:val="5"/>
            </w:pPr>
            <w:r>
              <w:rPr>
                <w:rFonts w:ascii="Calibri" w:hAnsi="Calibri"/>
                <w:color w:val="FF0000"/>
                <w:u w:color="FF0000"/>
              </w:rPr>
              <w:t>Input Language</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961F517">
            <w:pPr>
              <w:pStyle w:val="5"/>
            </w:pPr>
            <w:r>
              <w:t>English</w:t>
            </w:r>
          </w:p>
        </w:tc>
      </w:tr>
      <w:tr w14:paraId="537F6B4E">
        <w:trPr>
          <w:trHeight w:val="5024"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B341C72">
            <w:pPr>
              <w:pStyle w:val="5"/>
            </w:pPr>
            <w:r>
              <w:rPr>
                <w:rFonts w:ascii="Calibri" w:hAnsi="Calibri"/>
                <w:color w:val="FF0000"/>
                <w:u w:color="FF0000"/>
              </w:rPr>
              <w:t>Question</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9340B37">
            <w:pPr>
              <w:pStyle w:val="5"/>
            </w:pPr>
            <w:r>
              <w:rPr>
                <w:rFonts w:ascii="Cambria" w:hAnsi="Cambria" w:eastAsia="Cambria" w:cs="Cambria"/>
                <w:sz w:val="24"/>
                <w:szCs w:val="24"/>
                <w:rtl w:val="0"/>
              </w:rPr>
              <w:t>Under BNS—'A' pulled an ear ring away from a woman's ear and thereby tore and wounded her ear. 'A' is guilty of:-</w:t>
            </w:r>
          </w:p>
        </w:tc>
      </w:tr>
      <w:tr w14:paraId="597AE08A">
        <w:trPr>
          <w:trHeight w:val="2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A44807A">
            <w:pPr>
              <w:pStyle w:val="5"/>
            </w:pPr>
            <w:r>
              <w:rPr>
                <w:rFonts w:ascii="Calibri" w:hAnsi="Calibri"/>
                <w:color w:val="FF0000"/>
                <w:u w:color="FF0000"/>
              </w:rPr>
              <w:t>Type</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01ACCD">
            <w:pPr>
              <w:pStyle w:val="5"/>
            </w:pPr>
            <w:r>
              <w:rPr>
                <w:rFonts w:ascii="Calibri" w:hAnsi="Calibri"/>
              </w:rPr>
              <w:t>SCQ</w:t>
            </w:r>
          </w:p>
        </w:tc>
      </w:tr>
      <w:tr w14:paraId="084F0CDA">
        <w:trPr>
          <w:trHeight w:val="63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A04EB31">
            <w:pPr>
              <w:pStyle w:val="5"/>
            </w:pPr>
            <w:r>
              <w:rPr>
                <w:rFonts w:ascii="Calibri" w:hAnsi="Calibri"/>
                <w:color w:val="FF0000"/>
                <w:u w:color="FF0000"/>
              </w:rPr>
              <w:t>Option</w:t>
            </w:r>
          </w:p>
        </w:tc>
        <w:tc>
          <w:tcPr>
            <w:tcW w:w="2480" w:type="dxa"/>
            <w:tcBorders>
              <w:top w:val="single" w:color="000000" w:sz="4" w:space="0"/>
              <w:left w:val="single" w:color="000000" w:sz="4" w:space="0"/>
              <w:bottom w:val="single" w:color="FFFFFF" w:sz="8" w:space="0"/>
              <w:right w:val="single" w:color="000000" w:sz="4" w:space="0"/>
            </w:tcBorders>
            <w:shd w:val="clear" w:color="auto" w:fill="CDD4E9"/>
            <w:tcMar>
              <w:top w:w="80" w:type="dxa"/>
              <w:left w:w="80" w:type="dxa"/>
              <w:bottom w:w="80" w:type="dxa"/>
              <w:right w:w="80" w:type="dxa"/>
            </w:tcMar>
          </w:tcPr>
          <w:p w14:paraId="09BFA792">
            <w:pPr>
              <w:pStyle w:val="4"/>
              <w:tabs>
                <w:tab w:val="left" w:pos="1440"/>
              </w:tabs>
              <w:suppressAutoHyphens/>
              <w:outlineLvl w:val="0"/>
            </w:pPr>
            <w:r>
              <w:rPr>
                <w:rFonts w:ascii="Calibri" w:hAnsi="Calibri"/>
                <w:sz w:val="22"/>
                <w:szCs w:val="22"/>
                <w:lang w:val="en-US"/>
              </w:rPr>
              <w:t>Incorrect</w:t>
            </w:r>
          </w:p>
        </w:tc>
        <w:tc>
          <w:tcPr>
            <w:tcW w:w="61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88C4DAE">
            <w:pPr>
              <w:pStyle w:val="5"/>
            </w:pPr>
            <w:r>
              <w:rPr>
                <w:rFonts w:ascii="Cambria" w:hAnsi="Cambria" w:eastAsia="Cambria" w:cs="Cambria"/>
                <w:sz w:val="24"/>
                <w:szCs w:val="24"/>
                <w:rtl w:val="0"/>
              </w:rPr>
              <w:t>Extortion</w:t>
            </w:r>
          </w:p>
        </w:tc>
      </w:tr>
      <w:tr w14:paraId="759DC9B3">
        <w:trPr>
          <w:trHeight w:val="652"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BACCF80">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FFFFFF" w:sz="8" w:space="0"/>
              <w:right w:val="single" w:color="000000" w:sz="4" w:space="0"/>
            </w:tcBorders>
            <w:shd w:val="clear" w:color="auto" w:fill="E7EAF4"/>
            <w:tcMar>
              <w:top w:w="80" w:type="dxa"/>
              <w:left w:w="80" w:type="dxa"/>
              <w:bottom w:w="80" w:type="dxa"/>
              <w:right w:w="80" w:type="dxa"/>
            </w:tcMar>
          </w:tcPr>
          <w:p w14:paraId="0FA14635">
            <w:pPr>
              <w:pStyle w:val="4"/>
              <w:tabs>
                <w:tab w:val="left" w:pos="1440"/>
              </w:tabs>
              <w:suppressAutoHyphens/>
              <w:outlineLvl w:val="0"/>
            </w:pPr>
            <w:r>
              <w:rPr>
                <w:rFonts w:hint="default" w:ascii="Calibri" w:hAnsi="Calibri"/>
                <w:sz w:val="22"/>
                <w:szCs w:val="22"/>
                <w:lang w:val="en-US"/>
              </w:rPr>
              <w:t>Inc</w:t>
            </w:r>
            <w:r>
              <w:rPr>
                <w:rFonts w:ascii="Calibri" w:hAnsi="Calibri"/>
                <w:sz w:val="22"/>
                <w:szCs w:val="22"/>
                <w:lang w:val="en-US"/>
              </w:rPr>
              <w:t>orrect</w:t>
            </w:r>
          </w:p>
        </w:tc>
        <w:tc>
          <w:tcPr>
            <w:tcW w:w="61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90F1787">
            <w:pPr>
              <w:pStyle w:val="5"/>
            </w:pPr>
            <w:r>
              <w:rPr>
                <w:rFonts w:ascii="Cambria" w:hAnsi="Cambria" w:eastAsia="Cambria" w:cs="Cambria"/>
                <w:sz w:val="24"/>
                <w:szCs w:val="24"/>
                <w:rtl w:val="0"/>
              </w:rPr>
              <w:t>Mischief</w:t>
            </w:r>
          </w:p>
        </w:tc>
      </w:tr>
      <w:tr w14:paraId="435FA6D3">
        <w:trPr>
          <w:trHeight w:val="652"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14FBE3B">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FFFFFF" w:sz="8" w:space="0"/>
              <w:right w:val="single" w:color="000000" w:sz="4" w:space="0"/>
            </w:tcBorders>
            <w:shd w:val="clear" w:color="auto" w:fill="CDD4E9"/>
            <w:tcMar>
              <w:top w:w="80" w:type="dxa"/>
              <w:left w:w="80" w:type="dxa"/>
              <w:bottom w:w="80" w:type="dxa"/>
              <w:right w:w="80" w:type="dxa"/>
            </w:tcMar>
          </w:tcPr>
          <w:p w14:paraId="2B41ADFC">
            <w:pPr>
              <w:pStyle w:val="4"/>
              <w:tabs>
                <w:tab w:val="left" w:pos="1440"/>
              </w:tabs>
              <w:suppressAutoHyphens/>
              <w:outlineLvl w:val="0"/>
            </w:pPr>
            <w:r>
              <w:rPr>
                <w:rFonts w:ascii="Calibri" w:hAnsi="Calibri"/>
                <w:sz w:val="22"/>
                <w:szCs w:val="22"/>
                <w:lang w:val="en-US"/>
              </w:rPr>
              <w:t>Incorrect</w:t>
            </w:r>
          </w:p>
        </w:tc>
        <w:tc>
          <w:tcPr>
            <w:tcW w:w="61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DB55119">
            <w:pPr>
              <w:numPr>
                <w:numId w:val="0"/>
              </w:numPr>
              <w:spacing w:line="276" w:lineRule="auto"/>
              <w:jc w:val="both"/>
              <w:rPr>
                <w:rFonts w:hint="default"/>
                <w:lang w:val="en-US"/>
              </w:rPr>
            </w:pPr>
            <w:r>
              <w:rPr>
                <w:rFonts w:ascii="Cambria" w:hAnsi="Cambria" w:eastAsia="Cambria" w:cs="Cambria"/>
                <w:sz w:val="24"/>
                <w:szCs w:val="24"/>
                <w:rtl w:val="0"/>
              </w:rPr>
              <w:t>Criminal Misappropriation</w:t>
            </w:r>
          </w:p>
        </w:tc>
      </w:tr>
      <w:tr w14:paraId="6DDCF6C4">
        <w:trPr>
          <w:trHeight w:val="64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78FC718">
            <w:pPr>
              <w:pStyle w:val="5"/>
            </w:pPr>
            <w:r>
              <w:rPr>
                <w:rFonts w:ascii="Calibri" w:hAnsi="Calibri"/>
                <w:color w:val="FF0000"/>
                <w:u w:color="FF0000"/>
              </w:rPr>
              <w:t>Option</w:t>
            </w:r>
          </w:p>
        </w:tc>
        <w:tc>
          <w:tcPr>
            <w:tcW w:w="2480" w:type="dxa"/>
            <w:tcBorders>
              <w:top w:val="single" w:color="FFFFFF" w:sz="8" w:space="0"/>
              <w:left w:val="single" w:color="000000" w:sz="4" w:space="0"/>
              <w:bottom w:val="single" w:color="000000" w:sz="4" w:space="0"/>
              <w:right w:val="single" w:color="000000" w:sz="4" w:space="0"/>
            </w:tcBorders>
            <w:shd w:val="clear" w:color="auto" w:fill="E7EAF4"/>
            <w:tcMar>
              <w:top w:w="80" w:type="dxa"/>
              <w:left w:w="80" w:type="dxa"/>
              <w:bottom w:w="80" w:type="dxa"/>
              <w:right w:w="80" w:type="dxa"/>
            </w:tcMar>
          </w:tcPr>
          <w:p w14:paraId="71D5B769">
            <w:pPr>
              <w:pStyle w:val="4"/>
              <w:tabs>
                <w:tab w:val="left" w:pos="1440"/>
              </w:tabs>
              <w:suppressAutoHyphens/>
              <w:outlineLvl w:val="0"/>
            </w:pPr>
            <w:r>
              <w:rPr>
                <w:rFonts w:hint="default" w:ascii="Calibri" w:hAnsi="Calibri"/>
                <w:sz w:val="22"/>
                <w:szCs w:val="22"/>
                <w:lang w:val="en-US"/>
              </w:rPr>
              <w:t>C</w:t>
            </w:r>
            <w:r>
              <w:rPr>
                <w:rFonts w:ascii="Calibri" w:hAnsi="Calibri"/>
                <w:sz w:val="22"/>
                <w:szCs w:val="22"/>
                <w:lang w:val="en-US"/>
              </w:rPr>
              <w:t>orrect</w:t>
            </w:r>
          </w:p>
        </w:tc>
        <w:tc>
          <w:tcPr>
            <w:tcW w:w="61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2EEA333A">
            <w:pPr>
              <w:pStyle w:val="5"/>
            </w:pPr>
            <w:r>
              <w:rPr>
                <w:rFonts w:ascii="Cambria" w:hAnsi="Cambria" w:eastAsia="Cambria" w:cs="Cambria"/>
                <w:sz w:val="24"/>
                <w:szCs w:val="24"/>
                <w:rtl w:val="0"/>
              </w:rPr>
              <w:t>Robbery</w:t>
            </w:r>
          </w:p>
        </w:tc>
      </w:tr>
      <w:tr w14:paraId="7B6E6A5B">
        <w:trPr>
          <w:trHeight w:val="3481"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0F39D30">
            <w:pPr>
              <w:pStyle w:val="5"/>
            </w:pPr>
            <w:r>
              <w:rPr>
                <w:rFonts w:ascii="Calibri" w:hAnsi="Calibri"/>
                <w:color w:val="FF0000"/>
                <w:u w:color="FF0000"/>
              </w:rPr>
              <w:t>Solution</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2089709">
            <w:pPr>
              <w:spacing w:line="276" w:lineRule="auto"/>
              <w:jc w:val="both"/>
            </w:pPr>
            <w:r>
              <w:rPr>
                <w:rFonts w:ascii="Cambria" w:hAnsi="Cambria" w:eastAsia="Cambria" w:cs="Cambria"/>
                <w:sz w:val="24"/>
                <w:szCs w:val="24"/>
                <w:rtl w:val="0"/>
              </w:rPr>
              <w:t xml:space="preserve">Under </w:t>
            </w:r>
            <w:r>
              <w:rPr>
                <w:rFonts w:ascii="Cambria" w:hAnsi="Cambria" w:eastAsia="Cambria" w:cs="Cambria"/>
                <w:b/>
                <w:bCs/>
                <w:sz w:val="24"/>
                <w:szCs w:val="24"/>
                <w:rtl w:val="0"/>
              </w:rPr>
              <w:t xml:space="preserve">Section 309 </w:t>
            </w:r>
            <w:r>
              <w:rPr>
                <w:rFonts w:ascii="Cambria" w:hAnsi="Cambria" w:eastAsia="Cambria" w:cs="Cambria"/>
                <w:sz w:val="24"/>
                <w:szCs w:val="24"/>
                <w:rtl w:val="0"/>
              </w:rPr>
              <w:t xml:space="preserve"> of the BNS, 2023 , robbery is defined as either theft or extortion accompanied by violence or threat of violence. According to Section 309(2) of the BNS, theft becomes "robbery" if the offender, in order to commit the theft, or in committing the theft, or in carrying away property obtained by the theft, voluntarily causes or attempts to cause hurt to any person.Here, 'A' committed theft of the earring and, in the process, caused hurt by tearing and wounding the woman’s ear. Since theft was committed by causing hurt, it amounts to robbery.</w:t>
            </w:r>
            <w:bookmarkStart w:id="0" w:name="_GoBack"/>
            <w:bookmarkEnd w:id="0"/>
          </w:p>
        </w:tc>
      </w:tr>
      <w:tr w14:paraId="149CC4EE">
        <w:trPr>
          <w:trHeight w:val="310"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5F32A0E">
            <w:pPr>
              <w:pStyle w:val="5"/>
            </w:pPr>
            <w:r>
              <w:rPr>
                <w:rFonts w:ascii="Calibri" w:hAnsi="Calibri"/>
                <w:color w:val="FF0000"/>
                <w:u w:color="FF0000"/>
              </w:rPr>
              <w:t>Difficulty</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CA144CF">
            <w:pPr>
              <w:pStyle w:val="5"/>
            </w:pPr>
          </w:p>
        </w:tc>
      </w:tr>
      <w:tr w14:paraId="56948F4E">
        <w:trPr>
          <w:trHeight w:val="610"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D3B96F5">
            <w:pPr>
              <w:pStyle w:val="5"/>
            </w:pPr>
            <w:r>
              <w:rPr>
                <w:rFonts w:ascii="Calibri" w:hAnsi="Calibri"/>
                <w:color w:val="FF0000"/>
                <w:u w:color="FF0000"/>
              </w:rPr>
              <w:t>Video Solution</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21B2432">
            <w:pPr>
              <w:pStyle w:val="5"/>
            </w:pPr>
          </w:p>
        </w:tc>
      </w:tr>
      <w:tr w14:paraId="0F7187D8">
        <w:trPr>
          <w:trHeight w:val="8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C4A8FC2">
            <w:pPr>
              <w:pStyle w:val="5"/>
            </w:pPr>
            <w:r>
              <w:rPr>
                <w:rFonts w:ascii="Calibri" w:hAnsi="Calibri"/>
                <w:color w:val="FF0000"/>
                <w:u w:color="FF0000"/>
              </w:rPr>
              <w:t>Average Time (seconds)</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7379D8F2">
            <w:pPr>
              <w:pStyle w:val="5"/>
            </w:pPr>
          </w:p>
        </w:tc>
      </w:tr>
      <w:tr w14:paraId="31FDB166">
        <w:trPr>
          <w:trHeight w:val="35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1751ED2">
            <w:pPr>
              <w:pStyle w:val="5"/>
            </w:pPr>
            <w:r>
              <w:rPr>
                <w:rFonts w:ascii="Calibri" w:hAnsi="Calibri"/>
                <w:color w:val="FF0000"/>
                <w:u w:color="FF0000"/>
              </w:rPr>
              <w:t>Exam Tags</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552C1E5A">
            <w:pPr>
              <w:pStyle w:val="5"/>
            </w:pPr>
          </w:p>
        </w:tc>
      </w:tr>
      <w:tr w14:paraId="7C04FE34">
        <w:trPr>
          <w:trHeight w:val="71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C8B567E">
            <w:pPr>
              <w:pStyle w:val="5"/>
            </w:pPr>
            <w:r>
              <w:rPr>
                <w:rFonts w:ascii="Calibri" w:hAnsi="Calibri"/>
                <w:color w:val="FF0000"/>
                <w:u w:color="FF0000"/>
              </w:rPr>
              <w:t>Source</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88201B5">
            <w:pPr>
              <w:pStyle w:val="5"/>
            </w:pPr>
          </w:p>
        </w:tc>
      </w:tr>
      <w:tr w14:paraId="3FEB5676">
        <w:trPr>
          <w:trHeight w:val="1076"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6699039B">
            <w:pPr>
              <w:pStyle w:val="5"/>
            </w:pPr>
            <w:r>
              <w:rPr>
                <w:rFonts w:ascii="Calibri" w:hAnsi="Calibri"/>
                <w:color w:val="FF0000"/>
                <w:u w:color="FF0000"/>
              </w:rPr>
              <w:t>X Category Tags</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72C2EBF">
            <w:pPr>
              <w:pStyle w:val="5"/>
            </w:pPr>
          </w:p>
        </w:tc>
      </w:tr>
      <w:tr w14:paraId="18D42660">
        <w:trPr>
          <w:trHeight w:val="567" w:hRule="atLeast"/>
        </w:trPr>
        <w:tc>
          <w:tcPr>
            <w:tcW w:w="1414"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4260CD13">
            <w:pPr>
              <w:pStyle w:val="5"/>
            </w:pPr>
            <w:r>
              <w:rPr>
                <w:rFonts w:ascii="Calibri" w:hAnsi="Calibri"/>
                <w:color w:val="FF0000"/>
                <w:u w:color="FF0000"/>
              </w:rPr>
              <w:t>Readiness Tags</w:t>
            </w:r>
          </w:p>
        </w:tc>
        <w:tc>
          <w:tcPr>
            <w:tcW w:w="8585"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6A83470">
            <w:pPr>
              <w:pStyle w:val="5"/>
            </w:pPr>
          </w:p>
        </w:tc>
      </w:tr>
    </w:tbl>
    <w:p w14:paraId="3EDA7FFC"/>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Nirmala UI">
    <w:altName w:val="苹方-简"/>
    <w:panose1 w:val="020B0502040204020203"/>
    <w:charset w:val="00"/>
    <w:family w:val="swiss"/>
    <w:pitch w:val="default"/>
    <w:sig w:usb0="00000000" w:usb1="00000000" w:usb2="000002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86"/>
    <w:family w:val="swiss"/>
    <w:pitch w:val="default"/>
    <w:sig w:usb0="E0000AFF" w:usb1="00007843" w:usb2="00000001" w:usb3="00000000" w:csb0="400001BF" w:csb1="DFF70000"/>
  </w:font>
  <w:font w:name="Cambria">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B89"/>
    <w:rsid w:val="005573CB"/>
    <w:rsid w:val="00F23B89"/>
    <w:rsid w:val="00FB40AA"/>
    <w:rsid w:val="EEF7F467"/>
    <w:rsid w:val="F6FEF45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Times New Roman"/>
      <w:kern w:val="0"/>
      <w:sz w:val="24"/>
      <w:szCs w:val="24"/>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customStyle="1" w:styleId="4">
    <w:name w:val="Body"/>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Arial Unicode MS"/>
      <w:color w:val="000000"/>
      <w:kern w:val="0"/>
      <w:sz w:val="24"/>
      <w:szCs w:val="24"/>
      <w:u w:color="000000"/>
      <w:lang w:val="en-IN" w:eastAsia="en-IN" w:bidi="ar-SA"/>
      <w14:ligatures w14:val="none"/>
    </w:rPr>
  </w:style>
  <w:style w:type="paragraph" w:customStyle="1" w:styleId="5">
    <w:name w:val="Body A"/>
    <w:uiPriority w:val="0"/>
    <w:pPr>
      <w:pBdr>
        <w:top w:val="none" w:color="auto" w:sz="0" w:space="0"/>
        <w:left w:val="none" w:color="auto" w:sz="0" w:space="0"/>
        <w:bottom w:val="none" w:color="auto" w:sz="0" w:space="0"/>
        <w:right w:val="none" w:color="auto" w:sz="0" w:space="0"/>
        <w:between w:val="none" w:color="auto" w:sz="0" w:space="0"/>
      </w:pBdr>
      <w:spacing w:after="0" w:line="240" w:lineRule="auto"/>
    </w:pPr>
    <w:rPr>
      <w:rFonts w:ascii="Times New Roman" w:hAnsi="Times New Roman" w:eastAsia="Arial Unicode MS" w:cs="Arial Unicode MS"/>
      <w:color w:val="000000"/>
      <w:kern w:val="0"/>
      <w:sz w:val="24"/>
      <w:szCs w:val="24"/>
      <w:u w:color="000000"/>
      <w:lang w:val="en-US" w:eastAsia="en-IN" w:bidi="ar-SA"/>
      <w14:ligatures w14: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242</Words>
  <Characters>1381</Characters>
  <Lines>11</Lines>
  <Paragraphs>3</Paragraphs>
  <TotalTime>0</TotalTime>
  <ScaleCrop>false</ScaleCrop>
  <LinksUpToDate>false</LinksUpToDate>
  <CharactersWithSpaces>1620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2024-02-05T14:50:00Z</dcterms:created>
  <dc:creator>sankalp singhal</dc:creator>
  <cp:lastModifiedBy>Aditya Raj</cp:lastModifiedBy>
  <dcterms:modified xsi:type="dcterms:W3CDTF">2026-10-02T20:35:45Z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7AB97B5F7207F196BBC7BF6A228C113B_42</vt:lpwstr>
  </property>
</Properties>
</file>