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E3A8A"/>
          <w:sz w:val="40"/>
          <w:szCs w:val="40"/>
        </w:rPr>
        <w:t xml:space="preserve">SOFTWARE REQUIREMENTS SPECIFICATION</w:t>
      </w:r>
    </w:p>
    <w:p>
      <w:pPr>
        <w:spacing w:after="200" w:before="200"/>
        <w:jc w:val="center"/>
      </w:pPr>
      <w:r>
        <w:rPr>
          <w:color w:val="374151"/>
          <w:sz w:val="26"/>
          <w:szCs w:val="26"/>
        </w:rPr>
        <w:t xml:space="preserve">NusaMail — Platform Email Multi-Tenant Berbasis Domain Sendiri</w:t>
      </w:r>
    </w:p>
    <w:p>
      <w:pPr>
        <w:spacing w:before="600"/>
        <w:jc w:val="center"/>
      </w:pPr>
      <w:r>
        <w:rPr>
          <w:color w:val="6B7280"/>
          <w:sz w:val="22"/>
          <w:szCs w:val="22"/>
        </w:rPr>
        <w:t xml:space="preserve">Versi 1.0</w:t>
      </w:r>
    </w:p>
    <w:p>
      <w:pPr>
        <w:jc w:val="center"/>
      </w:pPr>
      <w:r>
        <w:rPr>
          <w:color w:val="6B7280"/>
          <w:sz w:val="22"/>
          <w:szCs w:val="22"/>
        </w:rPr>
        <w:t xml:space="preserve">18 Juli 2026</w:t>
      </w:r>
    </w:p>
    <w:p>
      <w:pPr>
        <w:spacing w:before="100"/>
        <w:jc w:val="center"/>
      </w:pPr>
      <w:r>
        <w:rPr>
          <w:i/>
          <w:iCs/>
          <w:color w:val="6B7280"/>
          <w:sz w:val="20"/>
          <w:szCs w:val="20"/>
        </w:rPr>
        <w:t xml:space="preserve">Mengacu pada struktur IEEE 830</w:t>
      </w:r>
    </w:p>
    <w:p>
      <w:r>
        <w:br w:type="page"/>
      </w:r>
    </w:p>
    <w:p>
      <w:pPr>
        <w:pStyle w:val="Heading1"/>
        <w:spacing w:after="150" w:before="300"/>
      </w:pPr>
      <w:r>
        <w:t xml:space="preserve">1. Pendahuluan</w:t>
      </w:r>
    </w:p>
    <w:p>
      <w:pPr>
        <w:pStyle w:val="Heading2"/>
        <w:spacing w:after="120" w:before="240"/>
      </w:pPr>
      <w:r>
        <w:t xml:space="preserve">1.1 Tujuan Dokumen</w:t>
      </w:r>
    </w:p>
    <w:p>
      <w:pPr>
        <w:spacing w:after="160"/>
      </w:pPr>
      <w:r>
        <w:t xml:space="preserve">Dokumen ini menjabarkan kebutuhan fungsional dan non-fungsional secara rinci untuk pengembangan NusaMail — platform email multi-tenant berbasis domain sendiri, dengan UI kustom, serta fitur produktivitas terintegrasi (kalender, tugas, otomatisasi). Dokumen ini menjadi acuan teknis bagi tim engineering, desainer UI/UX, dan QA selama proses pengembangan.</w:t>
      </w:r>
    </w:p>
    <w:p>
      <w:pPr>
        <w:pStyle w:val="Heading2"/>
        <w:spacing w:after="120" w:before="240"/>
      </w:pPr>
      <w:r>
        <w:t xml:space="preserve">1.2 Ruang Lingkup Produk</w:t>
      </w:r>
    </w:p>
    <w:p>
      <w:pPr>
        <w:spacing w:after="160"/>
      </w:pPr>
      <w:r>
        <w:t xml:space="preserve">NusaMail memungkinkan pengguna (tenant) menghubungkan domain mereka sendiri untuk mengirim dan menerima email secara mandiri, tanpa bergantung pada biaya langganan bulanan penyedia pihak ketiga. Platform mendukung banyak tenant dan domain sekaligus (multi-tenant), dilengkapi antarmuka pengguna yang dirancang khusus (bukan template webmail generik), serta modul kalender, tugas, dan aturan otomatisasi.</w:t>
      </w:r>
    </w:p>
    <w:p>
      <w:pPr>
        <w:pStyle w:val="Heading2"/>
        <w:spacing w:after="120" w:before="240"/>
      </w:pPr>
      <w:r>
        <w:t xml:space="preserve">1.3 Definisi &amp; Istilah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3A8A" w:val="clear"/>
            <w:vAlign w:val="center"/>
          </w:tcPr>
          <w:p>
            <w:r>
              <w:rPr>
                <w:b/>
                <w:bCs/>
                <w:color w:val="FFFFFF"/>
                <w:sz w:val="18"/>
                <w:szCs w:val="18"/>
              </w:rPr>
              <w:t xml:space="preserve">Istilah</w:t>
            </w:r>
          </w:p>
        </w:tc>
        <w:tc>
          <w:tcPr>
            <w:tcW w:type="dxa" w:w="6750"/>
            <w:shd w:fill="1E3A8A" w:val="clear"/>
            <w:vAlign w:val="center"/>
          </w:tcPr>
          <w:p>
            <w:r>
              <w:rPr>
                <w:b/>
                <w:bCs/>
                <w:color w:val="FFFFFF"/>
                <w:sz w:val="18"/>
                <w:szCs w:val="18"/>
              </w:rPr>
              <w:t xml:space="preserve">Definisi</w:t>
            </w:r>
          </w:p>
        </w:tc>
      </w:tr>
      <w:tr>
        <w:tc>
          <w:tcPr>
            <w:tcW w:type="dxa" w:w="2600"/>
            <w:vAlign w:val="center"/>
          </w:tcPr>
          <w:p>
            <w:r>
              <w:rPr>
                <w:b w:val="false"/>
                <w:bCs w:val="false"/>
                <w:color w:val="111827"/>
                <w:sz w:val="18"/>
                <w:szCs w:val="18"/>
              </w:rPr>
              <w:t xml:space="preserve">Tenant</w:t>
            </w:r>
          </w:p>
        </w:tc>
        <w:tc>
          <w:tcPr>
            <w:tcW w:type="dxa" w:w="6750"/>
            <w:vAlign w:val="center"/>
          </w:tcPr>
          <w:p>
            <w:r>
              <w:rPr>
                <w:b w:val="false"/>
                <w:bCs w:val="false"/>
                <w:color w:val="111827"/>
                <w:sz w:val="18"/>
                <w:szCs w:val="18"/>
              </w:rPr>
              <w:t xml:space="preserve">Entitas pelanggan/organisasi independen yang menggunakan platform dengan data terisolasi</w:t>
            </w:r>
          </w:p>
        </w:tc>
      </w:tr>
      <w:tr>
        <w:tc>
          <w:tcPr>
            <w:tcW w:type="dxa" w:w="2600"/>
            <w:vAlign w:val="center"/>
          </w:tcPr>
          <w:p>
            <w:r>
              <w:rPr>
                <w:b w:val="false"/>
                <w:bCs w:val="false"/>
                <w:color w:val="111827"/>
                <w:sz w:val="18"/>
                <w:szCs w:val="18"/>
              </w:rPr>
              <w:t xml:space="preserve">Domain</w:t>
            </w:r>
          </w:p>
        </w:tc>
        <w:tc>
          <w:tcPr>
            <w:tcW w:type="dxa" w:w="6750"/>
            <w:vAlign w:val="center"/>
          </w:tcPr>
          <w:p>
            <w:r>
              <w:rPr>
                <w:b w:val="false"/>
                <w:bCs w:val="false"/>
                <w:color w:val="111827"/>
                <w:sz w:val="18"/>
                <w:szCs w:val="18"/>
              </w:rPr>
              <w:t xml:space="preserve">Nama domain milik tenant yang digunakan untuk alamat email (contoh: nama@domain.com)</w:t>
            </w:r>
          </w:p>
        </w:tc>
      </w:tr>
      <w:tr>
        <w:tc>
          <w:tcPr>
            <w:tcW w:type="dxa" w:w="2600"/>
            <w:vAlign w:val="center"/>
          </w:tcPr>
          <w:p>
            <w:r>
              <w:rPr>
                <w:b w:val="false"/>
                <w:bCs w:val="false"/>
                <w:color w:val="111827"/>
                <w:sz w:val="18"/>
                <w:szCs w:val="18"/>
              </w:rPr>
              <w:t xml:space="preserve">Mailbox</w:t>
            </w:r>
          </w:p>
        </w:tc>
        <w:tc>
          <w:tcPr>
            <w:tcW w:type="dxa" w:w="6750"/>
            <w:vAlign w:val="center"/>
          </w:tcPr>
          <w:p>
            <w:r>
              <w:rPr>
                <w:b w:val="false"/>
                <w:bCs w:val="false"/>
                <w:color w:val="111827"/>
                <w:sz w:val="18"/>
                <w:szCs w:val="18"/>
              </w:rPr>
              <w:t xml:space="preserve">Kotak surat milik satu pengguna dalam suatu domain</w:t>
            </w:r>
          </w:p>
        </w:tc>
      </w:tr>
      <w:tr>
        <w:tc>
          <w:tcPr>
            <w:tcW w:type="dxa" w:w="2600"/>
            <w:vAlign w:val="center"/>
          </w:tcPr>
          <w:p>
            <w:r>
              <w:rPr>
                <w:b w:val="false"/>
                <w:bCs w:val="false"/>
                <w:color w:val="111827"/>
                <w:sz w:val="18"/>
                <w:szCs w:val="18"/>
              </w:rPr>
              <w:t xml:space="preserve">MTA</w:t>
            </w:r>
          </w:p>
        </w:tc>
        <w:tc>
          <w:tcPr>
            <w:tcW w:type="dxa" w:w="6750"/>
            <w:vAlign w:val="center"/>
          </w:tcPr>
          <w:p>
            <w:r>
              <w:rPr>
                <w:b w:val="false"/>
                <w:bCs w:val="false"/>
                <w:color w:val="111827"/>
                <w:sz w:val="18"/>
                <w:szCs w:val="18"/>
              </w:rPr>
              <w:t xml:space="preserve">Mail Transfer Agent — perangkat lunak pengirim/penerus email (mis. Postfix)</w:t>
            </w:r>
          </w:p>
        </w:tc>
      </w:tr>
      <w:tr>
        <w:tc>
          <w:tcPr>
            <w:tcW w:type="dxa" w:w="2600"/>
            <w:vAlign w:val="center"/>
          </w:tcPr>
          <w:p>
            <w:r>
              <w:rPr>
                <w:b w:val="false"/>
                <w:bCs w:val="false"/>
                <w:color w:val="111827"/>
                <w:sz w:val="18"/>
                <w:szCs w:val="18"/>
              </w:rPr>
              <w:t xml:space="preserve">MDA/IMAP Server</w:t>
            </w:r>
          </w:p>
        </w:tc>
        <w:tc>
          <w:tcPr>
            <w:tcW w:type="dxa" w:w="6750"/>
            <w:vAlign w:val="center"/>
          </w:tcPr>
          <w:p>
            <w:r>
              <w:rPr>
                <w:b w:val="false"/>
                <w:bCs w:val="false"/>
                <w:color w:val="111827"/>
                <w:sz w:val="18"/>
                <w:szCs w:val="18"/>
              </w:rPr>
              <w:t xml:space="preserve">Perangkat lunak penyimpan &amp; penyaji email ke klien (mis. Dovecot)</w:t>
            </w:r>
          </w:p>
        </w:tc>
      </w:tr>
      <w:tr>
        <w:tc>
          <w:tcPr>
            <w:tcW w:type="dxa" w:w="2600"/>
            <w:vAlign w:val="center"/>
          </w:tcPr>
          <w:p>
            <w:r>
              <w:rPr>
                <w:b w:val="false"/>
                <w:bCs w:val="false"/>
                <w:color w:val="111827"/>
                <w:sz w:val="18"/>
                <w:szCs w:val="18"/>
              </w:rPr>
              <w:t xml:space="preserve">SPF/DKIM/DMARC</w:t>
            </w:r>
          </w:p>
        </w:tc>
        <w:tc>
          <w:tcPr>
            <w:tcW w:type="dxa" w:w="6750"/>
            <w:vAlign w:val="center"/>
          </w:tcPr>
          <w:p>
            <w:r>
              <w:rPr>
                <w:b w:val="false"/>
                <w:bCs w:val="false"/>
                <w:color w:val="111827"/>
                <w:sz w:val="18"/>
                <w:szCs w:val="18"/>
              </w:rPr>
              <w:t xml:space="preserve">Protokol autentikasi email untuk mencegah spoofing &amp; meningkatkan deliverability</w:t>
            </w:r>
          </w:p>
        </w:tc>
      </w:tr>
      <w:tr>
        <w:tc>
          <w:tcPr>
            <w:tcW w:type="dxa" w:w="2600"/>
            <w:vAlign w:val="center"/>
          </w:tcPr>
          <w:p>
            <w:r>
              <w:rPr>
                <w:b w:val="false"/>
                <w:bCs w:val="false"/>
                <w:color w:val="111827"/>
                <w:sz w:val="18"/>
                <w:szCs w:val="18"/>
              </w:rPr>
              <w:t xml:space="preserve">Automation Rule</w:t>
            </w:r>
          </w:p>
        </w:tc>
        <w:tc>
          <w:tcPr>
            <w:tcW w:type="dxa" w:w="6750"/>
            <w:vAlign w:val="center"/>
          </w:tcPr>
          <w:p>
            <w:r>
              <w:rPr>
                <w:b w:val="false"/>
                <w:bCs w:val="false"/>
                <w:color w:val="111827"/>
                <w:sz w:val="18"/>
                <w:szCs w:val="18"/>
              </w:rPr>
              <w:t xml:space="preserve">Aturan otomatis yang dijalankan sistem terhadap email masuk (filter, forward, auto-reply)</w:t>
            </w:r>
          </w:p>
        </w:tc>
      </w:tr>
    </w:tbl>
    <w:p>
      <w:pPr>
        <w:pStyle w:val="Heading2"/>
        <w:spacing w:after="120" w:before="240"/>
      </w:pPr>
      <w:r>
        <w:t xml:space="preserve">1.4 Referensi</w:t>
      </w:r>
    </w:p>
    <w:p>
      <w:pPr>
        <w:pStyle w:val="ListParagraph"/>
        <w:numPr>
          <w:ilvl w:val="0"/>
          <w:numId w:val="1"/>
        </w:numPr>
        <w:spacing w:after="80"/>
      </w:pPr>
      <w:r>
        <w:t xml:space="preserve">Business Requirements Document (BRD) NusaMail v1.0</w:t>
      </w:r>
    </w:p>
    <w:p>
      <w:pPr>
        <w:pStyle w:val="ListParagraph"/>
        <w:numPr>
          <w:ilvl w:val="0"/>
          <w:numId w:val="1"/>
        </w:numPr>
        <w:spacing w:after="80"/>
      </w:pPr>
      <w:r>
        <w:t xml:space="preserve">RFC 5321 — Simple Mail Transfer Protocol</w:t>
      </w:r>
    </w:p>
    <w:p>
      <w:pPr>
        <w:pStyle w:val="ListParagraph"/>
        <w:numPr>
          <w:ilvl w:val="0"/>
          <w:numId w:val="1"/>
        </w:numPr>
        <w:spacing w:after="80"/>
      </w:pPr>
      <w:r>
        <w:t xml:space="preserve">RFC 7208 — Sender Policy Framework (SPF)</w:t>
      </w:r>
    </w:p>
    <w:p>
      <w:pPr>
        <w:pStyle w:val="ListParagraph"/>
        <w:numPr>
          <w:ilvl w:val="0"/>
          <w:numId w:val="1"/>
        </w:numPr>
        <w:spacing w:after="80"/>
      </w:pPr>
      <w:r>
        <w:t xml:space="preserve">RFC 6376 — DomainKeys Identified Mail (DKIM)</w:t>
      </w:r>
    </w:p>
    <w:p>
      <w:pPr>
        <w:pStyle w:val="ListParagraph"/>
        <w:numPr>
          <w:ilvl w:val="0"/>
          <w:numId w:val="1"/>
        </w:numPr>
        <w:spacing w:after="80"/>
      </w:pPr>
      <w:r>
        <w:t xml:space="preserve">RFC 7489 — Domain-based Message Authentication (DMARC)</w:t>
      </w:r>
    </w:p>
    <w:p>
      <w:pPr>
        <w:pStyle w:val="Heading1"/>
        <w:spacing w:after="150" w:before="300"/>
      </w:pPr>
      <w:r>
        <w:t xml:space="preserve">2. Deskripsi Umum Sistem</w:t>
      </w:r>
    </w:p>
    <w:p>
      <w:pPr>
        <w:pStyle w:val="Heading2"/>
        <w:spacing w:after="120" w:before="240"/>
      </w:pPr>
      <w:r>
        <w:t xml:space="preserve">2.1 Perspektif Produk</w:t>
      </w:r>
    </w:p>
    <w:p>
      <w:pPr>
        <w:spacing w:after="160"/>
      </w:pPr>
      <w:r>
        <w:t xml:space="preserve">NusaMail merupakan sistem baru yang berdiri sendiri (standalone), dibangun di atas kombinasi mail engine open-source (Postfix, Dovecot, Rspamd) sebagai backend pengiriman/penerimaan email, dengan lapisan aplikasi (application layer) kustom sebagai jembatan antara mail engine dan antarmuka pengguna yang dirancang secara internal.</w:t>
      </w:r>
    </w:p>
    <w:p>
      <w:pPr>
        <w:pStyle w:val="Heading2"/>
        <w:spacing w:after="120" w:before="240"/>
      </w:pPr>
      <w:r>
        <w:t xml:space="preserve">2.2 Kelas &amp; Karakteristik Pengguna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1E3A8A" w:val="clear"/>
            <w:vAlign w:val="center"/>
          </w:tcPr>
          <w:p>
            <w:r>
              <w:rPr>
                <w:b/>
                <w:bCs/>
                <w:color w:val="FFFFFF"/>
                <w:sz w:val="18"/>
                <w:szCs w:val="18"/>
              </w:rPr>
              <w:t xml:space="preserve">Kelas Pengguna</w:t>
            </w:r>
          </w:p>
        </w:tc>
        <w:tc>
          <w:tcPr>
            <w:tcW w:type="dxa" w:w="6850"/>
            <w:shd w:fill="1E3A8A" w:val="clear"/>
            <w:vAlign w:val="center"/>
          </w:tcPr>
          <w:p>
            <w:r>
              <w:rPr>
                <w:b/>
                <w:bCs/>
                <w:color w:val="FFFFFF"/>
                <w:sz w:val="18"/>
                <w:szCs w:val="18"/>
              </w:rPr>
              <w:t xml:space="preserve">Karakteristik</w:t>
            </w:r>
          </w:p>
        </w:tc>
      </w:tr>
      <w:tr>
        <w:tc>
          <w:tcPr>
            <w:tcW w:type="dxa" w:w="2500"/>
            <w:vAlign w:val="center"/>
          </w:tcPr>
          <w:p>
            <w:r>
              <w:rPr>
                <w:b w:val="false"/>
                <w:bCs w:val="false"/>
                <w:color w:val="111827"/>
                <w:sz w:val="18"/>
                <w:szCs w:val="18"/>
              </w:rPr>
              <w:t xml:space="preserve">Super Admin</w:t>
            </w:r>
          </w:p>
        </w:tc>
        <w:tc>
          <w:tcPr>
            <w:tcW w:type="dxa" w:w="6850"/>
            <w:vAlign w:val="center"/>
          </w:tcPr>
          <w:p>
            <w:r>
              <w:rPr>
                <w:b w:val="false"/>
                <w:bCs w:val="false"/>
                <w:color w:val="111827"/>
                <w:sz w:val="18"/>
                <w:szCs w:val="18"/>
              </w:rPr>
              <w:t xml:space="preserve">Mengelola seluruh tenant, monitoring sistem, billing, dan konfigurasi platform</w:t>
            </w:r>
          </w:p>
        </w:tc>
      </w:tr>
      <w:tr>
        <w:tc>
          <w:tcPr>
            <w:tcW w:type="dxa" w:w="2500"/>
            <w:vAlign w:val="center"/>
          </w:tcPr>
          <w:p>
            <w:r>
              <w:rPr>
                <w:b w:val="false"/>
                <w:bCs w:val="false"/>
                <w:color w:val="111827"/>
                <w:sz w:val="18"/>
                <w:szCs w:val="18"/>
              </w:rPr>
              <w:t xml:space="preserve">Tenant Admin</w:t>
            </w:r>
          </w:p>
        </w:tc>
        <w:tc>
          <w:tcPr>
            <w:tcW w:type="dxa" w:w="6850"/>
            <w:vAlign w:val="center"/>
          </w:tcPr>
          <w:p>
            <w:r>
              <w:rPr>
                <w:b w:val="false"/>
                <w:bCs w:val="false"/>
                <w:color w:val="111827"/>
                <w:sz w:val="18"/>
                <w:szCs w:val="18"/>
              </w:rPr>
              <w:t xml:space="preserve">Mengelola domain, pengguna, dan pengaturan dalam satu tenant</w:t>
            </w:r>
          </w:p>
        </w:tc>
      </w:tr>
      <w:tr>
        <w:tc>
          <w:tcPr>
            <w:tcW w:type="dxa" w:w="2500"/>
            <w:vAlign w:val="center"/>
          </w:tcPr>
          <w:p>
            <w:r>
              <w:rPr>
                <w:b w:val="false"/>
                <w:bCs w:val="false"/>
                <w:color w:val="111827"/>
                <w:sz w:val="18"/>
                <w:szCs w:val="18"/>
              </w:rPr>
              <w:t xml:space="preserve">End User</w:t>
            </w:r>
          </w:p>
        </w:tc>
        <w:tc>
          <w:tcPr>
            <w:tcW w:type="dxa" w:w="6850"/>
            <w:vAlign w:val="center"/>
          </w:tcPr>
          <w:p>
            <w:r>
              <w:rPr>
                <w:b w:val="false"/>
                <w:bCs w:val="false"/>
                <w:color w:val="111827"/>
                <w:sz w:val="18"/>
                <w:szCs w:val="18"/>
              </w:rPr>
              <w:t xml:space="preserve">Pengguna akhir yang menggunakan mailbox, kalender, tugas, dan fitur produktivitas</w:t>
            </w:r>
          </w:p>
        </w:tc>
      </w:tr>
    </w:tbl>
    <w:p>
      <w:pPr>
        <w:pStyle w:val="Heading2"/>
        <w:spacing w:after="120" w:before="240"/>
      </w:pPr>
      <w:r>
        <w:t xml:space="preserve">2.3 Lingkungan Operasi</w:t>
      </w:r>
    </w:p>
    <w:p>
      <w:pPr>
        <w:pStyle w:val="ListParagraph"/>
        <w:numPr>
          <w:ilvl w:val="0"/>
          <w:numId w:val="1"/>
        </w:numPr>
        <w:spacing w:after="80"/>
      </w:pPr>
      <w:r>
        <w:t xml:space="preserve">Server backend: Linux (Ubuntu/Debian) di atas VPS yang mendukung port 25 SMTP outbound</w:t>
      </w:r>
    </w:p>
    <w:p>
      <w:pPr>
        <w:pStyle w:val="ListParagraph"/>
        <w:numPr>
          <w:ilvl w:val="0"/>
          <w:numId w:val="1"/>
        </w:numPr>
        <w:spacing w:after="80"/>
      </w:pPr>
      <w:r>
        <w:t xml:space="preserve">Aplikasi web: dapat diakses melalui browser modern (Chrome, Firefox, Safari, Edge)</w:t>
      </w:r>
    </w:p>
    <w:p>
      <w:pPr>
        <w:pStyle w:val="ListParagraph"/>
        <w:numPr>
          <w:ilvl w:val="0"/>
          <w:numId w:val="1"/>
        </w:numPr>
        <w:spacing w:after="80"/>
      </w:pPr>
      <w:r>
        <w:t xml:space="preserve">Database: PostgreSQL</w:t>
      </w:r>
    </w:p>
    <w:p>
      <w:pPr>
        <w:pStyle w:val="ListParagraph"/>
        <w:numPr>
          <w:ilvl w:val="0"/>
          <w:numId w:val="1"/>
        </w:numPr>
        <w:spacing w:after="80"/>
      </w:pPr>
      <w:r>
        <w:t xml:space="preserve">Object storage: S3-compatible (MinIO/AWS S3) untuk lampiran email</w:t>
      </w:r>
    </w:p>
    <w:p>
      <w:pPr>
        <w:pStyle w:val="Heading2"/>
        <w:spacing w:after="120" w:before="240"/>
      </w:pPr>
      <w:r>
        <w:t xml:space="preserve">2.4 Batasan Desain &amp; Implementasi</w:t>
      </w:r>
    </w:p>
    <w:p>
      <w:pPr>
        <w:pStyle w:val="ListParagraph"/>
        <w:numPr>
          <w:ilvl w:val="0"/>
          <w:numId w:val="1"/>
        </w:numPr>
        <w:spacing w:after="80"/>
      </w:pPr>
      <w:r>
        <w:t xml:space="preserve">UI harus dirancang sepenuhnya kustom — tidak menggunakan tampilan bawaan Roundcube/SOGo/webmail generik lainnya</w:t>
      </w:r>
    </w:p>
    <w:p>
      <w:pPr>
        <w:pStyle w:val="ListParagraph"/>
        <w:numPr>
          <w:ilvl w:val="0"/>
          <w:numId w:val="1"/>
        </w:numPr>
        <w:spacing w:after="80"/>
      </w:pPr>
      <w:r>
        <w:t xml:space="preserve">Arsitektur harus mendukung isolasi data antar tenant secara ketat</w:t>
      </w:r>
    </w:p>
    <w:p>
      <w:pPr>
        <w:pStyle w:val="ListParagraph"/>
        <w:numPr>
          <w:ilvl w:val="0"/>
          <w:numId w:val="1"/>
        </w:numPr>
        <w:spacing w:after="80"/>
      </w:pPr>
      <w:r>
        <w:t xml:space="preserve">Sistem harus dapat berjalan dengan mail engine open-source yang sudah teruji (Postfix/Dovecot)</w:t>
      </w:r>
    </w:p>
    <w:p>
      <w:pPr>
        <w:pStyle w:val="Heading2"/>
        <w:spacing w:after="120" w:before="240"/>
      </w:pPr>
      <w:r>
        <w:t xml:space="preserve">2.5 Asumsi &amp; Ketergantungan</w:t>
      </w:r>
    </w:p>
    <w:p>
      <w:pPr>
        <w:pStyle w:val="ListParagraph"/>
        <w:numPr>
          <w:ilvl w:val="0"/>
          <w:numId w:val="1"/>
        </w:numPr>
        <w:spacing w:after="80"/>
      </w:pPr>
      <w:r>
        <w:t xml:space="preserve">Tenant sudah memiliki domain terdaftar dan memiliki akses untuk mengubah DNS record</w:t>
      </w:r>
    </w:p>
    <w:p>
      <w:pPr>
        <w:pStyle w:val="ListParagraph"/>
        <w:numPr>
          <w:ilvl w:val="0"/>
          <w:numId w:val="1"/>
        </w:numPr>
        <w:spacing w:after="80"/>
      </w:pPr>
      <w:r>
        <w:t xml:space="preserve">Ketersediaan SMTP relay pihak ketiga sebagai fallback jika port 25 diblokir</w:t>
      </w:r>
    </w:p>
    <w:p>
      <w:pPr>
        <w:pStyle w:val="Heading1"/>
        <w:spacing w:after="150" w:before="300"/>
      </w:pPr>
      <w:r>
        <w:t xml:space="preserve">3. Fitur Sistem &amp; Kebutuhan Fungsional</w:t>
      </w:r>
    </w:p>
    <w:p>
      <w:pPr>
        <w:pStyle w:val="Heading2"/>
        <w:spacing w:after="120" w:before="240"/>
      </w:pPr>
      <w:r>
        <w:t xml:space="preserve">3.1 Modul Manajemen Tenant &amp; Domain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FR-01</w:t>
            </w:r>
          </w:p>
        </w:tc>
        <w:tc>
          <w:tcPr>
            <w:tcW w:type="dxa" w:w="6900"/>
            <w:vAlign w:val="center"/>
          </w:tcPr>
          <w:p>
            <w:r>
              <w:rPr>
                <w:b w:val="false"/>
                <w:bCs w:val="false"/>
                <w:color w:val="111827"/>
                <w:sz w:val="18"/>
                <w:szCs w:val="18"/>
              </w:rPr>
              <w:t xml:space="preserve">Sistem harus memungkinkan Super Admin membuat, menonaktifkan, dan menghapus tenant</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FR-02</w:t>
            </w:r>
          </w:p>
        </w:tc>
        <w:tc>
          <w:tcPr>
            <w:tcW w:type="dxa" w:w="6900"/>
            <w:vAlign w:val="center"/>
          </w:tcPr>
          <w:p>
            <w:r>
              <w:rPr>
                <w:b w:val="false"/>
                <w:bCs w:val="false"/>
                <w:color w:val="111827"/>
                <w:sz w:val="18"/>
                <w:szCs w:val="18"/>
              </w:rPr>
              <w:t xml:space="preserve">Sistem harus memungkinkan Tenant Admin menambahkan domain baru dan melakukan verifikasi kepemilikan domain (via TXT record)</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FR-03</w:t>
            </w:r>
          </w:p>
        </w:tc>
        <w:tc>
          <w:tcPr>
            <w:tcW w:type="dxa" w:w="6900"/>
            <w:vAlign w:val="center"/>
          </w:tcPr>
          <w:p>
            <w:r>
              <w:rPr>
                <w:b w:val="false"/>
                <w:bCs w:val="false"/>
                <w:color w:val="111827"/>
                <w:sz w:val="18"/>
                <w:szCs w:val="18"/>
              </w:rPr>
              <w:t xml:space="preserve">Sistem harus secara otomatis men-generate rekomendasi DNS record (MX, SPF, DKIM, DMARC) untuk setiap domain baru</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FR-04</w:t>
            </w:r>
          </w:p>
        </w:tc>
        <w:tc>
          <w:tcPr>
            <w:tcW w:type="dxa" w:w="6900"/>
            <w:vAlign w:val="center"/>
          </w:tcPr>
          <w:p>
            <w:r>
              <w:rPr>
                <w:b w:val="false"/>
                <w:bCs w:val="false"/>
                <w:color w:val="111827"/>
                <w:sz w:val="18"/>
                <w:szCs w:val="18"/>
              </w:rPr>
              <w:t xml:space="preserve">Sistem harus menampilkan status verifikasi domain (pending/verified/failed) secara real-time</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FR-05</w:t>
            </w:r>
          </w:p>
        </w:tc>
        <w:tc>
          <w:tcPr>
            <w:tcW w:type="dxa" w:w="6900"/>
            <w:vAlign w:val="center"/>
          </w:tcPr>
          <w:p>
            <w:r>
              <w:rPr>
                <w:b w:val="false"/>
                <w:bCs w:val="false"/>
                <w:color w:val="111827"/>
                <w:sz w:val="18"/>
                <w:szCs w:val="18"/>
              </w:rPr>
              <w:t xml:space="preserve">Sistem harus mendukung minimal 1 dan maksimal N domain per tenant (skalabel)</w:t>
            </w:r>
          </w:p>
        </w:tc>
        <w:tc>
          <w:tcPr>
            <w:tcW w:type="dxa" w:w="1450"/>
            <w:vAlign w:val="center"/>
          </w:tcPr>
          <w:p>
            <w:r>
              <w:rPr>
                <w:b w:val="false"/>
                <w:bCs w:val="false"/>
                <w:color w:val="111827"/>
                <w:sz w:val="18"/>
                <w:szCs w:val="18"/>
              </w:rPr>
              <w:t xml:space="preserve">Wajib</w:t>
            </w:r>
          </w:p>
        </w:tc>
      </w:tr>
    </w:tbl>
    <w:p>
      <w:pPr>
        <w:pStyle w:val="Heading2"/>
        <w:spacing w:after="120" w:before="240"/>
      </w:pPr>
      <w:r>
        <w:t xml:space="preserve">3.2 Modul Mailbox &amp; Messaging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FR-06</w:t>
            </w:r>
          </w:p>
        </w:tc>
        <w:tc>
          <w:tcPr>
            <w:tcW w:type="dxa" w:w="6900"/>
            <w:vAlign w:val="center"/>
          </w:tcPr>
          <w:p>
            <w:r>
              <w:rPr>
                <w:b w:val="false"/>
                <w:bCs w:val="false"/>
                <w:color w:val="111827"/>
                <w:sz w:val="18"/>
                <w:szCs w:val="18"/>
              </w:rPr>
              <w:t xml:space="preserve">Pengguna harus dapat membuat, membalas, meneruskan, dan menghapus email</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FR-07</w:t>
            </w:r>
          </w:p>
        </w:tc>
        <w:tc>
          <w:tcPr>
            <w:tcW w:type="dxa" w:w="6900"/>
            <w:vAlign w:val="center"/>
          </w:tcPr>
          <w:p>
            <w:r>
              <w:rPr>
                <w:b w:val="false"/>
                <w:bCs w:val="false"/>
                <w:color w:val="111827"/>
                <w:sz w:val="18"/>
                <w:szCs w:val="18"/>
              </w:rPr>
              <w:t xml:space="preserve">Pengguna harus dapat mengorganisir email ke dalam folder (Inbox, Sent, Draft, Trash, Custom Folder)</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FR-08</w:t>
            </w:r>
          </w:p>
        </w:tc>
        <w:tc>
          <w:tcPr>
            <w:tcW w:type="dxa" w:w="6900"/>
            <w:vAlign w:val="center"/>
          </w:tcPr>
          <w:p>
            <w:r>
              <w:rPr>
                <w:b w:val="false"/>
                <w:bCs w:val="false"/>
                <w:color w:val="111827"/>
                <w:sz w:val="18"/>
                <w:szCs w:val="18"/>
              </w:rPr>
              <w:t xml:space="preserve">Pengguna harus dapat mencari email berdasarkan pengirim, subjek, isi, dan tanggal</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FR-09</w:t>
            </w:r>
          </w:p>
        </w:tc>
        <w:tc>
          <w:tcPr>
            <w:tcW w:type="dxa" w:w="6900"/>
            <w:vAlign w:val="center"/>
          </w:tcPr>
          <w:p>
            <w:r>
              <w:rPr>
                <w:b w:val="false"/>
                <w:bCs w:val="false"/>
                <w:color w:val="111827"/>
                <w:sz w:val="18"/>
                <w:szCs w:val="18"/>
              </w:rPr>
              <w:t xml:space="preserve">Pengguna harus dapat mengunggah dan mengunduh lampiran (attachment) hingga batas ukuran tertentu (dikonfigurasi admin)</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FR-10</w:t>
            </w:r>
          </w:p>
        </w:tc>
        <w:tc>
          <w:tcPr>
            <w:tcW w:type="dxa" w:w="6900"/>
            <w:vAlign w:val="center"/>
          </w:tcPr>
          <w:p>
            <w:r>
              <w:rPr>
                <w:b w:val="false"/>
                <w:bCs w:val="false"/>
                <w:color w:val="111827"/>
                <w:sz w:val="18"/>
                <w:szCs w:val="18"/>
              </w:rPr>
              <w:t xml:space="preserve">Pengguna harus dapat menandai email sebagai dibaca/belum dibaca, penting, atau spam</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FR-11</w:t>
            </w:r>
          </w:p>
        </w:tc>
        <w:tc>
          <w:tcPr>
            <w:tcW w:type="dxa" w:w="6900"/>
            <w:vAlign w:val="center"/>
          </w:tcPr>
          <w:p>
            <w:r>
              <w:rPr>
                <w:b w:val="false"/>
                <w:bCs w:val="false"/>
                <w:color w:val="111827"/>
                <w:sz w:val="18"/>
                <w:szCs w:val="18"/>
              </w:rPr>
              <w:t xml:space="preserve">Sistem harus mendukung thread/percakapan email (conversation view)</w:t>
            </w:r>
          </w:p>
        </w:tc>
        <w:tc>
          <w:tcPr>
            <w:tcW w:type="dxa" w:w="1450"/>
            <w:vAlign w:val="center"/>
          </w:tcPr>
          <w:p>
            <w:r>
              <w:rPr>
                <w:b w:val="false"/>
                <w:bCs w:val="false"/>
                <w:color w:val="111827"/>
                <w:sz w:val="18"/>
                <w:szCs w:val="18"/>
              </w:rPr>
              <w:t xml:space="preserve">Diinginkan</w:t>
            </w:r>
          </w:p>
        </w:tc>
      </w:tr>
      <w:tr>
        <w:tc>
          <w:tcPr>
            <w:tcW w:type="dxa" w:w="1000"/>
            <w:vAlign w:val="center"/>
          </w:tcPr>
          <w:p>
            <w:r>
              <w:rPr>
                <w:b w:val="false"/>
                <w:bCs w:val="false"/>
                <w:color w:val="111827"/>
                <w:sz w:val="18"/>
                <w:szCs w:val="18"/>
              </w:rPr>
              <w:t xml:space="preserve">FR-11a</w:t>
            </w:r>
          </w:p>
        </w:tc>
        <w:tc>
          <w:tcPr>
            <w:tcW w:type="dxa" w:w="6900"/>
            <w:vAlign w:val="center"/>
          </w:tcPr>
          <w:p>
            <w:r>
              <w:rPr>
                <w:b w:val="false"/>
                <w:bCs w:val="false"/>
                <w:color w:val="111827"/>
                <w:sz w:val="18"/>
                <w:szCs w:val="18"/>
              </w:rPr>
              <w:t xml:space="preserve">Sistem harus menyediakan fitur 'Tarik Kembali Email' (Recall/Unsend) sesuai batasan pada bagian 3.2.1</w:t>
            </w:r>
          </w:p>
        </w:tc>
        <w:tc>
          <w:tcPr>
            <w:tcW w:type="dxa" w:w="1450"/>
            <w:vAlign w:val="center"/>
          </w:tcPr>
          <w:p>
            <w:r>
              <w:rPr>
                <w:b w:val="false"/>
                <w:bCs w:val="false"/>
                <w:color w:val="111827"/>
                <w:sz w:val="18"/>
                <w:szCs w:val="18"/>
              </w:rPr>
              <w:t xml:space="preserve">Wajib</w:t>
            </w:r>
          </w:p>
        </w:tc>
      </w:tr>
    </w:tbl>
    <w:p>
      <w:pPr>
        <w:pStyle w:val="Heading3"/>
        <w:spacing w:after="90" w:before="180"/>
      </w:pPr>
      <w:r>
        <w:t xml:space="preserve">3.2.1 Detail Fitur: Tarik Kembali Email (Recall/Unsend)</w:t>
      </w:r>
    </w:p>
    <w:p>
      <w:pPr>
        <w:spacing w:after="160"/>
      </w:pPr>
      <w:r>
        <w:t xml:space="preserve">Fitur ini memungkinkan pengguna membatalkan pengiriman email yang baru saja dikirim. Karena protokol SMTP bersifat store-and-forward dan tidak mendukung penarikan pesan secara native setelah diterima server tujuan, fitur ini diimplementasikan dalam dua mekanisme berbeda sesuai tujuan penerima: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2900"/>
        <w:gridCol w:w="2550"/>
      </w:tblGrid>
      <w:tr>
        <w:tc>
          <w:tcPr>
            <w:tcW w:type="dxa" w:w="1300"/>
            <w:shd w:fill="1E3A8A" w:val="clear"/>
            <w:vAlign w:val="center"/>
          </w:tcPr>
          <w:p>
            <w:r>
              <w:rPr>
                <w:b/>
                <w:bCs/>
                <w:color w:val="FFFFFF"/>
                <w:sz w:val="18"/>
                <w:szCs w:val="18"/>
              </w:rPr>
              <w:t xml:space="preserve">ID</w:t>
            </w:r>
          </w:p>
        </w:tc>
        <w:tc>
          <w:tcPr>
            <w:tcW w:type="dxa" w:w="2600"/>
            <w:shd w:fill="1E3A8A" w:val="clear"/>
            <w:vAlign w:val="center"/>
          </w:tcPr>
          <w:p>
            <w:r>
              <w:rPr>
                <w:b/>
                <w:bCs/>
                <w:color w:val="FFFFFF"/>
                <w:sz w:val="18"/>
                <w:szCs w:val="18"/>
              </w:rPr>
              <w:t xml:space="preserve">Skenario</w:t>
            </w:r>
          </w:p>
        </w:tc>
        <w:tc>
          <w:tcPr>
            <w:tcW w:type="dxa" w:w="2900"/>
            <w:shd w:fill="1E3A8A" w:val="clear"/>
            <w:vAlign w:val="center"/>
          </w:tcPr>
          <w:p>
            <w:r>
              <w:rPr>
                <w:b/>
                <w:bCs/>
                <w:color w:val="FFFFFF"/>
                <w:sz w:val="18"/>
                <w:szCs w:val="18"/>
              </w:rPr>
              <w:t xml:space="preserve">Mekanisme</w:t>
            </w:r>
          </w:p>
        </w:tc>
        <w:tc>
          <w:tcPr>
            <w:tcW w:type="dxa" w:w="2550"/>
            <w:shd w:fill="1E3A8A" w:val="clear"/>
            <w:vAlign w:val="center"/>
          </w:tcPr>
          <w:p>
            <w:r>
              <w:rPr>
                <w:b/>
                <w:bCs/>
                <w:color w:val="FFFFFF"/>
                <w:sz w:val="18"/>
                <w:szCs w:val="18"/>
              </w:rPr>
              <w:t xml:space="preserve">Batasan</w:t>
            </w:r>
          </w:p>
        </w:tc>
      </w:tr>
      <w:tr>
        <w:tc>
          <w:tcPr>
            <w:tcW w:type="dxa" w:w="1300"/>
            <w:vAlign w:val="center"/>
          </w:tcPr>
          <w:p>
            <w:r>
              <w:rPr>
                <w:b w:val="false"/>
                <w:bCs w:val="false"/>
                <w:color w:val="111827"/>
                <w:sz w:val="18"/>
                <w:szCs w:val="18"/>
              </w:rPr>
              <w:t xml:space="preserve">FR-11a.1</w:t>
            </w:r>
          </w:p>
        </w:tc>
        <w:tc>
          <w:tcPr>
            <w:tcW w:type="dxa" w:w="2600"/>
            <w:vAlign w:val="center"/>
          </w:tcPr>
          <w:p>
            <w:r>
              <w:rPr>
                <w:b w:val="false"/>
                <w:bCs w:val="false"/>
                <w:color w:val="111827"/>
                <w:sz w:val="18"/>
                <w:szCs w:val="18"/>
              </w:rPr>
              <w:t xml:space="preserve">Penerima berada di tenant/server NusaMail yang sama (internal)</w:t>
            </w:r>
          </w:p>
        </w:tc>
        <w:tc>
          <w:tcPr>
            <w:tcW w:type="dxa" w:w="2900"/>
            <w:vAlign w:val="center"/>
          </w:tcPr>
          <w:p>
            <w:r>
              <w:rPr>
                <w:b w:val="false"/>
                <w:bCs w:val="false"/>
                <w:color w:val="111827"/>
                <w:sz w:val="18"/>
                <w:szCs w:val="18"/>
              </w:rPr>
              <w:t xml:space="preserve">Email dihapus langsung dari mailbox/antrian penerima di database sebelum dibuka</w:t>
            </w:r>
          </w:p>
        </w:tc>
        <w:tc>
          <w:tcPr>
            <w:tcW w:type="dxa" w:w="2550"/>
            <w:vAlign w:val="center"/>
          </w:tcPr>
          <w:p>
            <w:r>
              <w:rPr>
                <w:b w:val="false"/>
                <w:bCs w:val="false"/>
                <w:color w:val="111827"/>
                <w:sz w:val="18"/>
                <w:szCs w:val="18"/>
              </w:rPr>
              <w:t xml:space="preserve">Hanya berhasil jika email belum dibaca oleh penerima; setelah dibaca, penarikan tidak dijamin</w:t>
            </w:r>
          </w:p>
        </w:tc>
      </w:tr>
      <w:tr>
        <w:tc>
          <w:tcPr>
            <w:tcW w:type="dxa" w:w="1300"/>
            <w:vAlign w:val="center"/>
          </w:tcPr>
          <w:p>
            <w:r>
              <w:rPr>
                <w:b w:val="false"/>
                <w:bCs w:val="false"/>
                <w:color w:val="111827"/>
                <w:sz w:val="18"/>
                <w:szCs w:val="18"/>
              </w:rPr>
              <w:t xml:space="preserve">FR-11a.2</w:t>
            </w:r>
          </w:p>
        </w:tc>
        <w:tc>
          <w:tcPr>
            <w:tcW w:type="dxa" w:w="2600"/>
            <w:vAlign w:val="center"/>
          </w:tcPr>
          <w:p>
            <w:r>
              <w:rPr>
                <w:b w:val="false"/>
                <w:bCs w:val="false"/>
                <w:color w:val="111827"/>
                <w:sz w:val="18"/>
                <w:szCs w:val="18"/>
              </w:rPr>
              <w:t xml:space="preserve">Penerima berada di luar platform (mis. Gmail, Outlook)</w:t>
            </w:r>
          </w:p>
        </w:tc>
        <w:tc>
          <w:tcPr>
            <w:tcW w:type="dxa" w:w="2900"/>
            <w:vAlign w:val="center"/>
          </w:tcPr>
          <w:p>
            <w:r>
              <w:rPr>
                <w:b w:val="false"/>
                <w:bCs w:val="false"/>
                <w:color w:val="111827"/>
                <w:sz w:val="18"/>
                <w:szCs w:val="18"/>
              </w:rPr>
              <w:t xml:space="preserve">Delayed-send: email ditahan di antrian internal selama jendela waktu tertentu (dapat dikonfigurasi, default 10-30 detik) sebelum benar-benar dikirim via SMTP; tombol 'Batalkan Pengiriman' muncul selama jendela tersebut</w:t>
            </w:r>
          </w:p>
        </w:tc>
        <w:tc>
          <w:tcPr>
            <w:tcW w:type="dxa" w:w="2550"/>
            <w:vAlign w:val="center"/>
          </w:tcPr>
          <w:p>
            <w:r>
              <w:rPr>
                <w:b w:val="false"/>
                <w:bCs w:val="false"/>
                <w:color w:val="111827"/>
                <w:sz w:val="18"/>
                <w:szCs w:val="18"/>
              </w:rPr>
              <w:t xml:space="preserve">Setelah jendela waktu terlewati dan email sudah keluar dari server, penarikan tidak dapat dilakukan secara teknis — sistem hanya dapat menampilkan status 'sudah terkirim, tidak dapat ditarik'</w:t>
            </w:r>
          </w:p>
        </w:tc>
      </w:tr>
    </w:tbl>
    <w:p>
      <w:pPr>
        <w:spacing w:after="160"/>
      </w:pPr>
      <w:r>
        <w:rPr>
          <w:i/>
          <w:iCs/>
          <w:color w:val="6B7280"/>
          <w:sz w:val="19"/>
          <w:szCs w:val="19"/>
        </w:rPr>
        <w:t xml:space="preserve">Kebutuhan non-fungsional terkait: durasi jendela delayed-send harus dapat dikonfigurasi oleh Tenant Admin (rentang wajar 5-60 detik) agar tidak mengganggu pengalaman pengiriman email secara signifikan.</w:t>
      </w:r>
    </w:p>
    <w:p>
      <w:pPr>
        <w:pStyle w:val="Heading2"/>
        <w:spacing w:after="120" w:before="240"/>
      </w:pPr>
      <w:r>
        <w:t xml:space="preserve">3.3 Modul Kalender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FR-12</w:t>
            </w:r>
          </w:p>
        </w:tc>
        <w:tc>
          <w:tcPr>
            <w:tcW w:type="dxa" w:w="6900"/>
            <w:vAlign w:val="center"/>
          </w:tcPr>
          <w:p>
            <w:r>
              <w:rPr>
                <w:b w:val="false"/>
                <w:bCs w:val="false"/>
                <w:color w:val="111827"/>
                <w:sz w:val="18"/>
                <w:szCs w:val="18"/>
              </w:rPr>
              <w:t xml:space="preserve">Pengguna harus dapat membuat, mengedit, dan menghapus acara (event) kalender</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FR-13</w:t>
            </w:r>
          </w:p>
        </w:tc>
        <w:tc>
          <w:tcPr>
            <w:tcW w:type="dxa" w:w="6900"/>
            <w:vAlign w:val="center"/>
          </w:tcPr>
          <w:p>
            <w:r>
              <w:rPr>
                <w:b w:val="false"/>
                <w:bCs w:val="false"/>
                <w:color w:val="111827"/>
                <w:sz w:val="18"/>
                <w:szCs w:val="18"/>
              </w:rPr>
              <w:t xml:space="preserve">Sistem harus mendukung acara berulang (recurring event) dengan aturan kustom</w:t>
            </w:r>
          </w:p>
        </w:tc>
        <w:tc>
          <w:tcPr>
            <w:tcW w:type="dxa" w:w="1450"/>
            <w:vAlign w:val="center"/>
          </w:tcPr>
          <w:p>
            <w:r>
              <w:rPr>
                <w:b w:val="false"/>
                <w:bCs w:val="false"/>
                <w:color w:val="111827"/>
                <w:sz w:val="18"/>
                <w:szCs w:val="18"/>
              </w:rPr>
              <w:t xml:space="preserve">Diinginkan</w:t>
            </w:r>
          </w:p>
        </w:tc>
      </w:tr>
      <w:tr>
        <w:tc>
          <w:tcPr>
            <w:tcW w:type="dxa" w:w="1000"/>
            <w:vAlign w:val="center"/>
          </w:tcPr>
          <w:p>
            <w:r>
              <w:rPr>
                <w:b w:val="false"/>
                <w:bCs w:val="false"/>
                <w:color w:val="111827"/>
                <w:sz w:val="18"/>
                <w:szCs w:val="18"/>
              </w:rPr>
              <w:t xml:space="preserve">FR-14</w:t>
            </w:r>
          </w:p>
        </w:tc>
        <w:tc>
          <w:tcPr>
            <w:tcW w:type="dxa" w:w="6900"/>
            <w:vAlign w:val="center"/>
          </w:tcPr>
          <w:p>
            <w:r>
              <w:rPr>
                <w:b w:val="false"/>
                <w:bCs w:val="false"/>
                <w:color w:val="111827"/>
                <w:sz w:val="18"/>
                <w:szCs w:val="18"/>
              </w:rPr>
              <w:t xml:space="preserve">Sistem harus mengirimkan notifikasi/pengingat sebelum acara dimulai</w:t>
            </w:r>
          </w:p>
        </w:tc>
        <w:tc>
          <w:tcPr>
            <w:tcW w:type="dxa" w:w="1450"/>
            <w:vAlign w:val="center"/>
          </w:tcPr>
          <w:p>
            <w:r>
              <w:rPr>
                <w:b w:val="false"/>
                <w:bCs w:val="false"/>
                <w:color w:val="111827"/>
                <w:sz w:val="18"/>
                <w:szCs w:val="18"/>
              </w:rPr>
              <w:t xml:space="preserve">Diinginkan</w:t>
            </w:r>
          </w:p>
        </w:tc>
      </w:tr>
      <w:tr>
        <w:tc>
          <w:tcPr>
            <w:tcW w:type="dxa" w:w="1000"/>
            <w:vAlign w:val="center"/>
          </w:tcPr>
          <w:p>
            <w:r>
              <w:rPr>
                <w:b w:val="false"/>
                <w:bCs w:val="false"/>
                <w:color w:val="111827"/>
                <w:sz w:val="18"/>
                <w:szCs w:val="18"/>
              </w:rPr>
              <w:t xml:space="preserve">FR-15</w:t>
            </w:r>
          </w:p>
        </w:tc>
        <w:tc>
          <w:tcPr>
            <w:tcW w:type="dxa" w:w="6900"/>
            <w:vAlign w:val="center"/>
          </w:tcPr>
          <w:p>
            <w:r>
              <w:rPr>
                <w:b w:val="false"/>
                <w:bCs w:val="false"/>
                <w:color w:val="111827"/>
                <w:sz w:val="18"/>
                <w:szCs w:val="18"/>
              </w:rPr>
              <w:t xml:space="preserve">Pengguna harus dapat melihat kalender dalam tampilan harian, mingguan, dan bulanan</w:t>
            </w:r>
          </w:p>
        </w:tc>
        <w:tc>
          <w:tcPr>
            <w:tcW w:type="dxa" w:w="1450"/>
            <w:vAlign w:val="center"/>
          </w:tcPr>
          <w:p>
            <w:r>
              <w:rPr>
                <w:b w:val="false"/>
                <w:bCs w:val="false"/>
                <w:color w:val="111827"/>
                <w:sz w:val="18"/>
                <w:szCs w:val="18"/>
              </w:rPr>
              <w:t xml:space="preserve">Wajib</w:t>
            </w:r>
          </w:p>
        </w:tc>
      </w:tr>
    </w:tbl>
    <w:p>
      <w:pPr>
        <w:pStyle w:val="Heading2"/>
        <w:spacing w:after="120" w:before="240"/>
      </w:pPr>
      <w:r>
        <w:t xml:space="preserve">3.4 Modul Manajemen Tugas (Task)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FR-16</w:t>
            </w:r>
          </w:p>
        </w:tc>
        <w:tc>
          <w:tcPr>
            <w:tcW w:type="dxa" w:w="6900"/>
            <w:vAlign w:val="center"/>
          </w:tcPr>
          <w:p>
            <w:r>
              <w:rPr>
                <w:b w:val="false"/>
                <w:bCs w:val="false"/>
                <w:color w:val="111827"/>
                <w:sz w:val="18"/>
                <w:szCs w:val="18"/>
              </w:rPr>
              <w:t xml:space="preserve">Pengguna harus dapat membuat tugas dengan judul, deadline, dan prioritas</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FR-17</w:t>
            </w:r>
          </w:p>
        </w:tc>
        <w:tc>
          <w:tcPr>
            <w:tcW w:type="dxa" w:w="6900"/>
            <w:vAlign w:val="center"/>
          </w:tcPr>
          <w:p>
            <w:r>
              <w:rPr>
                <w:b w:val="false"/>
                <w:bCs w:val="false"/>
                <w:color w:val="111827"/>
                <w:sz w:val="18"/>
                <w:szCs w:val="18"/>
              </w:rPr>
              <w:t xml:space="preserve">Pengguna harus dapat mengubah status tugas (belum dikerjakan/proses/selesai)</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FR-18</w:t>
            </w:r>
          </w:p>
        </w:tc>
        <w:tc>
          <w:tcPr>
            <w:tcW w:type="dxa" w:w="6900"/>
            <w:vAlign w:val="center"/>
          </w:tcPr>
          <w:p>
            <w:r>
              <w:rPr>
                <w:b w:val="false"/>
                <w:bCs w:val="false"/>
                <w:color w:val="111827"/>
                <w:sz w:val="18"/>
                <w:szCs w:val="18"/>
              </w:rPr>
              <w:t xml:space="preserve">Sistem harus dapat mengaitkan tugas dengan email tertentu (convert email to task)</w:t>
            </w:r>
          </w:p>
        </w:tc>
        <w:tc>
          <w:tcPr>
            <w:tcW w:type="dxa" w:w="1450"/>
            <w:vAlign w:val="center"/>
          </w:tcPr>
          <w:p>
            <w:r>
              <w:rPr>
                <w:b w:val="false"/>
                <w:bCs w:val="false"/>
                <w:color w:val="111827"/>
                <w:sz w:val="18"/>
                <w:szCs w:val="18"/>
              </w:rPr>
              <w:t xml:space="preserve">Diinginkan</w:t>
            </w:r>
          </w:p>
        </w:tc>
      </w:tr>
    </w:tbl>
    <w:p>
      <w:pPr>
        <w:pStyle w:val="Heading2"/>
        <w:spacing w:after="120" w:before="240"/>
      </w:pPr>
      <w:r>
        <w:t xml:space="preserve">3.5 Modul Automation Rules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FR-19</w:t>
            </w:r>
          </w:p>
        </w:tc>
        <w:tc>
          <w:tcPr>
            <w:tcW w:type="dxa" w:w="6900"/>
            <w:vAlign w:val="center"/>
          </w:tcPr>
          <w:p>
            <w:r>
              <w:rPr>
                <w:b w:val="false"/>
                <w:bCs w:val="false"/>
                <w:color w:val="111827"/>
                <w:sz w:val="18"/>
                <w:szCs w:val="18"/>
              </w:rPr>
              <w:t xml:space="preserve">Pengguna harus dapat membuat aturan otomatis berbasis kondisi (pengirim, subjek, kata kunci) dan aksi (pindah folder, forward, auto-reply, hapus)</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FR-20</w:t>
            </w:r>
          </w:p>
        </w:tc>
        <w:tc>
          <w:tcPr>
            <w:tcW w:type="dxa" w:w="6900"/>
            <w:vAlign w:val="center"/>
          </w:tcPr>
          <w:p>
            <w:r>
              <w:rPr>
                <w:b w:val="false"/>
                <w:bCs w:val="false"/>
                <w:color w:val="111827"/>
                <w:sz w:val="18"/>
                <w:szCs w:val="18"/>
              </w:rPr>
              <w:t xml:space="preserve">Sistem harus mengeksekusi automation rule secara real-time saat email masuk</w:t>
            </w:r>
          </w:p>
        </w:tc>
        <w:tc>
          <w:tcPr>
            <w:tcW w:type="dxa" w:w="1450"/>
            <w:vAlign w:val="center"/>
          </w:tcPr>
          <w:p>
            <w:r>
              <w:rPr>
                <w:b w:val="false"/>
                <w:bCs w:val="false"/>
                <w:color w:val="111827"/>
                <w:sz w:val="18"/>
                <w:szCs w:val="18"/>
              </w:rPr>
              <w:t xml:space="preserve">Wajib</w:t>
            </w:r>
          </w:p>
        </w:tc>
      </w:tr>
      <w:tr>
        <w:tc>
          <w:tcPr>
            <w:tcW w:type="dxa" w:w="1000"/>
            <w:vAlign w:val="center"/>
          </w:tcPr>
          <w:p>
            <w:r>
              <w:rPr>
                <w:b w:val="false"/>
                <w:bCs w:val="false"/>
                <w:color w:val="111827"/>
                <w:sz w:val="18"/>
                <w:szCs w:val="18"/>
              </w:rPr>
              <w:t xml:space="preserve">FR-21</w:t>
            </w:r>
          </w:p>
        </w:tc>
        <w:tc>
          <w:tcPr>
            <w:tcW w:type="dxa" w:w="6900"/>
            <w:vAlign w:val="center"/>
          </w:tcPr>
          <w:p>
            <w:r>
              <w:rPr>
                <w:b w:val="false"/>
                <w:bCs w:val="false"/>
                <w:color w:val="111827"/>
                <w:sz w:val="18"/>
                <w:szCs w:val="18"/>
              </w:rPr>
              <w:t xml:space="preserve">Pengguna harus dapat mengaktifkan/menonaktifkan aturan tanpa menghapusnya</w:t>
            </w:r>
          </w:p>
        </w:tc>
        <w:tc>
          <w:tcPr>
            <w:tcW w:type="dxa" w:w="1450"/>
            <w:vAlign w:val="center"/>
          </w:tcPr>
          <w:p>
            <w:r>
              <w:rPr>
                <w:b w:val="false"/>
                <w:bCs w:val="false"/>
                <w:color w:val="111827"/>
                <w:sz w:val="18"/>
                <w:szCs w:val="18"/>
              </w:rPr>
              <w:t xml:space="preserve">Diinginkan</w:t>
            </w:r>
          </w:p>
        </w:tc>
      </w:tr>
    </w:tbl>
    <w:p>
      <w:pPr>
        <w:pStyle w:val="Heading2"/>
        <w:spacing w:after="120" w:before="240"/>
      </w:pPr>
      <w:r>
        <w:t xml:space="preserve">3.6 Modul Multi-Akun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FR-22</w:t>
            </w:r>
          </w:p>
        </w:tc>
        <w:tc>
          <w:tcPr>
            <w:tcW w:type="dxa" w:w="6900"/>
            <w:vAlign w:val="center"/>
          </w:tcPr>
          <w:p>
            <w:r>
              <w:rPr>
                <w:b w:val="false"/>
                <w:bCs w:val="false"/>
                <w:color w:val="111827"/>
                <w:sz w:val="18"/>
                <w:szCs w:val="18"/>
              </w:rPr>
              <w:t xml:space="preserve">Pengguna harus dapat menghubungkan akun email eksternal (Gmail, Outlook, dsb.) via IMAP</w:t>
            </w:r>
          </w:p>
        </w:tc>
        <w:tc>
          <w:tcPr>
            <w:tcW w:type="dxa" w:w="1450"/>
            <w:vAlign w:val="center"/>
          </w:tcPr>
          <w:p>
            <w:r>
              <w:rPr>
                <w:b w:val="false"/>
                <w:bCs w:val="false"/>
                <w:color w:val="111827"/>
                <w:sz w:val="18"/>
                <w:szCs w:val="18"/>
              </w:rPr>
              <w:t xml:space="preserve">Diinginkan</w:t>
            </w:r>
          </w:p>
        </w:tc>
      </w:tr>
      <w:tr>
        <w:tc>
          <w:tcPr>
            <w:tcW w:type="dxa" w:w="1000"/>
            <w:vAlign w:val="center"/>
          </w:tcPr>
          <w:p>
            <w:r>
              <w:rPr>
                <w:b w:val="false"/>
                <w:bCs w:val="false"/>
                <w:color w:val="111827"/>
                <w:sz w:val="18"/>
                <w:szCs w:val="18"/>
              </w:rPr>
              <w:t xml:space="preserve">FR-23</w:t>
            </w:r>
          </w:p>
        </w:tc>
        <w:tc>
          <w:tcPr>
            <w:tcW w:type="dxa" w:w="6900"/>
            <w:vAlign w:val="center"/>
          </w:tcPr>
          <w:p>
            <w:r>
              <w:rPr>
                <w:b w:val="false"/>
                <w:bCs w:val="false"/>
                <w:color w:val="111827"/>
                <w:sz w:val="18"/>
                <w:szCs w:val="18"/>
              </w:rPr>
              <w:t xml:space="preserve">Sistem harus menyinkronkan email dari akun eksternal ke dalam satu tampilan terpadu (unified inbox)</w:t>
            </w:r>
          </w:p>
        </w:tc>
        <w:tc>
          <w:tcPr>
            <w:tcW w:type="dxa" w:w="1450"/>
            <w:vAlign w:val="center"/>
          </w:tcPr>
          <w:p>
            <w:r>
              <w:rPr>
                <w:b w:val="false"/>
                <w:bCs w:val="false"/>
                <w:color w:val="111827"/>
                <w:sz w:val="18"/>
                <w:szCs w:val="18"/>
              </w:rPr>
              <w:t xml:space="preserve">Diinginkan</w:t>
            </w:r>
          </w:p>
        </w:tc>
      </w:tr>
    </w:tbl>
    <w:p>
      <w:pPr>
        <w:pStyle w:val="Heading2"/>
        <w:spacing w:after="120" w:before="240"/>
      </w:pPr>
      <w:r>
        <w:t xml:space="preserve">3.7 Modul Admin &amp; Billing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900"/>
        <w:gridCol w:w="1450"/>
      </w:tblGrid>
      <w:tr>
        <w:tc>
          <w:tcPr>
            <w:tcW w:type="dxa" w:w="1000"/>
            <w:shd w:fill="1E3A8A" w:val="clear"/>
            <w:vAlign w:val="center"/>
          </w:tcPr>
          <w:p>
            <w:r>
              <w:rPr>
                <w:b/>
                <w:bCs/>
                <w:color w:val="FFFFFF"/>
                <w:sz w:val="18"/>
                <w:szCs w:val="18"/>
              </w:rPr>
              <w:t xml:space="preserve">ID</w:t>
            </w:r>
          </w:p>
        </w:tc>
        <w:tc>
          <w:tcPr>
            <w:tcW w:type="dxa" w:w="6900"/>
            <w:shd w:fill="1E3A8A" w:val="clear"/>
            <w:vAlign w:val="center"/>
          </w:tcPr>
          <w:p>
            <w:r>
              <w:rPr>
                <w:b/>
                <w:bCs/>
                <w:color w:val="FFFFFF"/>
                <w:sz w:val="18"/>
                <w:szCs w:val="18"/>
              </w:rPr>
              <w:t xml:space="preserve">Kebutuhan Fungsional</w:t>
            </w:r>
          </w:p>
        </w:tc>
        <w:tc>
          <w:tcPr>
            <w:tcW w:type="dxa" w:w="1450"/>
            <w:shd w:fill="1E3A8A" w:val="clear"/>
            <w:vAlign w:val="center"/>
          </w:tcPr>
          <w:p>
            <w:r>
              <w:rPr>
                <w:b/>
                <w:bCs/>
                <w:color w:val="FFFFFF"/>
                <w:sz w:val="18"/>
                <w:szCs w:val="18"/>
              </w:rPr>
              <w:t xml:space="preserve">Prioritas</w:t>
            </w:r>
          </w:p>
        </w:tc>
      </w:tr>
      <w:tr>
        <w:tc>
          <w:tcPr>
            <w:tcW w:type="dxa" w:w="1000"/>
            <w:vAlign w:val="center"/>
          </w:tcPr>
          <w:p>
            <w:r>
              <w:rPr>
                <w:b w:val="false"/>
                <w:bCs w:val="false"/>
                <w:color w:val="111827"/>
                <w:sz w:val="18"/>
                <w:szCs w:val="18"/>
              </w:rPr>
              <w:t xml:space="preserve">FR-24</w:t>
            </w:r>
          </w:p>
        </w:tc>
        <w:tc>
          <w:tcPr>
            <w:tcW w:type="dxa" w:w="6900"/>
            <w:vAlign w:val="center"/>
          </w:tcPr>
          <w:p>
            <w:r>
              <w:rPr>
                <w:b w:val="false"/>
                <w:bCs w:val="false"/>
                <w:color w:val="111827"/>
                <w:sz w:val="18"/>
                <w:szCs w:val="18"/>
              </w:rPr>
              <w:t xml:space="preserve">Super Admin harus dapat memonitor status kesehatan pengiriman email seluruh tenant (deliverability, bounce rate)</w:t>
            </w:r>
          </w:p>
        </w:tc>
        <w:tc>
          <w:tcPr>
            <w:tcW w:type="dxa" w:w="1450"/>
            <w:vAlign w:val="center"/>
          </w:tcPr>
          <w:p>
            <w:r>
              <w:rPr>
                <w:b w:val="false"/>
                <w:bCs w:val="false"/>
                <w:color w:val="111827"/>
                <w:sz w:val="18"/>
                <w:szCs w:val="18"/>
              </w:rPr>
              <w:t xml:space="preserve">Diinginkan</w:t>
            </w:r>
          </w:p>
        </w:tc>
      </w:tr>
      <w:tr>
        <w:tc>
          <w:tcPr>
            <w:tcW w:type="dxa" w:w="1000"/>
            <w:vAlign w:val="center"/>
          </w:tcPr>
          <w:p>
            <w:r>
              <w:rPr>
                <w:b w:val="false"/>
                <w:bCs w:val="false"/>
                <w:color w:val="111827"/>
                <w:sz w:val="18"/>
                <w:szCs w:val="18"/>
              </w:rPr>
              <w:t xml:space="preserve">FR-25</w:t>
            </w:r>
          </w:p>
        </w:tc>
        <w:tc>
          <w:tcPr>
            <w:tcW w:type="dxa" w:w="6900"/>
            <w:vAlign w:val="center"/>
          </w:tcPr>
          <w:p>
            <w:r>
              <w:rPr>
                <w:b w:val="false"/>
                <w:bCs w:val="false"/>
                <w:color w:val="111827"/>
                <w:sz w:val="18"/>
                <w:szCs w:val="18"/>
              </w:rPr>
              <w:t xml:space="preserve">Sistem harus mendukung paket berlangganan (free/paid) dengan batasan kuota per paket</w:t>
            </w:r>
          </w:p>
        </w:tc>
        <w:tc>
          <w:tcPr>
            <w:tcW w:type="dxa" w:w="1450"/>
            <w:vAlign w:val="center"/>
          </w:tcPr>
          <w:p>
            <w:r>
              <w:rPr>
                <w:b w:val="false"/>
                <w:bCs w:val="false"/>
                <w:color w:val="111827"/>
                <w:sz w:val="18"/>
                <w:szCs w:val="18"/>
              </w:rPr>
              <w:t xml:space="preserve">Diinginkan</w:t>
            </w:r>
          </w:p>
        </w:tc>
      </w:tr>
      <w:tr>
        <w:tc>
          <w:tcPr>
            <w:tcW w:type="dxa" w:w="1000"/>
            <w:vAlign w:val="center"/>
          </w:tcPr>
          <w:p>
            <w:r>
              <w:rPr>
                <w:b w:val="false"/>
                <w:bCs w:val="false"/>
                <w:color w:val="111827"/>
                <w:sz w:val="18"/>
                <w:szCs w:val="18"/>
              </w:rPr>
              <w:t xml:space="preserve">FR-26</w:t>
            </w:r>
          </w:p>
        </w:tc>
        <w:tc>
          <w:tcPr>
            <w:tcW w:type="dxa" w:w="6900"/>
            <w:vAlign w:val="center"/>
          </w:tcPr>
          <w:p>
            <w:r>
              <w:rPr>
                <w:b w:val="false"/>
                <w:bCs w:val="false"/>
                <w:color w:val="111827"/>
                <w:sz w:val="18"/>
                <w:szCs w:val="18"/>
              </w:rPr>
              <w:t xml:space="preserve">Sistem harus mencatat audit log seluruh aktivitas penting (login, perubahan setting, penghapusan data)</w:t>
            </w:r>
          </w:p>
        </w:tc>
        <w:tc>
          <w:tcPr>
            <w:tcW w:type="dxa" w:w="1450"/>
            <w:vAlign w:val="center"/>
          </w:tcPr>
          <w:p>
            <w:r>
              <w:rPr>
                <w:b w:val="false"/>
                <w:bCs w:val="false"/>
                <w:color w:val="111827"/>
                <w:sz w:val="18"/>
                <w:szCs w:val="18"/>
              </w:rPr>
              <w:t xml:space="preserve">Wajib</w:t>
            </w:r>
          </w:p>
        </w:tc>
      </w:tr>
    </w:tbl>
    <w:p>
      <w:pPr>
        <w:pStyle w:val="Heading1"/>
        <w:spacing w:after="150" w:before="300"/>
      </w:pPr>
      <w:r>
        <w:t xml:space="preserve">4. Kebutuhan Antarmuka Eksternal</w:t>
      </w:r>
    </w:p>
    <w:p>
      <w:pPr>
        <w:pStyle w:val="Heading2"/>
        <w:spacing w:after="120" w:before="240"/>
      </w:pPr>
      <w:r>
        <w:t xml:space="preserve">4.1 Antarmuka Pengguna (UI)</w:t>
      </w:r>
    </w:p>
    <w:p>
      <w:pPr>
        <w:spacing w:after="160"/>
      </w:pPr>
      <w:r>
        <w:t xml:space="preserve">Antarmuka pengguna dirancang secara custom (in-house design), responsif untuk desktop dan tablet, dengan sistem desain (design system) yang konsisten. Detail wireframe dan UI flow akan dijabarkan pada dokumen desain terpisah (UI/UX Design Specification).</w:t>
      </w:r>
    </w:p>
    <w:p>
      <w:pPr>
        <w:pStyle w:val="Heading2"/>
        <w:spacing w:after="120" w:before="240"/>
      </w:pPr>
      <w:r>
        <w:t xml:space="preserve">4.2 Antarmuka Perangkat Lunak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E3A8A" w:val="clear"/>
            <w:vAlign w:val="center"/>
          </w:tcPr>
          <w:p>
            <w:r>
              <w:rPr>
                <w:b/>
                <w:bCs/>
                <w:color w:val="FFFFFF"/>
                <w:sz w:val="18"/>
                <w:szCs w:val="18"/>
              </w:rPr>
              <w:t xml:space="preserve">Protokol/Interface</w:t>
            </w:r>
          </w:p>
        </w:tc>
        <w:tc>
          <w:tcPr>
            <w:tcW w:type="dxa" w:w="6150"/>
            <w:shd w:fill="1E3A8A" w:val="clear"/>
            <w:vAlign w:val="center"/>
          </w:tcPr>
          <w:p>
            <w:r>
              <w:rPr>
                <w:b/>
                <w:bCs/>
                <w:color w:val="FFFFFF"/>
                <w:sz w:val="18"/>
                <w:szCs w:val="18"/>
              </w:rPr>
              <w:t xml:space="preserve">Kegunaan</w:t>
            </w:r>
          </w:p>
        </w:tc>
      </w:tr>
      <w:tr>
        <w:tc>
          <w:tcPr>
            <w:tcW w:type="dxa" w:w="3200"/>
            <w:vAlign w:val="center"/>
          </w:tcPr>
          <w:p>
            <w:r>
              <w:rPr>
                <w:b w:val="false"/>
                <w:bCs w:val="false"/>
                <w:color w:val="111827"/>
                <w:sz w:val="18"/>
                <w:szCs w:val="18"/>
              </w:rPr>
              <w:t xml:space="preserve">SMTP (port 25/587)</w:t>
            </w:r>
          </w:p>
        </w:tc>
        <w:tc>
          <w:tcPr>
            <w:tcW w:type="dxa" w:w="6150"/>
            <w:vAlign w:val="center"/>
          </w:tcPr>
          <w:p>
            <w:r>
              <w:rPr>
                <w:b w:val="false"/>
                <w:bCs w:val="false"/>
                <w:color w:val="111827"/>
                <w:sz w:val="18"/>
                <w:szCs w:val="18"/>
              </w:rPr>
              <w:t xml:space="preserve">Pengiriman email keluar &amp; relay antar server</w:t>
            </w:r>
          </w:p>
        </w:tc>
      </w:tr>
      <w:tr>
        <w:tc>
          <w:tcPr>
            <w:tcW w:type="dxa" w:w="3200"/>
            <w:vAlign w:val="center"/>
          </w:tcPr>
          <w:p>
            <w:r>
              <w:rPr>
                <w:b w:val="false"/>
                <w:bCs w:val="false"/>
                <w:color w:val="111827"/>
                <w:sz w:val="18"/>
                <w:szCs w:val="18"/>
              </w:rPr>
              <w:t xml:space="preserve">IMAP (port 993)</w:t>
            </w:r>
          </w:p>
        </w:tc>
        <w:tc>
          <w:tcPr>
            <w:tcW w:type="dxa" w:w="6150"/>
            <w:vAlign w:val="center"/>
          </w:tcPr>
          <w:p>
            <w:r>
              <w:rPr>
                <w:b w:val="false"/>
                <w:bCs w:val="false"/>
                <w:color w:val="111827"/>
                <w:sz w:val="18"/>
                <w:szCs w:val="18"/>
              </w:rPr>
              <w:t xml:space="preserve">Sinkronisasi email dengan mailbox pengguna</w:t>
            </w:r>
          </w:p>
        </w:tc>
      </w:tr>
      <w:tr>
        <w:tc>
          <w:tcPr>
            <w:tcW w:type="dxa" w:w="3200"/>
            <w:vAlign w:val="center"/>
          </w:tcPr>
          <w:p>
            <w:r>
              <w:rPr>
                <w:b w:val="false"/>
                <w:bCs w:val="false"/>
                <w:color w:val="111827"/>
                <w:sz w:val="18"/>
                <w:szCs w:val="18"/>
              </w:rPr>
              <w:t xml:space="preserve">REST/GraphQL API</w:t>
            </w:r>
          </w:p>
        </w:tc>
        <w:tc>
          <w:tcPr>
            <w:tcW w:type="dxa" w:w="6150"/>
            <w:vAlign w:val="center"/>
          </w:tcPr>
          <w:p>
            <w:r>
              <w:rPr>
                <w:b w:val="false"/>
                <w:bCs w:val="false"/>
                <w:color w:val="111827"/>
                <w:sz w:val="18"/>
                <w:szCs w:val="18"/>
              </w:rPr>
              <w:t xml:space="preserve">Komunikasi antara frontend custom dan backend aplikasi</w:t>
            </w:r>
          </w:p>
        </w:tc>
      </w:tr>
      <w:tr>
        <w:tc>
          <w:tcPr>
            <w:tcW w:type="dxa" w:w="3200"/>
            <w:vAlign w:val="center"/>
          </w:tcPr>
          <w:p>
            <w:r>
              <w:rPr>
                <w:b w:val="false"/>
                <w:bCs w:val="false"/>
                <w:color w:val="111827"/>
                <w:sz w:val="18"/>
                <w:szCs w:val="18"/>
              </w:rPr>
              <w:t xml:space="preserve">DNS API (mis. Cloudflare API)</w:t>
            </w:r>
          </w:p>
        </w:tc>
        <w:tc>
          <w:tcPr>
            <w:tcW w:type="dxa" w:w="6150"/>
            <w:vAlign w:val="center"/>
          </w:tcPr>
          <w:p>
            <w:r>
              <w:rPr>
                <w:b w:val="false"/>
                <w:bCs w:val="false"/>
                <w:color w:val="111827"/>
                <w:sz w:val="18"/>
                <w:szCs w:val="18"/>
              </w:rPr>
              <w:t xml:space="preserve">Provisioning otomatis SPF/DKIM/DMARC/MX record</w:t>
            </w:r>
          </w:p>
        </w:tc>
      </w:tr>
    </w:tbl>
    <w:p>
      <w:pPr>
        <w:pStyle w:val="Heading1"/>
        <w:spacing w:after="150" w:before="300"/>
      </w:pPr>
      <w:r>
        <w:t xml:space="preserve">5. Kebutuhan Non-Fungsional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E3A8A" w:val="clear"/>
            <w:vAlign w:val="center"/>
          </w:tcPr>
          <w:p>
            <w:r>
              <w:rPr>
                <w:b/>
                <w:bCs/>
                <w:color w:val="FFFFFF"/>
                <w:sz w:val="18"/>
                <w:szCs w:val="18"/>
              </w:rPr>
              <w:t xml:space="preserve">Kategori</w:t>
            </w:r>
          </w:p>
        </w:tc>
        <w:tc>
          <w:tcPr>
            <w:tcW w:type="dxa" w:w="7150"/>
            <w:shd w:fill="1E3A8A" w:val="clear"/>
            <w:vAlign w:val="center"/>
          </w:tcPr>
          <w:p>
            <w:r>
              <w:rPr>
                <w:b/>
                <w:bCs/>
                <w:color w:val="FFFFFF"/>
                <w:sz w:val="18"/>
                <w:szCs w:val="18"/>
              </w:rPr>
              <w:t xml:space="preserve">Kebutuhan</w:t>
            </w:r>
          </w:p>
        </w:tc>
      </w:tr>
      <w:tr>
        <w:tc>
          <w:tcPr>
            <w:tcW w:type="dxa" w:w="2200"/>
            <w:vAlign w:val="center"/>
          </w:tcPr>
          <w:p>
            <w:r>
              <w:rPr>
                <w:b w:val="false"/>
                <w:bCs w:val="false"/>
                <w:color w:val="111827"/>
                <w:sz w:val="18"/>
                <w:szCs w:val="18"/>
              </w:rPr>
              <w:t xml:space="preserve">Performa</w:t>
            </w:r>
          </w:p>
        </w:tc>
        <w:tc>
          <w:tcPr>
            <w:tcW w:type="dxa" w:w="7150"/>
            <w:vAlign w:val="center"/>
          </w:tcPr>
          <w:p>
            <w:r>
              <w:rPr>
                <w:b w:val="false"/>
                <w:bCs w:val="false"/>
                <w:color w:val="111827"/>
                <w:sz w:val="18"/>
                <w:szCs w:val="18"/>
              </w:rPr>
              <w:t xml:space="preserve">Waktu muat inbox &lt; 2 detik untuk 95% permintaan pada beban normal</w:t>
            </w:r>
          </w:p>
        </w:tc>
      </w:tr>
      <w:tr>
        <w:tc>
          <w:tcPr>
            <w:tcW w:type="dxa" w:w="2200"/>
            <w:vAlign w:val="center"/>
          </w:tcPr>
          <w:p>
            <w:r>
              <w:rPr>
                <w:b w:val="false"/>
                <w:bCs w:val="false"/>
                <w:color w:val="111827"/>
                <w:sz w:val="18"/>
                <w:szCs w:val="18"/>
              </w:rPr>
              <w:t xml:space="preserve">Skalabilitas</w:t>
            </w:r>
          </w:p>
        </w:tc>
        <w:tc>
          <w:tcPr>
            <w:tcW w:type="dxa" w:w="7150"/>
            <w:vAlign w:val="center"/>
          </w:tcPr>
          <w:p>
            <w:r>
              <w:rPr>
                <w:b w:val="false"/>
                <w:bCs w:val="false"/>
                <w:color w:val="111827"/>
                <w:sz w:val="18"/>
                <w:szCs w:val="18"/>
              </w:rPr>
              <w:t xml:space="preserve">Mendukung minimal 50 domain aktif &amp; 500 mailbox pada fase awal, dapat diskalakan horizontal</w:t>
            </w:r>
          </w:p>
        </w:tc>
      </w:tr>
      <w:tr>
        <w:tc>
          <w:tcPr>
            <w:tcW w:type="dxa" w:w="2200"/>
            <w:vAlign w:val="center"/>
          </w:tcPr>
          <w:p>
            <w:r>
              <w:rPr>
                <w:b w:val="false"/>
                <w:bCs w:val="false"/>
                <w:color w:val="111827"/>
                <w:sz w:val="18"/>
                <w:szCs w:val="18"/>
              </w:rPr>
              <w:t xml:space="preserve">Keamanan</w:t>
            </w:r>
          </w:p>
        </w:tc>
        <w:tc>
          <w:tcPr>
            <w:tcW w:type="dxa" w:w="7150"/>
            <w:vAlign w:val="center"/>
          </w:tcPr>
          <w:p>
            <w:r>
              <w:rPr>
                <w:b w:val="false"/>
                <w:bCs w:val="false"/>
                <w:color w:val="111827"/>
                <w:sz w:val="18"/>
                <w:szCs w:val="18"/>
              </w:rPr>
              <w:t xml:space="preserve">Enkripsi data saat transit (TLS) &amp; saat disimpan (encryption at rest); isolasi data antar tenant</w:t>
            </w:r>
          </w:p>
        </w:tc>
      </w:tr>
      <w:tr>
        <w:tc>
          <w:tcPr>
            <w:tcW w:type="dxa" w:w="2200"/>
            <w:vAlign w:val="center"/>
          </w:tcPr>
          <w:p>
            <w:r>
              <w:rPr>
                <w:b w:val="false"/>
                <w:bCs w:val="false"/>
                <w:color w:val="111827"/>
                <w:sz w:val="18"/>
                <w:szCs w:val="18"/>
              </w:rPr>
              <w:t xml:space="preserve">Ketersediaan</w:t>
            </w:r>
          </w:p>
        </w:tc>
        <w:tc>
          <w:tcPr>
            <w:tcW w:type="dxa" w:w="7150"/>
            <w:vAlign w:val="center"/>
          </w:tcPr>
          <w:p>
            <w:r>
              <w:rPr>
                <w:b w:val="false"/>
                <w:bCs w:val="false"/>
                <w:color w:val="111827"/>
                <w:sz w:val="18"/>
                <w:szCs w:val="18"/>
              </w:rPr>
              <w:t xml:space="preserve">Target uptime 99.5% di luar jadwal maintenance terjadwal</w:t>
            </w:r>
          </w:p>
        </w:tc>
      </w:tr>
      <w:tr>
        <w:tc>
          <w:tcPr>
            <w:tcW w:type="dxa" w:w="2200"/>
            <w:vAlign w:val="center"/>
          </w:tcPr>
          <w:p>
            <w:r>
              <w:rPr>
                <w:b w:val="false"/>
                <w:bCs w:val="false"/>
                <w:color w:val="111827"/>
                <w:sz w:val="18"/>
                <w:szCs w:val="18"/>
              </w:rPr>
              <w:t xml:space="preserve">Usability</w:t>
            </w:r>
          </w:p>
        </w:tc>
        <w:tc>
          <w:tcPr>
            <w:tcW w:type="dxa" w:w="7150"/>
            <w:vAlign w:val="center"/>
          </w:tcPr>
          <w:p>
            <w:r>
              <w:rPr>
                <w:b w:val="false"/>
                <w:bCs w:val="false"/>
                <w:color w:val="111827"/>
                <w:sz w:val="18"/>
                <w:szCs w:val="18"/>
              </w:rPr>
              <w:t xml:space="preserve">UI harus dapat digunakan tanpa pelatihan khusus oleh pengguna umum (non-teknis)</w:t>
            </w:r>
          </w:p>
        </w:tc>
      </w:tr>
      <w:tr>
        <w:tc>
          <w:tcPr>
            <w:tcW w:type="dxa" w:w="2200"/>
            <w:vAlign w:val="center"/>
          </w:tcPr>
          <w:p>
            <w:r>
              <w:rPr>
                <w:b w:val="false"/>
                <w:bCs w:val="false"/>
                <w:color w:val="111827"/>
                <w:sz w:val="18"/>
                <w:szCs w:val="18"/>
              </w:rPr>
              <w:t xml:space="preserve">Portabilitas</w:t>
            </w:r>
          </w:p>
        </w:tc>
        <w:tc>
          <w:tcPr>
            <w:tcW w:type="dxa" w:w="7150"/>
            <w:vAlign w:val="center"/>
          </w:tcPr>
          <w:p>
            <w:r>
              <w:rPr>
                <w:b w:val="false"/>
                <w:bCs w:val="false"/>
                <w:color w:val="111827"/>
                <w:sz w:val="18"/>
                <w:szCs w:val="18"/>
              </w:rPr>
              <w:t xml:space="preserve">Backend dapat di-deploy di VPS/cloud provider manapun yang mendukung Docker</w:t>
            </w:r>
          </w:p>
        </w:tc>
      </w:tr>
      <w:tr>
        <w:tc>
          <w:tcPr>
            <w:tcW w:type="dxa" w:w="2200"/>
            <w:vAlign w:val="center"/>
          </w:tcPr>
          <w:p>
            <w:r>
              <w:rPr>
                <w:b w:val="false"/>
                <w:bCs w:val="false"/>
                <w:color w:val="111827"/>
                <w:sz w:val="18"/>
                <w:szCs w:val="18"/>
              </w:rPr>
              <w:t xml:space="preserve">Auditabilitas</w:t>
            </w:r>
          </w:p>
        </w:tc>
        <w:tc>
          <w:tcPr>
            <w:tcW w:type="dxa" w:w="7150"/>
            <w:vAlign w:val="center"/>
          </w:tcPr>
          <w:p>
            <w:r>
              <w:rPr>
                <w:b w:val="false"/>
                <w:bCs w:val="false"/>
                <w:color w:val="111827"/>
                <w:sz w:val="18"/>
                <w:szCs w:val="18"/>
              </w:rPr>
              <w:t xml:space="preserve">Seluruh aksi administratif tercatat dalam audit log yang tidak dapat diubah</w:t>
            </w:r>
          </w:p>
        </w:tc>
      </w:tr>
      <w:tr>
        <w:tc>
          <w:tcPr>
            <w:tcW w:type="dxa" w:w="2200"/>
            <w:vAlign w:val="center"/>
          </w:tcPr>
          <w:p>
            <w:r>
              <w:rPr>
                <w:b w:val="false"/>
                <w:bCs w:val="false"/>
                <w:color w:val="111827"/>
                <w:sz w:val="18"/>
                <w:szCs w:val="18"/>
              </w:rPr>
              <w:t xml:space="preserve">Kepatuhan</w:t>
            </w:r>
          </w:p>
        </w:tc>
        <w:tc>
          <w:tcPr>
            <w:tcW w:type="dxa" w:w="7150"/>
            <w:vAlign w:val="center"/>
          </w:tcPr>
          <w:p>
            <w:r>
              <w:rPr>
                <w:b w:val="false"/>
                <w:bCs w:val="false"/>
                <w:color w:val="111827"/>
                <w:sz w:val="18"/>
                <w:szCs w:val="18"/>
              </w:rPr>
              <w:t xml:space="preserve">Mendukung praktik terbaik privasi data (mis. prinsip minimalisasi data, hak hapus data pengguna)</w:t>
            </w:r>
          </w:p>
        </w:tc>
      </w:tr>
    </w:tbl>
    <w:p>
      <w:r>
        <w:br w:type="page"/>
      </w:r>
    </w:p>
    <w:p>
      <w:pPr>
        <w:pStyle w:val="Heading1"/>
        <w:spacing w:after="150" w:before="300"/>
      </w:pPr>
      <w:r>
        <w:t xml:space="preserve">6. Gambaran Arsitektur Sistem</w:t>
      </w:r>
    </w:p>
    <w:p>
      <w:pPr>
        <w:spacing w:after="160"/>
      </w:pPr>
      <w:r>
        <w:t xml:space="preserve">Diagram berikut menggambarkan arsitektur tingkat tinggi sistem NusaMail, mencakup lapisan client, aplikasi, mail engine, data, hingga integrasi pihak ketiga.</w:t>
      </w:r>
    </w:p>
    <w:p>
      <w:pPr>
        <w:spacing w:after="200" w:before="200"/>
        <w:jc w:val="center"/>
      </w:pPr>
      <w:r>
        <w:drawing>
          <wp:inline distT="0" distB="0" distL="0" distR="0">
            <wp:extent cx="57150000" cy="407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0" cy="40700325"/>
                    </a:xfrm>
                    <a:prstGeom prst="rect">
                      <a:avLst/>
                    </a:prstGeom>
                  </pic:spPr>
                </pic:pic>
              </a:graphicData>
            </a:graphic>
          </wp:inline>
        </w:drawing>
      </w:r>
    </w:p>
    <w:p>
      <w:pPr>
        <w:pStyle w:val="Heading2"/>
        <w:spacing w:after="120" w:before="240"/>
      </w:pPr>
      <w:r>
        <w:t xml:space="preserve">6.1 Penjelasan Lapisan Arsitektur</w:t>
      </w:r>
    </w:p>
    <w:p>
      <w:pPr>
        <w:pStyle w:val="ListParagraph"/>
        <w:numPr>
          <w:ilvl w:val="0"/>
          <w:numId w:val="1"/>
        </w:numPr>
        <w:spacing w:after="80"/>
      </w:pPr>
      <w:r>
        <w:t xml:space="preserve">Client Layer: UI kustom (webmail, kalender, tugas) dan dashboard admin/tenant</w:t>
      </w:r>
    </w:p>
    <w:p>
      <w:pPr>
        <w:pStyle w:val="ListParagraph"/>
        <w:numPr>
          <w:ilvl w:val="0"/>
          <w:numId w:val="1"/>
        </w:numPr>
        <w:spacing w:after="80"/>
      </w:pPr>
      <w:r>
        <w:t xml:space="preserve">Edge/Gateway: API Gateway, load balancer, WAF, dan rate limiter untuk keamanan &amp; distribusi trafik</w:t>
      </w:r>
    </w:p>
    <w:p>
      <w:pPr>
        <w:pStyle w:val="ListParagraph"/>
        <w:numPr>
          <w:ilvl w:val="0"/>
          <w:numId w:val="1"/>
        </w:numPr>
        <w:spacing w:after="80"/>
      </w:pPr>
      <w:r>
        <w:t xml:space="preserve">Application Layer: layanan-layanan inti seperti autentikasi, mail app service, calendar/task service, automation engine, dan domain provisioning</w:t>
      </w:r>
    </w:p>
    <w:p>
      <w:pPr>
        <w:pStyle w:val="ListParagraph"/>
        <w:numPr>
          <w:ilvl w:val="0"/>
          <w:numId w:val="1"/>
        </w:numPr>
        <w:spacing w:after="80"/>
      </w:pPr>
      <w:r>
        <w:t xml:space="preserve">Mail Engine Layer: Postfix (SMTP), Dovecot (IMAP), Rspamd (anti-spam &amp; DKIM signing), ClamAV (antivirus), dan outbound relay untuk menjaga deliverability</w:t>
      </w:r>
    </w:p>
    <w:p>
      <w:pPr>
        <w:pStyle w:val="ListParagraph"/>
        <w:numPr>
          <w:ilvl w:val="0"/>
          <w:numId w:val="1"/>
        </w:numPr>
        <w:spacing w:after="80"/>
      </w:pPr>
      <w:r>
        <w:t xml:space="preserve">Data Layer: PostgreSQL untuk data terstruktur, object storage untuk lampiran, Redis untuk cache &amp; antrian tugas</w:t>
      </w:r>
    </w:p>
    <w:p>
      <w:pPr>
        <w:pStyle w:val="ListParagraph"/>
        <w:numPr>
          <w:ilvl w:val="0"/>
          <w:numId w:val="1"/>
        </w:numPr>
        <w:spacing w:after="80"/>
      </w:pPr>
      <w:r>
        <w:t xml:space="preserve">External: integrasi DNS provider, SMTP relay pihak ketiga, payment gateway, dan komunikasi ke mail server penerima di internet</w:t>
      </w:r>
    </w:p>
    <w:p>
      <w:r>
        <w:br w:type="page"/>
      </w:r>
    </w:p>
    <w:p>
      <w:pPr>
        <w:pStyle w:val="Heading1"/>
        <w:spacing w:after="150" w:before="300"/>
      </w:pPr>
      <w:r>
        <w:t xml:space="preserve">7. Model Data (Entity Relationship Diagram)</w:t>
      </w:r>
    </w:p>
    <w:p>
      <w:pPr>
        <w:spacing w:after="160"/>
      </w:pPr>
      <w:r>
        <w:t xml:space="preserve">Diagram berikut menggambarkan entitas utama dalam sistem beserta relasinya, sebagai acuan perancangan skema database.</w:t>
      </w:r>
    </w:p>
    <w:p>
      <w:pPr>
        <w:spacing w:after="200" w:before="200"/>
        <w:jc w:val="center"/>
      </w:pPr>
      <w:r>
        <w:drawing>
          <wp:inline distT="0" distB="0" distL="0" distR="0">
            <wp:extent cx="60007500" cy="4531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0" cy="45319950"/>
                    </a:xfrm>
                    <a:prstGeom prst="rect">
                      <a:avLst/>
                    </a:prstGeom>
                  </pic:spPr>
                </pic:pic>
              </a:graphicData>
            </a:graphic>
          </wp:inline>
        </w:drawing>
      </w:r>
    </w:p>
    <w:p>
      <w:pPr>
        <w:pStyle w:val="Heading2"/>
        <w:spacing w:after="120" w:before="240"/>
      </w:pPr>
      <w:r>
        <w:t xml:space="preserve">7.1 Deskripsi Entitas Utama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E3A8A" w:val="clear"/>
            <w:vAlign w:val="center"/>
          </w:tcPr>
          <w:p>
            <w:r>
              <w:rPr>
                <w:b/>
                <w:bCs/>
                <w:color w:val="FFFFFF"/>
                <w:sz w:val="18"/>
                <w:szCs w:val="18"/>
              </w:rPr>
              <w:t xml:space="preserve">Entitas</w:t>
            </w:r>
          </w:p>
        </w:tc>
        <w:tc>
          <w:tcPr>
            <w:tcW w:type="dxa" w:w="6750"/>
            <w:shd w:fill="1E3A8A" w:val="clear"/>
            <w:vAlign w:val="center"/>
          </w:tcPr>
          <w:p>
            <w:r>
              <w:rPr>
                <w:b/>
                <w:bCs/>
                <w:color w:val="FFFFFF"/>
                <w:sz w:val="18"/>
                <w:szCs w:val="18"/>
              </w:rPr>
              <w:t xml:space="preserve">Deskripsi Singkat</w:t>
            </w:r>
          </w:p>
        </w:tc>
      </w:tr>
      <w:tr>
        <w:tc>
          <w:tcPr>
            <w:tcW w:type="dxa" w:w="2600"/>
            <w:vAlign w:val="center"/>
          </w:tcPr>
          <w:p>
            <w:r>
              <w:rPr>
                <w:b w:val="false"/>
                <w:bCs w:val="false"/>
                <w:color w:val="111827"/>
                <w:sz w:val="18"/>
                <w:szCs w:val="18"/>
              </w:rPr>
              <w:t xml:space="preserve">TENANT</w:t>
            </w:r>
          </w:p>
        </w:tc>
        <w:tc>
          <w:tcPr>
            <w:tcW w:type="dxa" w:w="6750"/>
            <w:vAlign w:val="center"/>
          </w:tcPr>
          <w:p>
            <w:r>
              <w:rPr>
                <w:b w:val="false"/>
                <w:bCs w:val="false"/>
                <w:color w:val="111827"/>
                <w:sz w:val="18"/>
                <w:szCs w:val="18"/>
              </w:rPr>
              <w:t xml:space="preserve">Organisasi/pelanggan independen pengguna platform</w:t>
            </w:r>
          </w:p>
        </w:tc>
      </w:tr>
      <w:tr>
        <w:tc>
          <w:tcPr>
            <w:tcW w:type="dxa" w:w="2600"/>
            <w:vAlign w:val="center"/>
          </w:tcPr>
          <w:p>
            <w:r>
              <w:rPr>
                <w:b w:val="false"/>
                <w:bCs w:val="false"/>
                <w:color w:val="111827"/>
                <w:sz w:val="18"/>
                <w:szCs w:val="18"/>
              </w:rPr>
              <w:t xml:space="preserve">DOMAIN</w:t>
            </w:r>
          </w:p>
        </w:tc>
        <w:tc>
          <w:tcPr>
            <w:tcW w:type="dxa" w:w="6750"/>
            <w:vAlign w:val="center"/>
          </w:tcPr>
          <w:p>
            <w:r>
              <w:rPr>
                <w:b w:val="false"/>
                <w:bCs w:val="false"/>
                <w:color w:val="111827"/>
                <w:sz w:val="18"/>
                <w:szCs w:val="18"/>
              </w:rPr>
              <w:t xml:space="preserve">Domain milik tenant beserta status verifikasi &amp; konfigurasi DNS</w:t>
            </w:r>
          </w:p>
        </w:tc>
      </w:tr>
      <w:tr>
        <w:tc>
          <w:tcPr>
            <w:tcW w:type="dxa" w:w="2600"/>
            <w:vAlign w:val="center"/>
          </w:tcPr>
          <w:p>
            <w:r>
              <w:rPr>
                <w:b w:val="false"/>
                <w:bCs w:val="false"/>
                <w:color w:val="111827"/>
                <w:sz w:val="18"/>
                <w:szCs w:val="18"/>
              </w:rPr>
              <w:t xml:space="preserve">USER</w:t>
            </w:r>
          </w:p>
        </w:tc>
        <w:tc>
          <w:tcPr>
            <w:tcW w:type="dxa" w:w="6750"/>
            <w:vAlign w:val="center"/>
          </w:tcPr>
          <w:p>
            <w:r>
              <w:rPr>
                <w:b w:val="false"/>
                <w:bCs w:val="false"/>
                <w:color w:val="111827"/>
                <w:sz w:val="18"/>
                <w:szCs w:val="18"/>
              </w:rPr>
              <w:t xml:space="preserve">Pengguna individual dalam suatu tenant/domain</w:t>
            </w:r>
          </w:p>
        </w:tc>
      </w:tr>
      <w:tr>
        <w:tc>
          <w:tcPr>
            <w:tcW w:type="dxa" w:w="2600"/>
            <w:vAlign w:val="center"/>
          </w:tcPr>
          <w:p>
            <w:r>
              <w:rPr>
                <w:b w:val="false"/>
                <w:bCs w:val="false"/>
                <w:color w:val="111827"/>
                <w:sz w:val="18"/>
                <w:szCs w:val="18"/>
              </w:rPr>
              <w:t xml:space="preserve">MAILBOX</w:t>
            </w:r>
          </w:p>
        </w:tc>
        <w:tc>
          <w:tcPr>
            <w:tcW w:type="dxa" w:w="6750"/>
            <w:vAlign w:val="center"/>
          </w:tcPr>
          <w:p>
            <w:r>
              <w:rPr>
                <w:b w:val="false"/>
                <w:bCs w:val="false"/>
                <w:color w:val="111827"/>
                <w:sz w:val="18"/>
                <w:szCs w:val="18"/>
              </w:rPr>
              <w:t xml:space="preserve">Kotak surat milik satu user</w:t>
            </w:r>
          </w:p>
        </w:tc>
      </w:tr>
      <w:tr>
        <w:tc>
          <w:tcPr>
            <w:tcW w:type="dxa" w:w="2600"/>
            <w:vAlign w:val="center"/>
          </w:tcPr>
          <w:p>
            <w:r>
              <w:rPr>
                <w:b w:val="false"/>
                <w:bCs w:val="false"/>
                <w:color w:val="111827"/>
                <w:sz w:val="18"/>
                <w:szCs w:val="18"/>
              </w:rPr>
              <w:t xml:space="preserve">EMAIL</w:t>
            </w:r>
          </w:p>
        </w:tc>
        <w:tc>
          <w:tcPr>
            <w:tcW w:type="dxa" w:w="6750"/>
            <w:vAlign w:val="center"/>
          </w:tcPr>
          <w:p>
            <w:r>
              <w:rPr>
                <w:b w:val="false"/>
                <w:bCs w:val="false"/>
                <w:color w:val="111827"/>
                <w:sz w:val="18"/>
                <w:szCs w:val="18"/>
              </w:rPr>
              <w:t xml:space="preserve">Data email individual beserta metadata</w:t>
            </w:r>
          </w:p>
        </w:tc>
      </w:tr>
      <w:tr>
        <w:tc>
          <w:tcPr>
            <w:tcW w:type="dxa" w:w="2600"/>
            <w:vAlign w:val="center"/>
          </w:tcPr>
          <w:p>
            <w:r>
              <w:rPr>
                <w:b w:val="false"/>
                <w:bCs w:val="false"/>
                <w:color w:val="111827"/>
                <w:sz w:val="18"/>
                <w:szCs w:val="18"/>
              </w:rPr>
              <w:t xml:space="preserve">ATTACHMENT</w:t>
            </w:r>
          </w:p>
        </w:tc>
        <w:tc>
          <w:tcPr>
            <w:tcW w:type="dxa" w:w="6750"/>
            <w:vAlign w:val="center"/>
          </w:tcPr>
          <w:p>
            <w:r>
              <w:rPr>
                <w:b w:val="false"/>
                <w:bCs w:val="false"/>
                <w:color w:val="111827"/>
                <w:sz w:val="18"/>
                <w:szCs w:val="18"/>
              </w:rPr>
              <w:t xml:space="preserve">Lampiran yang terkait dengan satu email</w:t>
            </w:r>
          </w:p>
        </w:tc>
      </w:tr>
      <w:tr>
        <w:tc>
          <w:tcPr>
            <w:tcW w:type="dxa" w:w="2600"/>
            <w:vAlign w:val="center"/>
          </w:tcPr>
          <w:p>
            <w:r>
              <w:rPr>
                <w:b w:val="false"/>
                <w:bCs w:val="false"/>
                <w:color w:val="111827"/>
                <w:sz w:val="18"/>
                <w:szCs w:val="18"/>
              </w:rPr>
              <w:t xml:space="preserve">CALENDAR_EVENT</w:t>
            </w:r>
          </w:p>
        </w:tc>
        <w:tc>
          <w:tcPr>
            <w:tcW w:type="dxa" w:w="6750"/>
            <w:vAlign w:val="center"/>
          </w:tcPr>
          <w:p>
            <w:r>
              <w:rPr>
                <w:b w:val="false"/>
                <w:bCs w:val="false"/>
                <w:color w:val="111827"/>
                <w:sz w:val="18"/>
                <w:szCs w:val="18"/>
              </w:rPr>
              <w:t xml:space="preserve">Acara kalender milik satu user</w:t>
            </w:r>
          </w:p>
        </w:tc>
      </w:tr>
      <w:tr>
        <w:tc>
          <w:tcPr>
            <w:tcW w:type="dxa" w:w="2600"/>
            <w:vAlign w:val="center"/>
          </w:tcPr>
          <w:p>
            <w:r>
              <w:rPr>
                <w:b w:val="false"/>
                <w:bCs w:val="false"/>
                <w:color w:val="111827"/>
                <w:sz w:val="18"/>
                <w:szCs w:val="18"/>
              </w:rPr>
              <w:t xml:space="preserve">TASK</w:t>
            </w:r>
          </w:p>
        </w:tc>
        <w:tc>
          <w:tcPr>
            <w:tcW w:type="dxa" w:w="6750"/>
            <w:vAlign w:val="center"/>
          </w:tcPr>
          <w:p>
            <w:r>
              <w:rPr>
                <w:b w:val="false"/>
                <w:bCs w:val="false"/>
                <w:color w:val="111827"/>
                <w:sz w:val="18"/>
                <w:szCs w:val="18"/>
              </w:rPr>
              <w:t xml:space="preserve">Tugas milik satu user</w:t>
            </w:r>
          </w:p>
        </w:tc>
      </w:tr>
      <w:tr>
        <w:tc>
          <w:tcPr>
            <w:tcW w:type="dxa" w:w="2600"/>
            <w:vAlign w:val="center"/>
          </w:tcPr>
          <w:p>
            <w:r>
              <w:rPr>
                <w:b w:val="false"/>
                <w:bCs w:val="false"/>
                <w:color w:val="111827"/>
                <w:sz w:val="18"/>
                <w:szCs w:val="18"/>
              </w:rPr>
              <w:t xml:space="preserve">AUTOMATION_RULE</w:t>
            </w:r>
          </w:p>
        </w:tc>
        <w:tc>
          <w:tcPr>
            <w:tcW w:type="dxa" w:w="6750"/>
            <w:vAlign w:val="center"/>
          </w:tcPr>
          <w:p>
            <w:r>
              <w:rPr>
                <w:b w:val="false"/>
                <w:bCs w:val="false"/>
                <w:color w:val="111827"/>
                <w:sz w:val="18"/>
                <w:szCs w:val="18"/>
              </w:rPr>
              <w:t xml:space="preserve">Aturan otomatisasi milik satu user</w:t>
            </w:r>
          </w:p>
        </w:tc>
      </w:tr>
      <w:tr>
        <w:tc>
          <w:tcPr>
            <w:tcW w:type="dxa" w:w="2600"/>
            <w:vAlign w:val="center"/>
          </w:tcPr>
          <w:p>
            <w:r>
              <w:rPr>
                <w:b w:val="false"/>
                <w:bCs w:val="false"/>
                <w:color w:val="111827"/>
                <w:sz w:val="18"/>
                <w:szCs w:val="18"/>
              </w:rPr>
              <w:t xml:space="preserve">AUDIT_LOG</w:t>
            </w:r>
          </w:p>
        </w:tc>
        <w:tc>
          <w:tcPr>
            <w:tcW w:type="dxa" w:w="6750"/>
            <w:vAlign w:val="center"/>
          </w:tcPr>
          <w:p>
            <w:r>
              <w:rPr>
                <w:b w:val="false"/>
                <w:bCs w:val="false"/>
                <w:color w:val="111827"/>
                <w:sz w:val="18"/>
                <w:szCs w:val="18"/>
              </w:rPr>
              <w:t xml:space="preserve">Catatan aktivitas penting dalam sistem</w:t>
            </w:r>
          </w:p>
        </w:tc>
      </w:tr>
    </w:tbl>
    <w:p>
      <w:r>
        <w:br w:type="page"/>
      </w:r>
    </w:p>
    <w:p>
      <w:pPr>
        <w:pStyle w:val="Heading1"/>
        <w:spacing w:after="150" w:before="300"/>
      </w:pPr>
      <w:r>
        <w:t xml:space="preserve">8. Use Case Utama</w:t>
      </w:r>
    </w:p>
    <w:p>
      <w:pPr>
        <w:pStyle w:val="Heading2"/>
        <w:spacing w:after="120" w:before="240"/>
      </w:pPr>
      <w:r>
        <w:t xml:space="preserve">UC-01: Tenant Admin Menambahkan Domain Baru</w:t>
      </w:r>
    </w:p>
    <w:p>
      <w:pPr>
        <w:pStyle w:val="ListParagraph"/>
        <w:numPr>
          <w:ilvl w:val="0"/>
          <w:numId w:val="1"/>
        </w:numPr>
        <w:spacing w:after="80"/>
      </w:pPr>
      <w:r>
        <w:t xml:space="preserve">Aktor: Tenant Admin</w:t>
      </w:r>
    </w:p>
    <w:p>
      <w:pPr>
        <w:pStyle w:val="ListParagraph"/>
        <w:numPr>
          <w:ilvl w:val="0"/>
          <w:numId w:val="1"/>
        </w:numPr>
        <w:spacing w:after="80"/>
      </w:pPr>
      <w:r>
        <w:t xml:space="preserve">Trigger: Tenant Admin memilih 'Tambah Domain' pada dashboard</w:t>
      </w:r>
    </w:p>
    <w:p>
      <w:pPr>
        <w:pStyle w:val="ListParagraph"/>
        <w:numPr>
          <w:ilvl w:val="0"/>
          <w:numId w:val="1"/>
        </w:numPr>
        <w:spacing w:after="80"/>
      </w:pPr>
      <w:r>
        <w:t xml:space="preserve">Alur Utama: (1) Input nama domain → (2) Sistem generate TXT record verifikasi → (3) Tenant Admin menambahkan record ke DNS provider → (4) Sistem verifikasi otomatis → (5) Sistem generate rekomendasi MX/SPF/DKIM/DMARC → (6) Domain berstatus aktif</w:t>
      </w:r>
    </w:p>
    <w:p>
      <w:pPr>
        <w:pStyle w:val="ListParagraph"/>
        <w:numPr>
          <w:ilvl w:val="0"/>
          <w:numId w:val="1"/>
        </w:numPr>
        <w:spacing w:after="80"/>
      </w:pPr>
      <w:r>
        <w:t xml:space="preserve">Alur Alternatif: Jika verifikasi gagal dalam 24 jam, sistem mengirim notifikasi reminder</w:t>
      </w:r>
    </w:p>
    <w:p>
      <w:pPr>
        <w:pStyle w:val="Heading2"/>
        <w:spacing w:after="120" w:before="240"/>
      </w:pPr>
      <w:r>
        <w:t xml:space="preserve">UC-02: Pengguna Mengirim Email</w:t>
      </w:r>
    </w:p>
    <w:p>
      <w:pPr>
        <w:pStyle w:val="ListParagraph"/>
        <w:numPr>
          <w:ilvl w:val="0"/>
          <w:numId w:val="1"/>
        </w:numPr>
        <w:spacing w:after="80"/>
      </w:pPr>
      <w:r>
        <w:t xml:space="preserve">Aktor: End User</w:t>
      </w:r>
    </w:p>
    <w:p>
      <w:pPr>
        <w:pStyle w:val="ListParagraph"/>
        <w:numPr>
          <w:ilvl w:val="0"/>
          <w:numId w:val="1"/>
        </w:numPr>
        <w:spacing w:after="80"/>
      </w:pPr>
      <w:r>
        <w:t xml:space="preserve">Trigger: Pengguna menekan tombol 'Compose'</w:t>
      </w:r>
    </w:p>
    <w:p>
      <w:pPr>
        <w:pStyle w:val="ListParagraph"/>
        <w:numPr>
          <w:ilvl w:val="0"/>
          <w:numId w:val="1"/>
        </w:numPr>
        <w:spacing w:after="80"/>
      </w:pPr>
      <w:r>
        <w:t xml:space="preserve">Alur Utama: (1) Isi penerima, subjek, isi, lampiran → (2) Tekan kirim → (3) Sistem meneruskan ke mail engine (Postfix) → (4) Email di-relay dengan DKIM signing → (5) Status terkirim ditampilkan ke pengguna</w:t>
      </w:r>
    </w:p>
    <w:p>
      <w:pPr>
        <w:pStyle w:val="Heading2"/>
        <w:spacing w:after="120" w:before="240"/>
      </w:pPr>
      <w:r>
        <w:t xml:space="preserve">UC-03: Pengguna Membuat Automation Rule</w:t>
      </w:r>
    </w:p>
    <w:p>
      <w:pPr>
        <w:pStyle w:val="ListParagraph"/>
        <w:numPr>
          <w:ilvl w:val="0"/>
          <w:numId w:val="1"/>
        </w:numPr>
        <w:spacing w:after="80"/>
      </w:pPr>
      <w:r>
        <w:t xml:space="preserve">Aktor: End User</w:t>
      </w:r>
    </w:p>
    <w:p>
      <w:pPr>
        <w:pStyle w:val="ListParagraph"/>
        <w:numPr>
          <w:ilvl w:val="0"/>
          <w:numId w:val="1"/>
        </w:numPr>
        <w:spacing w:after="80"/>
      </w:pPr>
      <w:r>
        <w:t xml:space="preserve">Trigger: Pengguna membuka menu 'Automation Rules' → 'Buat Aturan Baru'</w:t>
      </w:r>
    </w:p>
    <w:p>
      <w:pPr>
        <w:pStyle w:val="ListParagraph"/>
        <w:numPr>
          <w:ilvl w:val="0"/>
          <w:numId w:val="1"/>
        </w:numPr>
        <w:spacing w:after="80"/>
      </w:pPr>
      <w:r>
        <w:t xml:space="preserve">Alur Utama: (1) Tentukan kondisi (mis. pengirim mengandung '@vendor.com') → (2) Tentukan aksi (mis. pindahkan ke folder 'Vendor') → (3) Simpan aturan → (4) Sistem menjalankan aturan pada setiap email masuk yang sesuai kondisi</w:t>
      </w:r>
    </w:p>
    <w:p>
      <w:r>
        <w:br w:type="page"/>
      </w:r>
    </w:p>
    <w:p>
      <w:pPr>
        <w:pStyle w:val="Heading1"/>
        <w:spacing w:after="150" w:before="300"/>
      </w:pPr>
      <w:r>
        <w:t xml:space="preserve">9. Lampiran</w:t>
      </w:r>
    </w:p>
    <w:p>
      <w:pPr>
        <w:pStyle w:val="Heading2"/>
        <w:spacing w:after="120" w:before="240"/>
      </w:pPr>
      <w:r>
        <w:t xml:space="preserve">9.1 Matriks Prioritas Fitur (Ringkasan)</w:t>
      </w:r>
    </w:p>
    <w:p>
      <w:pPr>
        <w:spacing w:after="160"/>
      </w:pPr>
      <w:r>
        <w:t xml:space="preserve">Wajib (Must Have): FR-01 s/d FR-10, FR-12, FR-15, FR-16, FR-17, FR-19, FR-20, FR-26</w:t>
      </w:r>
    </w:p>
    <w:p>
      <w:pPr>
        <w:spacing w:after="160"/>
      </w:pPr>
      <w:r>
        <w:t xml:space="preserve">Diinginkan (Should/Could Have): FR-11, FR-13, FR-14, FR-18, FR-21 s/d FR-25</w:t>
      </w:r>
    </w:p>
    <w:p>
      <w:pPr>
        <w:pStyle w:val="Heading2"/>
        <w:spacing w:after="120" w:before="240"/>
      </w:pPr>
      <w:r>
        <w:t xml:space="preserve">9.2 Dokumen Terkait</w:t>
      </w:r>
    </w:p>
    <w:p>
      <w:pPr>
        <w:pStyle w:val="ListParagraph"/>
        <w:numPr>
          <w:ilvl w:val="0"/>
          <w:numId w:val="1"/>
        </w:numPr>
        <w:spacing w:after="80"/>
      </w:pPr>
      <w:r>
        <w:t xml:space="preserve">Business Requirements Document (BRD) NusaMail v1.0</w:t>
      </w:r>
    </w:p>
    <w:p>
      <w:pPr>
        <w:pStyle w:val="ListParagraph"/>
        <w:numPr>
          <w:ilvl w:val="0"/>
          <w:numId w:val="1"/>
        </w:numPr>
        <w:spacing w:after="80"/>
      </w:pPr>
      <w:r>
        <w:t xml:space="preserve">UI/UX Design Specification (terpisah, mengikuti desain kustom internal)</w:t>
      </w:r>
    </w:p>
    <w:p>
      <w:pPr>
        <w:pStyle w:val="ListParagraph"/>
        <w:numPr>
          <w:ilvl w:val="0"/>
          <w:numId w:val="1"/>
        </w:numPr>
        <w:spacing w:after="80"/>
      </w:pPr>
      <w:r>
        <w:t xml:space="preserve">Deployment &amp; Infrastructure Guide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37a21e65229019aee20fb09db872d167564e240.png"/><Relationship Id="rId8" Type="http://schemas.openxmlformats.org/officeDocument/2006/relationships/image" Target="media/ba9557bb884bd3add4ff4d37f3e7aebd3df620c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2026-07-18T08:17:55.812Z</dcterms:created>
  <dcterms:modified xsi:type="dcterms:W3CDTF">2026-07-18T08:17:55.828Z</dcterms:modified>
</cp:coreProperties>
</file>

<file path=docProps/custom.xml><?xml version="1.0" encoding="utf-8"?>
<Properties xmlns="http://schemas.openxmlformats.org/officeDocument/2006/custom-properties" xmlns:vt="http://schemas.openxmlformats.org/officeDocument/2006/docPropsVTypes"/>
</file>