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GLOBAL AUTOMOTIVE SALES ANALYTICS</w:t>
      </w:r>
    </w:p>
    <w:p>
      <w:pPr>
        <w:spacing w:after="300"/>
      </w:pPr>
      <w:r>
        <w:rPr>
          <w:i/>
          <w:iCs/>
        </w:rPr>
        <w:t xml:space="preserve">Regional Performance, Model Economics &amp; EV Transition — 2018–2025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t xml:space="preserve">This report consolidates sales, revenue, pricing, unit-sales, and macroeconomic query outputs across four regions — Europe, USA, China, and Rest of World (RoW) — for eight vehicle models (X7, iX, X5, i4, 5 Series, X3, 3 Series, MINI) over 2018–2025.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China leads on total cumulative revenue (₹401.75B) and on average revenue per unit sold (₹8,147), narrowly ahead of RoW, USA, and Europe.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X7 is the standout model globally — it holds the #1 revenue rank in every single region and has the highest average selling price (₹745.9M avg) of any model.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Global yearly revenue grew steadily from ₹176.8B in 2018 to ₹215.6B in 2025, a ~22% increase over eight years, despite a broadly flat GDP growth backdrop (~2.9%–3.2%).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Battery-EV (BEV) mix has grown almost 10x, from 2% of the sales base in 2018 to 19% in 2025 — the single clearest structural trend in the data.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Fuel price index rose steadily from a baseline of 1.00 (2018) to 1.35 (2025), a plausible tailwind for EV adoption alongside flat GDP growth.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 — Underlying monthly unit sales are highly volatile: month-over-month swings of ±50%–300%+ are common across every region/model pair, meaning the smooth annual totals above mask substantial in-year noise (see Section 7).</w:t>
      </w:r>
    </w:p>
    <w:p>
      <w:pPr>
        <w:pStyle w:val="Heading1"/>
        <w:spacing w:after="150" w:before="300"/>
      </w:pPr>
      <w:r>
        <w:t xml:space="preserve">2. Regional Performance</w:t>
      </w:r>
    </w:p>
    <w:p>
      <w:pPr>
        <w:pStyle w:val="Heading2"/>
        <w:spacing w:after="120" w:before="250"/>
      </w:pPr>
      <w:r>
        <w:t xml:space="preserve">2.1 Total Revenue by Region (2018–2025 cumulative)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Revenue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China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₹401,755,020,483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of World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₹391,071,034,606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₹389,314,290,428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₹388,878,952,601</w:t>
            </w:r>
          </w:p>
        </w:tc>
      </w:tr>
    </w:tbl>
    <w:p>
      <w:pPr>
        <w:spacing w:after="160"/>
      </w:pPr>
      <w:r>
        <w:t xml:space="preserve">China is the top revenue region overall, though the gap across all four regions is narrow — within ~3% of each other — indicating a well-balanced global footprint rather than dependence on a single market.</w:t>
      </w:r>
    </w:p>
    <w:p>
      <w:pPr>
        <w:pStyle w:val="Heading2"/>
        <w:spacing w:after="120" w:before="250"/>
      </w:pPr>
      <w:r>
        <w:t xml:space="preserve">2.2 Average Price per Unit Sold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Avg. Price / Unit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China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₹8,147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of World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₹7,961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₹7,942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₹7,871</w:t>
            </w:r>
          </w:p>
        </w:tc>
      </w:tr>
    </w:tbl>
    <w:p>
      <w:pPr>
        <w:spacing w:after="160"/>
      </w:pPr>
      <w:r>
        <w:t xml:space="preserve">China customers pay the highest effective average price per unit, consistent with China also topping the average-price-times-revenue metric (₹523,118 vs. ₹506,352–509,207 for other regions).</w:t>
      </w:r>
    </w:p>
    <w:p>
      <w:pPr>
        <w:pStyle w:val="Heading2"/>
        <w:spacing w:after="120" w:before="250"/>
      </w:pPr>
      <w:r>
        <w:t xml:space="preserve">2.3 EV (BEV) Mix by Region</w:t>
      </w:r>
    </w:p>
    <w:p>
      <w:pPr>
        <w:spacing w:after="160"/>
      </w:pPr>
      <w:r>
        <w:t xml:space="preserve">Average BEV share is identical across all four regions at 0.11 (11%), suggesting EV adoption — measured on this average — is a global phenomenon rather than being led by any one region in this dataset.</w:t>
      </w:r>
    </w:p>
    <w:p>
      <w:pPr>
        <w:pStyle w:val="Heading1"/>
        <w:spacing w:after="150" w:before="300"/>
      </w:pPr>
      <w:r>
        <w:t xml:space="preserve">3. Model Performance</w:t>
      </w:r>
    </w:p>
    <w:p>
      <w:pPr>
        <w:pStyle w:val="Heading2"/>
        <w:spacing w:after="120" w:before="250"/>
      </w:pPr>
      <w:r>
        <w:t xml:space="preserve">3.1 Highest Revenue Model, Region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Top Model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₹75,462,807,776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 of World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₹72,196,819,533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China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₹70,182,159,101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₹68,586,070,304</w:t>
            </w:r>
          </w:p>
        </w:tc>
      </w:tr>
    </w:tbl>
    <w:p>
      <w:pPr>
        <w:spacing w:after="160"/>
      </w:pPr>
      <w:r>
        <w:t xml:space="preserve">The X7 is the #1 revenue-generating model in every region, led by Europe. This consistency signals strong, universal demand for the flagship model rather than a regional preference effect.</w:t>
      </w:r>
    </w:p>
    <w:p>
      <w:pPr>
        <w:pStyle w:val="Heading2"/>
        <w:spacing w:after="120" w:before="250"/>
      </w:pPr>
      <w:r>
        <w:t xml:space="preserve">3.2 Total Units Sold by Model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Units Sold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iX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3,136,912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3,125,687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3,112,074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3,085,134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Series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3,052,524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3,025,861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Series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3,006,048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2,971,205</w:t>
            </w:r>
          </w:p>
        </w:tc>
      </w:tr>
    </w:tbl>
    <w:p>
      <w:pPr>
        <w:spacing w:after="160"/>
      </w:pPr>
      <w:r>
        <w:t xml:space="preserve">Interestingly, unit volumes are led by the electric iX and i4 — not the X7 — even though the X7 generates the most revenue. This points to a classic volume-vs-value split: EVs move more units, while the X7 commands premium pricing.</w:t>
      </w:r>
    </w:p>
    <w:p>
      <w:pPr>
        <w:pStyle w:val="Heading2"/>
        <w:spacing w:after="120" w:before="250"/>
      </w:pPr>
      <w:r>
        <w:t xml:space="preserve">3.3 Average Price &amp; Volume by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Avg. Price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Units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₹745,905,877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3,112,074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iX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₹612,135,452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3,136,912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₹554,203,761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3,085,134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₹528,398,174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3,125,687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Series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₹492,166,908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3,052,524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X3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₹457,154,012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3,025,861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 Series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₹375,882,679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3,006,048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₹325,349,224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2,971,205</w:t>
            </w:r>
          </w:p>
        </w:tc>
      </w:tr>
    </w:tbl>
    <w:p>
      <w:pPr>
        <w:spacing w:after="160"/>
      </w:pPr>
      <w:r>
        <w:t xml:space="preserve">Average selling price scales almost perfectly with the model hierarchy (X7 &gt; iX &gt; X5 &gt; i4 &gt; 5 Series &gt; X3 &gt; 3 Series &gt; MINI), while unit sales are far more evenly distributed (2.97M–3.14M) — the portfolio is well-diversified by volume even though revenue concentrates in premium models.</w:t>
      </w:r>
    </w:p>
    <w:p>
      <w:pPr>
        <w:pStyle w:val="Heading1"/>
        <w:spacing w:after="150" w:before="300"/>
      </w:pPr>
      <w:r>
        <w:t xml:space="preserve">4. Time-Series Trends (2018–2025)</w:t>
      </w:r>
    </w:p>
    <w:p>
      <w:pPr>
        <w:pStyle w:val="Heading2"/>
        <w:spacing w:after="120" w:before="250"/>
      </w:pPr>
      <w:r>
        <w:t xml:space="preserve">4.1 Global Yearly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Yearly Revenue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₹176,775,218,399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₹176,552,428,685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2020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₹195,638,077,880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₹194,292,936,404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₹197,101,324,263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₹203,582,572,723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₹211,471,067,850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₹215,605,681,914</w:t>
            </w:r>
          </w:p>
        </w:tc>
      </w:tr>
    </w:tbl>
    <w:p>
      <w:pPr>
        <w:spacing w:after="160"/>
      </w:pPr>
      <w:r>
        <w:t xml:space="preserve">Revenue was essentially flat in 2018–2019, jumped in 2020 (+~11%), and has grown steadily every year since, closing 2025 about 22% above the 2018 baseline — a healthy, recovering, and compounding growth trajectory.</w:t>
      </w:r>
    </w:p>
    <w:p>
      <w:pPr>
        <w:pStyle w:val="Heading2"/>
        <w:spacing w:after="120" w:before="250"/>
      </w:pPr>
      <w:r>
        <w:t xml:space="preserve">4.2 EV (BEV) Share Growth by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468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Avg. BEV Share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0.02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0.04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2020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0.07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0.09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0.12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0.15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0.17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0.19</w:t>
            </w:r>
          </w:p>
        </w:tc>
      </w:tr>
    </w:tbl>
    <w:p>
      <w:pPr>
        <w:spacing w:after="160"/>
      </w:pPr>
      <w:r>
        <w:t xml:space="preserve">BEV mix has grown almost linearly and nearly 10-fold, from 2% in 2018 to 19% in 2025 — the clearest and most consistent trend in the whole dataset, implying EV share is on pace to approach 20-25% of the base within the next 1-2 years if the trend holds.</w:t>
      </w:r>
    </w:p>
    <w:p>
      <w:pPr>
        <w:pStyle w:val="Heading2"/>
        <w:spacing w:after="120" w:before="250"/>
      </w:pPr>
      <w:r>
        <w:t xml:space="preserve">4.3 Macroeconomic Backdrop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Avg. GDP Growth (%)</w:t>
            </w:r>
          </w:p>
        </w:tc>
        <w:tc>
          <w:tcPr>
            <w:tcW w:type="dxa" w:w="312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Fuel Price Index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3.20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2019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3.09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3.01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2.94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1.16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3.06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1.20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3.08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1.25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3.16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1.29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2025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2.92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1.35</w:t>
            </w:r>
          </w:p>
        </w:tc>
      </w:tr>
    </w:tbl>
    <w:p>
      <w:pPr>
        <w:spacing w:after="160"/>
      </w:pPr>
      <w:r>
        <w:t xml:space="preserve">GDP growth has stayed in a narrow 2.9%–3.2% band throughout the period — essentially flat — while the fuel price index has risen steadily by 35% since 2018. Rising fuel costs against flat GDP growth is a plausible structural driver behind the parallel rise in EV adoption and overall revenue growth (higher price points may partly reflect fuel-cost pass-through and an EV mix-shift toward higher-priced models like iX/i4).</w:t>
      </w:r>
    </w:p>
    <w:p>
      <w:pPr>
        <w:pStyle w:val="Heading1"/>
        <w:spacing w:after="150" w:before="300"/>
      </w:pPr>
      <w:r>
        <w:t xml:space="preserve">5. Key Insights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Revenue leadership is regional and narrow: China leads, but all four regions are within ~3% of each other on cumulative revenue — this is a globally balanced business, not one dependent on a single market.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Value vs. volume split: The X7 dominates revenue everywhere, but iX and i4 (EVs) lead unit volumes — premium ICE/luxury drives revenue, EVs drive scale.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EV transition is the strongest trend in the data: BEV share nearly 10x'd over 8 years (2% → 19%), consistently across all regions.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Growth resumed post-2019: after a flat 2018-19, revenue has grown every year since 2020, suggesting durable demand recovery and pricing power.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Rising fuel costs (+35% index since 2018) alongside flat GDP growth may be reinforcing the shift toward EV models and supporting average price growth.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 — Annual smoothness hides monthly noise: the granular monthly series (Section 7) is dominated by large, frequent swings, so the tidy year-over-year growth story in Section 4.1 should not be read as evidence of stable, predictable month-to-month demand.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Continue investing in the X7 line and premium halo models — they are the top revenue driver in every region without exception.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Scale EV production/inventory (iX, i4) further given their leading unit volumes and the accelerating BEV-mix trend; capacity constraints could cap growth if adoption continues at the current pace.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Monitor China closely as the highest-value, highest-revenue market — consider premium-tier and EV-focused campaigns there given the highest average price per unit.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 the fuel-index trend in pricing and marketing strategy — rising fuel costs are a tailwind for EV positioning and could be leveraged in regions with the fastest fuel-price increases.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Re-examine 2018–2019 stagnation vs. the post-2020 recovery to identify which levers (pricing, model mix, EV launches) drove the acceleration, and replicate them going forward.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 — Plan inventory and production off rolling 3-month or quarterly averages, not single-month actuals; given the scale of month-over-month swings shown in Section 7, single-month figures are a noisy basis for supply decisions.</w:t>
      </w:r>
    </w:p>
    <w:p>
      <w:pPr>
        <w:pStyle w:val="Heading1"/>
        <w:spacing w:after="150" w:before="300"/>
      </w:pPr>
      <w:r>
        <w:t xml:space="preserve">7. Monthly Volatility Analysis (Supplementary — Raw Monthly Sales Data)</w:t>
      </w:r>
    </w:p>
    <w:p>
      <w:pPr>
        <w:spacing w:after="160"/>
      </w:pPr>
      <w:r>
        <w:t xml:space="preserve">This section supplements the annual/regional rollups above with observations from the underlying region-model-month unit-sales dataset (2018–2025), which also tracks each month's units sold against the prior month and the resulting % change.</w:t>
      </w:r>
    </w:p>
    <w:p>
      <w:pPr>
        <w:pStyle w:val="Heading2"/>
        <w:spacing w:after="120" w:before="250"/>
      </w:pPr>
      <w:r>
        <w:t xml:space="preserve">7.1 Overview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Every region-model combination shows large month-over-month (MoM) swings throughout the full 2018–2025 window — increases and decreases in the roughly ±20% to ±300%+ range are common, not exceptional.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direction and timing of swings is not consistent across series: some region-model pairs peak in December and trough in January of the following year, while others peak or trough in different months — there is no single calendar pattern that holds globally.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This means the steady, low-single-digit-to-double-digit annual growth shown in Section 4.1 is a net effect of many large, partially offsetting monthly swings, rather than a reflection of smooth month-to-month demand.</w:t>
      </w:r>
    </w:p>
    <w:p>
      <w:pPr>
        <w:pStyle w:val="Heading2"/>
        <w:spacing w:after="120" w:before="250"/>
      </w:pPr>
      <w:r>
        <w:t xml:space="preserve">7.2 Illustrative Extreme Monthly Swings</w:t>
      </w:r>
    </w:p>
    <w:p>
      <w:pPr>
        <w:spacing w:after="160"/>
      </w:pPr>
      <w:r>
        <w:t xml:space="preserve">A few of the largest single-month moves observed in the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00"/>
        <w:gridCol w:w="1830"/>
        <w:gridCol w:w="1830"/>
      </w:tblGrid>
      <w:tr>
        <w:tc>
          <w:tcPr>
            <w:tcW w:type="dxa" w:w="22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Region / Model</w:t>
            </w:r>
          </w:p>
        </w:tc>
        <w:tc>
          <w:tcPr>
            <w:tcW w:type="dxa" w:w="16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1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Prior-Month Units</w:t>
            </w:r>
          </w:p>
        </w:tc>
        <w:tc>
          <w:tcPr>
            <w:tcW w:type="dxa" w:w="183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Units Sold</w:t>
            </w:r>
          </w:p>
        </w:tc>
        <w:tc>
          <w:tcPr>
            <w:tcW w:type="dxa" w:w="183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MoM Change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 / X3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Dec 2020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2,584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13,355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+416.83%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China / X7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Jun 2019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2,648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12,802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+383.46%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 / X5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Jun 2019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2,516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12,728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+405.88%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China / X7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 2025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15,448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3,000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-80.58%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 / X7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Jan 2023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13,906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2,761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-80.15%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Europe / MINI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 2019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13,286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2,583</w:t>
            </w:r>
          </w:p>
        </w:tc>
        <w:tc>
          <w:tcPr>
            <w:tcW w:type="dxa" w:w="1830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-80.56%</w:t>
            </w:r>
          </w:p>
        </w:tc>
      </w:tr>
    </w:tbl>
    <w:p>
      <w:pPr>
        <w:spacing w:after="160"/>
      </w:pPr>
      <w:r>
        <w:t xml:space="preserve">These are illustrative extremes rather than a full statistical ranking, but they are representative of the swing sizes that recur, in both directions, throughout the dataset for every region and model.</w:t>
      </w:r>
    </w:p>
    <w:p>
      <w:pPr>
        <w:pStyle w:val="Heading2"/>
        <w:spacing w:after="120" w:before="250"/>
      </w:pPr>
      <w:r>
        <w:t xml:space="preserve">7.3 Implications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Forecasting and inventory planning based on a single month's actuals (or a simple prior-month comparison) is likely to be unreliable; a trailing 3-month or quarterly average would smooth out much of this noise while still tracking the underlying trend.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Because swing direction/timing differs by region and model, any promotional or supply response to a single month's spike or drop should be validated against at least 2–3 months of data before being treated as a genuine shift in demand.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annual and regional conclusions in Sections 1–6 remain valid at the aggregate level; this section is intended to caution against over-interpreting any single month's figure in operational decisions.</w:t>
      </w:r>
    </w:p>
    <w:p>
      <w:pPr>
        <w:pBdr>
          <w:bottom w:val="single" w:color="999999" w:sz="6" w:space="1"/>
        </w:pBdr>
        <w:spacing w:after="200"/>
      </w:pPr>
    </w:p>
    <w:p>
      <w:r>
        <w:rPr>
          <w:i/>
          <w:iCs/>
        </w:rPr>
        <w:t xml:space="preserve">Prepared from region/model sales, revenue, pricing, EV-mix, and macroeconomic query outputs, 2018–2025, supplemented with monthly region-model unit-sales and month-over-month change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2026-07-06T09:56:42.470Z</dcterms:created>
  <dcterms:modified xsi:type="dcterms:W3CDTF">2026-07-06T09:56:42.471Z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