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4E79"/>
          <w:sz w:val="52"/>
          <w:szCs w:val="52"/>
        </w:rPr>
        <w:t xml:space="preserve">FC Analytics United</w:t>
      </w:r>
    </w:p>
    <w:p>
      <w:pPr>
        <w:spacing w:after="60" w:before="0"/>
      </w:pPr>
      <w:r>
        <w:rPr>
          <w:rFonts w:ascii="Calibri" w:cs="Calibri" w:eastAsia="Calibri" w:hAnsi="Calibri"/>
          <w:b/>
          <w:bCs/>
          <w:color w:val="2E75B6"/>
          <w:sz w:val="28"/>
          <w:szCs w:val="28"/>
        </w:rPr>
        <w:t xml:space="preserve">Press Intelligence Module — What We're Actually Building</w:t>
      </w:r>
    </w:p>
    <w:p>
      <w:pPr>
        <w:pBdr>
          <w:bottom w:val="single" w:color="2E75B6" w:sz="12" w:space="4"/>
        </w:pBdr>
        <w:spacing w:after="200" w:before="0"/>
      </w:pPr>
      <w:r>
        <w:rPr>
          <w:rFonts w:ascii="Calibri" w:cs="Calibri" w:eastAsia="Calibri" w:hAnsi="Calibri"/>
          <w:color w:val="888888"/>
          <w:sz w:val="18"/>
          <w:szCs w:val="18"/>
        </w:rPr>
        <w:t xml:space="preserve">MIS41500 Sports &amp; Performance Analytics  |  Group Assignment  |  Head Coach Stakeholder</w:t>
      </w:r>
    </w:p>
    <w:p>
      <w:pPr>
        <w:spacing w:after="0" w:before="200"/>
      </w:pPr>
    </w:p>
    <w:p>
      <w:pPr>
        <w:spacing w:after="120" w:before="100" w:line="280"/>
      </w:pPr>
      <w:r>
        <w:rPr>
          <w:rFonts w:ascii="Calibri" w:cs="Calibri" w:eastAsia="Calibri" w:hAnsi="Calibri"/>
          <w:b w:val="false"/>
          <w:bCs w:val="false"/>
          <w:i w:val="false"/>
          <w:iCs w:val="false"/>
          <w:color w:val="111111"/>
          <w:sz w:val="20"/>
          <w:szCs w:val="20"/>
        </w:rPr>
        <w:t xml:space="preserve">Most football clubs have match data. What they don't have is a tool that tells a coach, during or after a match, exactly when their press stopped working — and when the opponent's did. Analysts feel these things. Coaches feel them. Formalising that feeling into a number, with a clear threshold and a visual that needs no explanation, is what this module is for.</w:t>
      </w:r>
    </w:p>
    <w:p>
      <w:pPr>
        <w:spacing w:after="120" w:before="100" w:line="280"/>
      </w:pPr>
      <w:r>
        <w:rPr>
          <w:rFonts w:ascii="Calibri" w:cs="Calibri" w:eastAsia="Calibri" w:hAnsi="Calibri"/>
          <w:b w:val="false"/>
          <w:bCs w:val="false"/>
          <w:i w:val="false"/>
          <w:iCs w:val="false"/>
          <w:color w:val="111111"/>
          <w:sz w:val="20"/>
          <w:szCs w:val="20"/>
        </w:rPr>
        <w:t xml:space="preserve">This document describes what will be built: the data source, the core metric, the visualisations, and the four additional features. It also covers how a head coach would actually use it, what the analyst gains from working with it, and why it can keep running after the assignment ends.</w:t>
      </w:r>
    </w:p>
    <w:p>
      <w:pPr>
        <w:spacing w:after="0" w:before="160"/>
      </w:pPr>
    </w:p>
    <w:p>
      <w:pPr>
        <w:pBdr>
          <w:bottom w:val="single" w:color="2E75B6" w:sz="8" w:space="4"/>
        </w:pBdr>
        <w:spacing w:after="80" w:before="340"/>
      </w:pPr>
      <w:r>
        <w:rPr>
          <w:rFonts w:ascii="Calibri" w:cs="Calibri" w:eastAsia="Calibri" w:hAnsi="Calibri"/>
          <w:b/>
          <w:bCs/>
          <w:color w:val="1F4E79"/>
          <w:sz w:val="26"/>
          <w:szCs w:val="26"/>
        </w:rPr>
        <w:t xml:space="preserve">WHAT WE'RE BUILDING</w:t>
      </w:r>
    </w:p>
    <w:p>
      <w:pPr>
        <w:spacing w:after="120" w:before="100" w:line="280"/>
      </w:pPr>
      <w:r>
        <w:rPr>
          <w:rFonts w:ascii="Calibri" w:cs="Calibri" w:eastAsia="Calibri" w:hAnsi="Calibri"/>
          <w:b w:val="false"/>
          <w:bCs w:val="false"/>
          <w:i w:val="false"/>
          <w:iCs w:val="false"/>
          <w:color w:val="111111"/>
          <w:sz w:val="20"/>
          <w:szCs w:val="20"/>
        </w:rPr>
        <w:t xml:space="preserve">The Press Intelligence module is one section of the FC Analytics United Streamlit dashboard (our MIS41500 group assignment). It sits inside the Match Analysis page and is aimed at the head coach — or more accurately, at the analyst who prepares the briefing for the coach.</w:t>
      </w:r>
    </w:p>
    <w:p>
      <w:pPr>
        <w:spacing w:after="120" w:before="100" w:line="280"/>
      </w:pPr>
      <w:r>
        <w:rPr>
          <w:rFonts w:ascii="Calibri" w:cs="Calibri" w:eastAsia="Calibri" w:hAnsi="Calibri"/>
          <w:b w:val="false"/>
          <w:bCs w:val="false"/>
          <w:i w:val="false"/>
          <w:iCs w:val="false"/>
          <w:color w:val="111111"/>
          <w:sz w:val="20"/>
          <w:szCs w:val="20"/>
        </w:rPr>
        <w:t xml:space="preserve">The broader aim of the whole platform is to give clubs a single place where performance data, load monitoring, and match intelligence sit together. Press Intelligence is the piece that makes match decisions concrete. Rather than generating a general stats summary after the game, it answers two specific questions: (1) when did our press break down, and (2) when did the opponent become vulnerable?</w:t>
      </w:r>
    </w:p>
    <w:p>
      <w:pPr>
        <w:spacing w:after="120" w:before="100" w:line="280"/>
      </w:pPr>
      <w:r>
        <w:rPr>
          <w:rFonts w:ascii="Calibri" w:cs="Calibri" w:eastAsia="Calibri" w:hAnsi="Calibri"/>
          <w:b w:val="false"/>
          <w:bCs w:val="false"/>
          <w:i w:val="false"/>
          <w:iCs w:val="false"/>
          <w:color w:val="111111"/>
          <w:sz w:val="20"/>
          <w:szCs w:val="20"/>
        </w:rPr>
        <w:t xml:space="preserve">We are using StatsBomb open event data — specifically the La Liga 2015/16 season, which contains 380 matches and complete pressure event records. No GPS hardware required, no proprietary feeds. Everything in this module runs off publicly available match events.</w:t>
      </w:r>
    </w:p>
    <w:p>
      <w:pPr>
        <w:spacing w:after="0" w:before="160"/>
      </w:pPr>
    </w:p>
    <w:p>
      <w:pPr>
        <w:pBdr>
          <w:bottom w:val="single" w:color="2E75B6" w:sz="8" w:space="4"/>
        </w:pBdr>
        <w:spacing w:after="80" w:before="340"/>
      </w:pPr>
      <w:r>
        <w:rPr>
          <w:rFonts w:ascii="Calibri" w:cs="Calibri" w:eastAsia="Calibri" w:hAnsi="Calibri"/>
          <w:b/>
          <w:bCs/>
          <w:color w:val="1F4E79"/>
          <w:sz w:val="26"/>
          <w:szCs w:val="26"/>
        </w:rPr>
        <w:t xml:space="preserve">THE CORE METRIC: PPDA</w:t>
      </w:r>
    </w:p>
    <w:p>
      <w:pPr>
        <w:spacing w:after="120" w:before="100" w:line="280"/>
      </w:pPr>
      <w:r>
        <w:rPr>
          <w:rFonts w:ascii="Calibri" w:cs="Calibri" w:eastAsia="Calibri" w:hAnsi="Calibri"/>
          <w:b w:val="false"/>
          <w:bCs w:val="false"/>
          <w:i w:val="false"/>
          <w:iCs w:val="false"/>
          <w:color w:val="111111"/>
          <w:sz w:val="20"/>
          <w:szCs w:val="20"/>
        </w:rPr>
        <w:t xml:space="preserve">PPDA stands for Passes Allowed Per Defensive Action. A low PPDA means the team is pressing well and winning the ball back quickly. A high PPDA means the opponent is playing through the press without much resistance.</w:t>
      </w:r>
    </w:p>
    <w:p>
      <w:pPr>
        <w:spacing w:after="120" w:before="100" w:line="280"/>
      </w:pPr>
      <w:r>
        <w:rPr>
          <w:rFonts w:ascii="Calibri" w:cs="Calibri" w:eastAsia="Calibri" w:hAnsi="Calibri"/>
          <w:b w:val="false"/>
          <w:bCs w:val="false"/>
          <w:i w:val="false"/>
          <w:iCs w:val="false"/>
          <w:color w:val="111111"/>
          <w:sz w:val="20"/>
          <w:szCs w:val="20"/>
        </w:rPr>
        <w:t xml:space="preserve">We calculate PPDA in rolling 10-minute windows across the full 90 minutes, giving nine data points per match. The threshold is 10.0 — when PPDA goes above that, the press has broken. That is not an arbitrary number; it is the threshold analysts use to distinguish an active high press from a mid-block. At 10.0, the opponent completes 10 passes for every defensive action the pressing team takes. In practice the press has already disorganised by that point.</w:t>
      </w:r>
    </w:p>
    <w:p>
      <w:pPr>
        <w:spacing w:after="120" w:before="100" w:line="280"/>
      </w:pPr>
      <w:r>
        <w:rPr>
          <w:rFonts w:ascii="Calibri" w:cs="Calibri" w:eastAsia="Calibri" w:hAnsi="Calibri"/>
          <w:b w:val="false"/>
          <w:bCs w:val="false"/>
          <w:i w:val="false"/>
          <w:iCs w:val="false"/>
          <w:color w:val="111111"/>
          <w:sz w:val="20"/>
          <w:szCs w:val="20"/>
        </w:rPr>
        <w:t xml:space="preserve">The main chart shows nine bars, one per 10-minute window. Bars below 10.0 are teal (press is working). Bars above 10.0 are red (press has broken). A dashed red line sits at 10.0. The coach does not need to read the numbers to understand the slide.</w:t>
      </w:r>
    </w:p>
    <w:p>
      <w:pPr>
        <w:spacing w:after="0" w:before="160"/>
      </w:pPr>
    </w:p>
    <w:p>
      <w:pPr>
        <w:pBdr>
          <w:bottom w:val="single" w:color="2E75B6" w:sz="8" w:space="4"/>
        </w:pBdr>
        <w:spacing w:after="80" w:before="340"/>
      </w:pPr>
      <w:r>
        <w:rPr>
          <w:rFonts w:ascii="Calibri" w:cs="Calibri" w:eastAsia="Calibri" w:hAnsi="Calibri"/>
          <w:b/>
          <w:bCs/>
          <w:color w:val="1F4E79"/>
          <w:sz w:val="26"/>
          <w:szCs w:val="26"/>
        </w:rPr>
        <w:t xml:space="preserve">OPPONENT PRESS COLLAPSE PATTERNS</w:t>
      </w:r>
    </w:p>
    <w:p>
      <w:pPr>
        <w:spacing w:after="120" w:before="100" w:line="280"/>
      </w:pPr>
      <w:r>
        <w:rPr>
          <w:rFonts w:ascii="Calibri" w:cs="Calibri" w:eastAsia="Calibri" w:hAnsi="Calibri"/>
          <w:b w:val="false"/>
          <w:bCs w:val="false"/>
          <w:i w:val="false"/>
          <w:iCs w:val="false"/>
          <w:color w:val="111111"/>
          <w:sz w:val="20"/>
          <w:szCs w:val="20"/>
        </w:rPr>
        <w:t xml:space="preserve">The same PPDA calculation runs on the opponent. When their PPDA rises above 10.0, their press is breaking down — which means space is opening up. We shade those windows in amber on a second chart. Amber means exploit: this is the period where pushing tempo makes sense.</w:t>
      </w:r>
    </w:p>
    <w:p>
      <w:pPr>
        <w:spacing w:after="120" w:before="100" w:line="280"/>
      </w:pPr>
      <w:r>
        <w:rPr>
          <w:rFonts w:ascii="Calibri" w:cs="Calibri" w:eastAsia="Calibri" w:hAnsi="Calibri"/>
          <w:b w:val="false"/>
          <w:bCs w:val="false"/>
          <w:i w:val="false"/>
          <w:iCs w:val="false"/>
          <w:color w:val="111111"/>
          <w:sz w:val="20"/>
          <w:szCs w:val="20"/>
        </w:rPr>
        <w:t xml:space="preserve">Both charts appear side by side: our PPDA trend on the left, theirs on the right. If our press is holding (teal) while theirs is collapsing (amber), that is the window to push. If both are breaking down, both teams are sitting in mid-blocks. The coach reads this in about five seconds.</w:t>
      </w:r>
    </w:p>
    <w:p>
      <w:pPr>
        <w:spacing w:after="120" w:before="100" w:line="280"/>
      </w:pPr>
      <w:r>
        <w:rPr>
          <w:rFonts w:ascii="Calibri" w:cs="Calibri" w:eastAsia="Calibri" w:hAnsi="Calibri"/>
          <w:b w:val="false"/>
          <w:bCs w:val="false"/>
          <w:i w:val="false"/>
          <w:iCs w:val="false"/>
          <w:color w:val="111111"/>
          <w:sz w:val="20"/>
          <w:szCs w:val="20"/>
        </w:rPr>
        <w:t xml:space="preserve">We also pull opponent press history from prior StatsBomb matches. If a team consistently has a collapsing PPDA in the 60-75 minute window across their last five games, that pattern shows up in the Head-to-Head Press History feature described below. Pre-match, not just post-match.</w:t>
      </w:r>
    </w:p>
    <w:p>
      <w:pPr>
        <w:spacing w:after="0" w:before="160"/>
      </w:pPr>
    </w:p>
    <w:p>
      <w:pPr>
        <w:pBdr>
          <w:bottom w:val="single" w:color="2E75B6" w:sz="8" w:space="4"/>
        </w:pBdr>
        <w:spacing w:after="80" w:before="340"/>
      </w:pPr>
      <w:r>
        <w:rPr>
          <w:rFonts w:ascii="Calibri" w:cs="Calibri" w:eastAsia="Calibri" w:hAnsi="Calibri"/>
          <w:b/>
          <w:bCs/>
          <w:color w:val="1F4E79"/>
          <w:sz w:val="26"/>
          <w:szCs w:val="26"/>
        </w:rPr>
        <w:t xml:space="preserve">ADDITIONAL FEATURES</w:t>
      </w:r>
    </w:p>
    <w:p>
      <w:pPr>
        <w:spacing w:after="120" w:before="100" w:line="280"/>
      </w:pPr>
      <w:r>
        <w:rPr>
          <w:rFonts w:ascii="Calibri" w:cs="Calibri" w:eastAsia="Calibri" w:hAnsi="Calibri"/>
          <w:b w:val="false"/>
          <w:bCs w:val="false"/>
          <w:i w:val="false"/>
          <w:iCs w:val="false"/>
          <w:color w:val="111111"/>
          <w:sz w:val="20"/>
          <w:szCs w:val="20"/>
        </w:rPr>
        <w:t xml:space="preserve">Four views extend the core press collapse analysis. All of them give the coach information and leave the decision with the coach.</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0DCEE" w:sz="1"/>
              <w:left w:val="single" w:color="D0DCEE" w:sz="1"/>
              <w:bottom w:val="single" w:color="D0DCEE" w:sz="1"/>
              <w:right w:val="single" w:color="D0DCEE" w:sz="1"/>
            </w:tcBorders>
            <w:shd w:fill="F0F5FB" w:val="clear"/>
            <w:tcMar>
              <w:top w:type="dxa" w:w="100"/>
              <w:left w:type="dxa" w:w="160"/>
              <w:bottom w:type="dxa" w:w="100"/>
              <w:right w:type="dxa" w:w="120"/>
            </w:tcMar>
          </w:tcPr>
          <w:p>
            <w:r>
              <w:rPr>
                <w:rFonts w:ascii="Calibri" w:cs="Calibri" w:eastAsia="Calibri" w:hAnsi="Calibri"/>
                <w:b/>
                <w:bCs/>
                <w:color w:val="1F4E79"/>
                <w:sz w:val="19"/>
                <w:szCs w:val="19"/>
              </w:rPr>
              <w:t xml:space="preserve">Substitution Impact Simulator</w:t>
            </w:r>
          </w:p>
        </w:tc>
        <w:tc>
          <w:tcPr>
            <w:tcW w:type="dxa" w:w="6626"/>
            <w:tcBorders>
              <w:top w:val="single" w:color="D0DCEE" w:sz="1"/>
              <w:left w:val="single" w:color="D0DCEE" w:sz="1"/>
              <w:bottom w:val="single" w:color="D0DCEE" w:sz="1"/>
              <w:right w:val="single" w:color="D0DCEE" w:sz="1"/>
            </w:tcBorders>
            <w:tcMar>
              <w:top w:type="dxa" w:w="100"/>
              <w:left w:type="dxa" w:w="160"/>
              <w:bottom w:type="dxa" w:w="100"/>
              <w:right w:type="dxa" w:w="160"/>
            </w:tcMar>
          </w:tcPr>
          <w:p>
            <w:r>
              <w:rPr>
                <w:rFonts w:ascii="Calibri" w:cs="Calibri" w:eastAsia="Calibri" w:hAnsi="Calibri"/>
                <w:color w:val="111111"/>
                <w:sz w:val="19"/>
                <w:szCs w:val="19"/>
              </w:rPr>
              <w:t xml:space="preserve">Compares two scenarios side by side: Player A vs Player B coming on at the current match minute. Each player's press intensity score pulls from their StatsBomb history — their average PPDA effect in the last 20 minutes they have played. The coach picks. The tool does not recommend.</w:t>
            </w:r>
          </w:p>
        </w:tc>
      </w:tr>
      <w:tr>
        <w:tc>
          <w:tcPr>
            <w:tcW w:type="dxa" w:w="2400"/>
            <w:tcBorders>
              <w:top w:val="single" w:color="D0DCEE" w:sz="1"/>
              <w:left w:val="single" w:color="D0DCEE" w:sz="1"/>
              <w:bottom w:val="single" w:color="D0DCEE" w:sz="1"/>
              <w:right w:val="single" w:color="D0DCEE" w:sz="1"/>
            </w:tcBorders>
            <w:shd w:fill="F0F5FB" w:val="clear"/>
            <w:tcMar>
              <w:top w:type="dxa" w:w="100"/>
              <w:left w:type="dxa" w:w="160"/>
              <w:bottom w:type="dxa" w:w="100"/>
              <w:right w:type="dxa" w:w="120"/>
            </w:tcMar>
          </w:tcPr>
          <w:p>
            <w:r>
              <w:rPr>
                <w:rFonts w:ascii="Calibri" w:cs="Calibri" w:eastAsia="Calibri" w:hAnsi="Calibri"/>
                <w:b/>
                <w:bCs/>
                <w:color w:val="1F4E79"/>
                <w:sz w:val="19"/>
                <w:szCs w:val="19"/>
              </w:rPr>
              <w:t xml:space="preserve">Press Heatmap Trio</w:t>
            </w:r>
          </w:p>
        </w:tc>
        <w:tc>
          <w:tcPr>
            <w:tcW w:type="dxa" w:w="6626"/>
            <w:tcBorders>
              <w:top w:val="single" w:color="D0DCEE" w:sz="1"/>
              <w:left w:val="single" w:color="D0DCEE" w:sz="1"/>
              <w:bottom w:val="single" w:color="D0DCEE" w:sz="1"/>
              <w:right w:val="single" w:color="D0DCEE" w:sz="1"/>
            </w:tcBorders>
            <w:tcMar>
              <w:top w:type="dxa" w:w="100"/>
              <w:left w:type="dxa" w:w="160"/>
              <w:bottom w:type="dxa" w:w="100"/>
              <w:right w:type="dxa" w:w="160"/>
            </w:tcMar>
          </w:tcPr>
          <w:p>
            <w:r>
              <w:rPr>
                <w:rFonts w:ascii="Calibri" w:cs="Calibri" w:eastAsia="Calibri" w:hAnsi="Calibri"/>
                <w:color w:val="111111"/>
                <w:sz w:val="19"/>
                <w:szCs w:val="19"/>
              </w:rPr>
              <w:t xml:space="preserve">Shows three pitch zones (defensive third, middle third, final third) and where defensive actions clustered across the match. If the defensive actions drift backward over 10-minute windows, the press has stopped winning the ball high. This is visible pattern, not just a number.</w:t>
            </w:r>
          </w:p>
        </w:tc>
      </w:tr>
      <w:tr>
        <w:tc>
          <w:tcPr>
            <w:tcW w:type="dxa" w:w="2400"/>
            <w:tcBorders>
              <w:top w:val="single" w:color="D0DCEE" w:sz="1"/>
              <w:left w:val="single" w:color="D0DCEE" w:sz="1"/>
              <w:bottom w:val="single" w:color="D0DCEE" w:sz="1"/>
              <w:right w:val="single" w:color="D0DCEE" w:sz="1"/>
            </w:tcBorders>
            <w:shd w:fill="F0F5FB" w:val="clear"/>
            <w:tcMar>
              <w:top w:type="dxa" w:w="100"/>
              <w:left w:type="dxa" w:w="160"/>
              <w:bottom w:type="dxa" w:w="100"/>
              <w:right w:type="dxa" w:w="120"/>
            </w:tcMar>
          </w:tcPr>
          <w:p>
            <w:r>
              <w:rPr>
                <w:rFonts w:ascii="Calibri" w:cs="Calibri" w:eastAsia="Calibri" w:hAnsi="Calibri"/>
                <w:b/>
                <w:bCs/>
                <w:color w:val="1F4E79"/>
                <w:sz w:val="19"/>
                <w:szCs w:val="19"/>
              </w:rPr>
              <w:t xml:space="preserve">Head-to-Head Press History</w:t>
            </w:r>
          </w:p>
        </w:tc>
        <w:tc>
          <w:tcPr>
            <w:tcW w:type="dxa" w:w="6626"/>
            <w:tcBorders>
              <w:top w:val="single" w:color="D0DCEE" w:sz="1"/>
              <w:left w:val="single" w:color="D0DCEE" w:sz="1"/>
              <w:bottom w:val="single" w:color="D0DCEE" w:sz="1"/>
              <w:right w:val="single" w:color="D0DCEE" w:sz="1"/>
            </w:tcBorders>
            <w:tcMar>
              <w:top w:type="dxa" w:w="100"/>
              <w:left w:type="dxa" w:w="160"/>
              <w:bottom w:type="dxa" w:w="100"/>
              <w:right w:type="dxa" w:w="160"/>
            </w:tcMar>
          </w:tcPr>
          <w:p>
            <w:r>
              <w:rPr>
                <w:rFonts w:ascii="Calibri" w:cs="Calibri" w:eastAsia="Calibri" w:hAnsi="Calibri"/>
                <w:color w:val="111111"/>
                <w:sz w:val="19"/>
                <w:szCs w:val="19"/>
              </w:rPr>
              <w:t xml:space="preserve">Pulls prior matches between these two teams from StatsBomb data and shows PPDA trends across them. If the opponent reliably cracks in the final 20 minutes, the historical pattern is there. Useful for pre-match briefings.</w:t>
            </w:r>
          </w:p>
        </w:tc>
      </w:tr>
      <w:tr>
        <w:tc>
          <w:tcPr>
            <w:tcW w:type="dxa" w:w="2400"/>
            <w:tcBorders>
              <w:top w:val="single" w:color="D0DCEE" w:sz="1"/>
              <w:left w:val="single" w:color="D0DCEE" w:sz="1"/>
              <w:bottom w:val="single" w:color="D0DCEE" w:sz="1"/>
              <w:right w:val="single" w:color="D0DCEE" w:sz="1"/>
            </w:tcBorders>
            <w:shd w:fill="F0F5FB" w:val="clear"/>
            <w:tcMar>
              <w:top w:type="dxa" w:w="100"/>
              <w:left w:type="dxa" w:w="160"/>
              <w:bottom w:type="dxa" w:w="100"/>
              <w:right w:type="dxa" w:w="120"/>
            </w:tcMar>
          </w:tcPr>
          <w:p>
            <w:r>
              <w:rPr>
                <w:rFonts w:ascii="Calibri" w:cs="Calibri" w:eastAsia="Calibri" w:hAnsi="Calibri"/>
                <w:b/>
                <w:bCs/>
                <w:color w:val="1F4E79"/>
                <w:sz w:val="19"/>
                <w:szCs w:val="19"/>
              </w:rPr>
              <w:t xml:space="preserve">Match Momentum Index</w:t>
            </w:r>
          </w:p>
        </w:tc>
        <w:tc>
          <w:tcPr>
            <w:tcW w:type="dxa" w:w="6626"/>
            <w:tcBorders>
              <w:top w:val="single" w:color="D0DCEE" w:sz="1"/>
              <w:left w:val="single" w:color="D0DCEE" w:sz="1"/>
              <w:bottom w:val="single" w:color="D0DCEE" w:sz="1"/>
              <w:right w:val="single" w:color="D0DCEE" w:sz="1"/>
            </w:tcBorders>
            <w:tcMar>
              <w:top w:type="dxa" w:w="100"/>
              <w:left w:type="dxa" w:w="160"/>
              <w:bottom w:type="dxa" w:w="100"/>
              <w:right w:type="dxa" w:w="160"/>
            </w:tcMar>
          </w:tcPr>
          <w:p>
            <w:r>
              <w:rPr>
                <w:rFonts w:ascii="Calibri" w:cs="Calibri" w:eastAsia="Calibri" w:hAnsi="Calibri"/>
                <w:color w:val="111111"/>
                <w:sz w:val="19"/>
                <w:szCs w:val="19"/>
              </w:rPr>
              <w:t xml:space="preserve">A single positive or negative score per 10-minute window, combining PPDA trend direction with Defensive Shape Depth (the average pitch height of all defensive actions). If both metrics are trending the wrong way, the index turns red. It is a summary, not a primary analysis — the coach should always look at the underlying charts, not just the index.</w:t>
            </w:r>
          </w:p>
        </w:tc>
      </w:tr>
    </w:tbl>
    <w:p>
      <w:pPr>
        <w:spacing w:after="0" w:before="160"/>
      </w:pPr>
    </w:p>
    <w:p>
      <w:pPr>
        <w:pBdr>
          <w:bottom w:val="single" w:color="2E75B6" w:sz="8" w:space="4"/>
        </w:pBdr>
        <w:spacing w:after="80" w:before="340"/>
      </w:pPr>
      <w:r>
        <w:rPr>
          <w:rFonts w:ascii="Calibri" w:cs="Calibri" w:eastAsia="Calibri" w:hAnsi="Calibri"/>
          <w:b/>
          <w:bCs/>
          <w:color w:val="1F4E79"/>
          <w:sz w:val="26"/>
          <w:szCs w:val="26"/>
        </w:rPr>
        <w:t xml:space="preserve">THE CONTEXT LAYER</w:t>
      </w:r>
    </w:p>
    <w:p>
      <w:pPr>
        <w:spacing w:after="120" w:before="100" w:line="280"/>
      </w:pPr>
      <w:r>
        <w:rPr>
          <w:rFonts w:ascii="Calibri" w:cs="Calibri" w:eastAsia="Calibri" w:hAnsi="Calibri"/>
          <w:b w:val="false"/>
          <w:bCs w:val="false"/>
          <w:i w:val="false"/>
          <w:iCs w:val="false"/>
          <w:color w:val="111111"/>
          <w:sz w:val="20"/>
          <w:szCs w:val="20"/>
        </w:rPr>
        <w:t xml:space="preserve">Three supporting metrics run alongside the main press analysis. These are not separate analytics modules — they are explanatory context for the PPDA numbers.</w:t>
      </w:r>
    </w:p>
    <w:p>
      <w:pPr>
        <w:spacing w:after="120" w:before="100" w:line="280"/>
      </w:pPr>
      <w:r>
        <w:rPr>
          <w:rFonts w:ascii="Calibri" w:cs="Calibri" w:eastAsia="Calibri" w:hAnsi="Calibri"/>
          <w:b w:val="false"/>
          <w:bCs w:val="false"/>
          <w:i w:val="false"/>
          <w:iCs w:val="false"/>
          <w:color w:val="111111"/>
          <w:sz w:val="20"/>
          <w:szCs w:val="20"/>
        </w:rPr>
        <w:t xml:space="preserve">Possession by Period shows ball share per 10-minute window. This matters because a press can look broken simply because your team had the ball for most of that period. Without this, a high PPDA in the 30-40 minute window might look alarming when it just means you were dominating possession.</w:t>
      </w:r>
    </w:p>
    <w:p>
      <w:pPr>
        <w:spacing w:after="120" w:before="100" w:line="280"/>
      </w:pPr>
      <w:r>
        <w:rPr>
          <w:rFonts w:ascii="Calibri" w:cs="Calibri" w:eastAsia="Calibri" w:hAnsi="Calibri"/>
          <w:b w:val="false"/>
          <w:bCs w:val="false"/>
          <w:i w:val="false"/>
          <w:iCs w:val="false"/>
          <w:color w:val="111111"/>
          <w:sz w:val="20"/>
          <w:szCs w:val="20"/>
        </w:rPr>
        <w:t xml:space="preserve">Pressing Success Rate shows what percentage of press attempts led to a turnover. PPDA tells you how often the opponent is passing through the press. This tells you how often the press actually worked when it was triggered.</w:t>
      </w:r>
    </w:p>
    <w:p>
      <w:pPr>
        <w:spacing w:after="120" w:before="100" w:line="280"/>
      </w:pPr>
      <w:r>
        <w:rPr>
          <w:rFonts w:ascii="Calibri" w:cs="Calibri" w:eastAsia="Calibri" w:hAnsi="Calibri"/>
          <w:b w:val="false"/>
          <w:bCs w:val="false"/>
          <w:i w:val="false"/>
          <w:iCs w:val="false"/>
          <w:color w:val="111111"/>
          <w:sz w:val="20"/>
          <w:szCs w:val="20"/>
        </w:rPr>
        <w:t xml:space="preserve">Defensive Territory Depth shows the average pitch height of defensive actions per window. A dropping depth number means the defensive line has retreated, which usually precedes a PPDA rise. It is the early warning signal in the context layer.</w:t>
      </w:r>
    </w:p>
    <w:p>
      <w:pPr>
        <w:spacing w:after="120" w:before="100" w:line="280"/>
      </w:pPr>
      <w:r>
        <w:rPr>
          <w:rFonts w:ascii="Calibri" w:cs="Calibri" w:eastAsia="Calibri" w:hAnsi="Calibri"/>
          <w:b w:val="false"/>
          <w:bCs w:val="false"/>
          <w:i w:val="false"/>
          <w:iCs w:val="false"/>
          <w:color w:val="111111"/>
          <w:sz w:val="20"/>
          <w:szCs w:val="20"/>
        </w:rPr>
        <w:t xml:space="preserve">None of these three replace the press signal. They answer the follow-up question: why is the PPDA doing that?</w:t>
      </w:r>
    </w:p>
    <w:p>
      <w:pPr>
        <w:spacing w:after="0" w:before="160"/>
      </w:pPr>
    </w:p>
    <w:p>
      <w:pPr>
        <w:pBdr>
          <w:bottom w:val="single" w:color="2E75B6" w:sz="8" w:space="4"/>
        </w:pBdr>
        <w:spacing w:after="80" w:before="340"/>
      </w:pPr>
      <w:r>
        <w:rPr>
          <w:rFonts w:ascii="Calibri" w:cs="Calibri" w:eastAsia="Calibri" w:hAnsi="Calibri"/>
          <w:b/>
          <w:bCs/>
          <w:color w:val="1F4E79"/>
          <w:sz w:val="26"/>
          <w:szCs w:val="26"/>
        </w:rPr>
        <w:t xml:space="preserve">HOW THE COACH ACTUALLY USES THIS</w:t>
      </w:r>
    </w:p>
    <w:p>
      <w:pPr>
        <w:spacing w:after="120" w:before="100" w:line="280"/>
      </w:pPr>
      <w:r>
        <w:rPr>
          <w:rFonts w:ascii="Calibri" w:cs="Calibri" w:eastAsia="Calibri" w:hAnsi="Calibri"/>
          <w:b w:val="false"/>
          <w:bCs w:val="false"/>
          <w:i w:val="false"/>
          <w:iCs w:val="false"/>
          <w:color w:val="111111"/>
          <w:sz w:val="20"/>
          <w:szCs w:val="20"/>
        </w:rPr>
        <w:t xml:space="preserve">This is not something a head coach opens on their laptop mid-game. The realistic workflow has three moments.</w:t>
      </w:r>
    </w:p>
    <w:p>
      <w:pPr>
        <w:spacing w:after="120" w:before="100" w:line="280"/>
      </w:pPr>
      <w:r>
        <w:rPr>
          <w:rFonts w:ascii="Calibri" w:cs="Calibri" w:eastAsia="Calibri" w:hAnsi="Calibri"/>
          <w:b w:val="false"/>
          <w:bCs w:val="false"/>
          <w:i w:val="false"/>
          <w:iCs w:val="false"/>
          <w:color w:val="111111"/>
          <w:sz w:val="20"/>
          <w:szCs w:val="20"/>
        </w:rPr>
        <w:t xml:space="preserve">Before the match, the analyst opens the Head-to-Head Press History for the upcoming opponent and pulls the PPDA trend from their recent games. If the opponent consistently cracks late, that changes how the coach plans the press schedule. The analyst exports a short briefing from the dashboard — one page, two charts.</w:t>
      </w:r>
    </w:p>
    <w:p>
      <w:pPr>
        <w:spacing w:after="120" w:before="100" w:line="280"/>
      </w:pPr>
      <w:r>
        <w:rPr>
          <w:rFonts w:ascii="Calibri" w:cs="Calibri" w:eastAsia="Calibri" w:hAnsi="Calibri"/>
          <w:b w:val="false"/>
          <w:bCs w:val="false"/>
          <w:i w:val="false"/>
          <w:iCs w:val="false"/>
          <w:color w:val="111111"/>
          <w:sz w:val="20"/>
          <w:szCs w:val="20"/>
        </w:rPr>
        <w:t xml:space="preserve">During the match, the analyst watches the PPDA tick up in real time (using StatsBomb live event feeds, or post-match for the prototype). When PPDA crosses 10.0, they tell the coach. If the opponent's PPDA is also rising, they tell the coach that too. The Substitution Impact Simulator is open on their screen.</w:t>
      </w:r>
    </w:p>
    <w:p>
      <w:pPr>
        <w:spacing w:after="120" w:before="100" w:line="280"/>
      </w:pPr>
      <w:r>
        <w:rPr>
          <w:rFonts w:ascii="Calibri" w:cs="Calibri" w:eastAsia="Calibri" w:hAnsi="Calibri"/>
          <w:b w:val="false"/>
          <w:bCs w:val="false"/>
          <w:i w:val="false"/>
          <w:iCs w:val="false"/>
          <w:color w:val="111111"/>
          <w:sz w:val="20"/>
          <w:szCs w:val="20"/>
        </w:rPr>
        <w:t xml:space="preserve">After the match, the module becomes the basis for a five-minute press debrief. Which windows did the press hold? Which broke? Where did defensive actions concentrate? The charts answer those questions without the analyst needing to build them from scratch each time.</w:t>
      </w:r>
    </w:p>
    <w:p>
      <w:pPr>
        <w:spacing w:after="120" w:before="100" w:line="280"/>
      </w:pPr>
      <w:r>
        <w:rPr>
          <w:rFonts w:ascii="Calibri" w:cs="Calibri" w:eastAsia="Calibri" w:hAnsi="Calibri"/>
          <w:b w:val="false"/>
          <w:bCs w:val="false"/>
          <w:i w:val="false"/>
          <w:iCs w:val="false"/>
          <w:color w:val="111111"/>
          <w:sz w:val="20"/>
          <w:szCs w:val="20"/>
        </w:rPr>
        <w:t xml:space="preserve">The tool does not replace the analyst. It gives the analyst something structured and replicable to say.</w:t>
      </w:r>
    </w:p>
    <w:p>
      <w:pPr>
        <w:spacing w:after="0" w:before="160"/>
      </w:pPr>
    </w:p>
    <w:p>
      <w:pPr>
        <w:pBdr>
          <w:bottom w:val="single" w:color="2E75B6" w:sz="8" w:space="4"/>
        </w:pBdr>
        <w:spacing w:after="80" w:before="340"/>
      </w:pPr>
      <w:r>
        <w:rPr>
          <w:rFonts w:ascii="Calibri" w:cs="Calibri" w:eastAsia="Calibri" w:hAnsi="Calibri"/>
          <w:b/>
          <w:bCs/>
          <w:color w:val="1F4E79"/>
          <w:sz w:val="26"/>
          <w:szCs w:val="26"/>
        </w:rPr>
        <w:t xml:space="preserve">WHAT THE ANALYST GAINS</w:t>
      </w:r>
    </w:p>
    <w:p>
      <w:pPr>
        <w:spacing w:after="120" w:before="100" w:line="280"/>
      </w:pPr>
      <w:r>
        <w:rPr>
          <w:rFonts w:ascii="Calibri" w:cs="Calibri" w:eastAsia="Calibri" w:hAnsi="Calibri"/>
          <w:b w:val="false"/>
          <w:bCs w:val="false"/>
          <w:i w:val="false"/>
          <w:iCs w:val="false"/>
          <w:color w:val="111111"/>
          <w:sz w:val="20"/>
          <w:szCs w:val="20"/>
        </w:rPr>
        <w:t xml:space="preserve">Working with this module means learning PPDA calculation from StatsBomb event data, pressure event interpretation, and rolling window aggregation. These are transferable skills. Any club using StatsBomb expects an analyst who can read PPDA. Any club doing pre-match opponent scouting benefits from someone who can pull press pattern history from structured event data rather than watching match footage frame by frame.</w:t>
      </w:r>
    </w:p>
    <w:p>
      <w:pPr>
        <w:spacing w:after="120" w:before="100" w:line="280"/>
      </w:pPr>
      <w:r>
        <w:rPr>
          <w:rFonts w:ascii="Calibri" w:cs="Calibri" w:eastAsia="Calibri" w:hAnsi="Calibri"/>
          <w:b w:val="false"/>
          <w:bCs w:val="false"/>
          <w:i w:val="false"/>
          <w:iCs w:val="false"/>
          <w:color w:val="111111"/>
          <w:sz w:val="20"/>
          <w:szCs w:val="20"/>
        </w:rPr>
        <w:t xml:space="preserve">The Streamlit codebase is also transparent by design. The analyst can see exactly how each metric is calculated, which means they can explain it to the coach if asked. That matters in practice. An analyst who can say 'here is the number and here is how it is derived' is more useful than one who says 'the tool gave this answer.'</w:t>
      </w:r>
    </w:p>
    <w:p>
      <w:pPr>
        <w:spacing w:after="0" w:before="160"/>
      </w:pPr>
    </w:p>
    <w:p>
      <w:pPr>
        <w:pBdr>
          <w:bottom w:val="single" w:color="2E75B6" w:sz="8" w:space="4"/>
        </w:pBdr>
        <w:spacing w:after="80" w:before="340"/>
      </w:pPr>
      <w:r>
        <w:rPr>
          <w:rFonts w:ascii="Calibri" w:cs="Calibri" w:eastAsia="Calibri" w:hAnsi="Calibri"/>
          <w:b/>
          <w:bCs/>
          <w:color w:val="1F4E79"/>
          <w:sz w:val="26"/>
          <w:szCs w:val="26"/>
        </w:rPr>
        <w:t xml:space="preserve">WHY THIS KEEPS WORKING AFTER THE ASSIGNMENT</w:t>
      </w:r>
    </w:p>
    <w:p>
      <w:pPr>
        <w:spacing w:after="120" w:before="100" w:line="280"/>
      </w:pPr>
      <w:r>
        <w:rPr>
          <w:rFonts w:ascii="Calibri" w:cs="Calibri" w:eastAsia="Calibri" w:hAnsi="Calibri"/>
          <w:b w:val="false"/>
          <w:bCs w:val="false"/>
          <w:i w:val="false"/>
          <w:iCs w:val="false"/>
          <w:color w:val="111111"/>
          <w:sz w:val="20"/>
          <w:szCs w:val="20"/>
        </w:rPr>
        <w:t xml:space="preserve">StatsBomb releases new datasets annually. The La Liga 2015/16 season is the prototype; the same codebase works on any StatsBomb season with no changes. The module does not depend on GPS hardware, proprietary tracking, or any paid data feed.</w:t>
      </w:r>
    </w:p>
    <w:p>
      <w:pPr>
        <w:spacing w:after="120" w:before="100" w:line="280"/>
      </w:pPr>
      <w:r>
        <w:rPr>
          <w:rFonts w:ascii="Calibri" w:cs="Calibri" w:eastAsia="Calibri" w:hAnsi="Calibri"/>
          <w:b w:val="false"/>
          <w:bCs w:val="false"/>
          <w:i w:val="false"/>
          <w:iCs w:val="false"/>
          <w:color w:val="111111"/>
          <w:sz w:val="20"/>
          <w:szCs w:val="20"/>
        </w:rPr>
        <w:t xml:space="preserve">A club that cannot afford tracking data can still run this analysis if they have match event data. StatsBomb provides open data free for research and education. That means the prototype can extend into a real tool for any club in a StatsBomb-covered league, without additional infrastructure costs.</w:t>
      </w:r>
    </w:p>
    <w:p>
      <w:pPr>
        <w:spacing w:after="120" w:before="100" w:line="280"/>
      </w:pPr>
      <w:r>
        <w:rPr>
          <w:rFonts w:ascii="Calibri" w:cs="Calibri" w:eastAsia="Calibri" w:hAnsi="Calibri"/>
          <w:b w:val="false"/>
          <w:bCs w:val="false"/>
          <w:i w:val="false"/>
          <w:iCs w:val="false"/>
          <w:color w:val="111111"/>
          <w:sz w:val="20"/>
          <w:szCs w:val="20"/>
        </w:rPr>
        <w:t xml:space="preserve">The press collapse threshold (PPDA &gt;= 10.0) is also not arbitrary or specific to this assignment. It is an established benchmark that analysts already use. The module does not invent a proprietary metric that nobody outside this group will recognise.</w:t>
      </w:r>
    </w:p>
    <w:p>
      <w:pPr>
        <w:spacing w:after="0" w:before="160"/>
      </w:pPr>
    </w:p>
    <w:p>
      <w:pPr>
        <w:pBdr>
          <w:bottom w:val="single" w:color="2E75B6" w:sz="8" w:space="4"/>
        </w:pBdr>
        <w:spacing w:after="80" w:before="340"/>
      </w:pPr>
      <w:r>
        <w:rPr>
          <w:rFonts w:ascii="Calibri" w:cs="Calibri" w:eastAsia="Calibri" w:hAnsi="Calibri"/>
          <w:b/>
          <w:bCs/>
          <w:color w:val="1F4E79"/>
          <w:sz w:val="26"/>
          <w:szCs w:val="26"/>
        </w:rPr>
        <w:t xml:space="preserve">WHAT WE'RE NOT BUILDING</w:t>
      </w:r>
    </w:p>
    <w:p>
      <w:pPr>
        <w:spacing w:after="120" w:before="100" w:line="280"/>
      </w:pPr>
      <w:r>
        <w:rPr>
          <w:rFonts w:ascii="Calibri" w:cs="Calibri" w:eastAsia="Calibri" w:hAnsi="Calibri"/>
          <w:b w:val="false"/>
          <w:bCs w:val="false"/>
          <w:i w:val="false"/>
          <w:iCs w:val="false"/>
          <w:color w:val="111111"/>
          <w:sz w:val="20"/>
          <w:szCs w:val="20"/>
        </w:rPr>
        <w:t xml:space="preserve">Formation shape analysis was considered and dropped. StatsBomb event data does not include player tracking, so inferring formation from event locations alone gives unreliable results. We are not going to show a chart that looks useful but can't be trusted.</w:t>
      </w:r>
    </w:p>
    <w:p>
      <w:pPr>
        <w:spacing w:after="120" w:before="100" w:line="280"/>
      </w:pPr>
      <w:r>
        <w:rPr>
          <w:rFonts w:ascii="Calibri" w:cs="Calibri" w:eastAsia="Calibri" w:hAnsi="Calibri"/>
          <w:b w:val="false"/>
          <w:bCs w:val="false"/>
          <w:i w:val="false"/>
          <w:iCs w:val="false"/>
          <w:color w:val="111111"/>
          <w:sz w:val="20"/>
          <w:szCs w:val="20"/>
        </w:rPr>
        <w:t xml:space="preserve">We also dropped an AI tactical mode selector that would suggest pressing strategy based on the match state. The reason is simple: that puts the tool in the decision seat rather than the coach. Everything in this module is designed so the coach is deciding, not approving what the tool decided.</w:t>
      </w:r>
    </w:p>
    <w:p>
      <w:pPr>
        <w:spacing w:after="120" w:before="100" w:line="280"/>
      </w:pPr>
      <w:r>
        <w:rPr>
          <w:rFonts w:ascii="Calibri" w:cs="Calibri" w:eastAsia="Calibri" w:hAnsi="Calibri"/>
          <w:b w:val="false"/>
          <w:bCs w:val="false"/>
          <w:i w:val="false"/>
          <w:iCs w:val="false"/>
          <w:color w:val="111111"/>
          <w:sz w:val="20"/>
          <w:szCs w:val="20"/>
        </w:rPr>
        <w:t xml:space="preserve">Set piece vulnerability analysis is a separate problem that deserves its own module. Mixing it into the press analysis would dilute both.</w:t>
      </w:r>
    </w:p>
    <w:p>
      <w:pPr>
        <w:spacing w:after="0" w:before="160"/>
      </w:pPr>
    </w:p>
    <w:p>
      <w:pPr>
        <w:pBdr>
          <w:bottom w:val="single" w:color="2E75B6" w:sz="8" w:space="4"/>
        </w:pBdr>
        <w:spacing w:after="80" w:before="340"/>
      </w:pPr>
      <w:r>
        <w:rPr>
          <w:rFonts w:ascii="Calibri" w:cs="Calibri" w:eastAsia="Calibri" w:hAnsi="Calibri"/>
          <w:b/>
          <w:bCs/>
          <w:color w:val="1F4E79"/>
          <w:sz w:val="26"/>
          <w:szCs w:val="26"/>
        </w:rP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CEE" w:sz="1"/>
              <w:left w:val="single" w:color="D0DCEE" w:sz="1"/>
              <w:bottom w:val="single" w:color="D0DCEE" w:sz="1"/>
              <w:right w:val="single" w:color="D0DCEE" w:sz="1"/>
            </w:tcBorders>
            <w:shd w:fill="F0F5FB" w:val="clear"/>
            <w:tcMar>
              <w:top w:type="dxa" w:w="100"/>
              <w:left w:type="dxa" w:w="160"/>
              <w:bottom w:type="dxa" w:w="100"/>
              <w:right w:type="dxa" w:w="120"/>
            </w:tcMar>
          </w:tcPr>
          <w:p>
            <w:r>
              <w:rPr>
                <w:rFonts w:ascii="Calibri" w:cs="Calibri" w:eastAsia="Calibri" w:hAnsi="Calibri"/>
                <w:b/>
                <w:bCs/>
                <w:color w:val="1F4E79"/>
                <w:sz w:val="19"/>
                <w:szCs w:val="19"/>
              </w:rPr>
              <w:t xml:space="preserve">Stakeholder</w:t>
            </w:r>
          </w:p>
        </w:tc>
        <w:tc>
          <w:tcPr>
            <w:tcW w:type="dxa" w:w="6426"/>
            <w:tcBorders>
              <w:top w:val="single" w:color="D0DCEE" w:sz="1"/>
              <w:left w:val="single" w:color="D0DCEE" w:sz="1"/>
              <w:bottom w:val="single" w:color="D0DCEE" w:sz="1"/>
              <w:right w:val="single" w:color="D0DCEE" w:sz="1"/>
            </w:tcBorders>
            <w:tcMar>
              <w:top w:type="dxa" w:w="100"/>
              <w:left w:type="dxa" w:w="160"/>
              <w:bottom w:type="dxa" w:w="100"/>
              <w:right w:type="dxa" w:w="160"/>
            </w:tcMar>
          </w:tcPr>
          <w:p>
            <w:r>
              <w:rPr>
                <w:rFonts w:ascii="Calibri" w:cs="Calibri" w:eastAsia="Calibri" w:hAnsi="Calibri"/>
                <w:color w:val="111111"/>
                <w:sz w:val="19"/>
                <w:szCs w:val="19"/>
              </w:rPr>
              <w:t xml:space="preserve">Head Coach (via analyst briefing)</w:t>
            </w:r>
          </w:p>
        </w:tc>
      </w:tr>
      <w:tr>
        <w:tc>
          <w:tcPr>
            <w:tcW w:type="dxa" w:w="2600"/>
            <w:tcBorders>
              <w:top w:val="single" w:color="D0DCEE" w:sz="1"/>
              <w:left w:val="single" w:color="D0DCEE" w:sz="1"/>
              <w:bottom w:val="single" w:color="D0DCEE" w:sz="1"/>
              <w:right w:val="single" w:color="D0DCEE" w:sz="1"/>
            </w:tcBorders>
            <w:shd w:fill="F0F5FB" w:val="clear"/>
            <w:tcMar>
              <w:top w:type="dxa" w:w="100"/>
              <w:left w:type="dxa" w:w="160"/>
              <w:bottom w:type="dxa" w:w="100"/>
              <w:right w:type="dxa" w:w="120"/>
            </w:tcMar>
          </w:tcPr>
          <w:p>
            <w:r>
              <w:rPr>
                <w:rFonts w:ascii="Calibri" w:cs="Calibri" w:eastAsia="Calibri" w:hAnsi="Calibri"/>
                <w:b/>
                <w:bCs/>
                <w:color w:val="1F4E79"/>
                <w:sz w:val="19"/>
                <w:szCs w:val="19"/>
              </w:rPr>
              <w:t xml:space="preserve">Data source</w:t>
            </w:r>
          </w:p>
        </w:tc>
        <w:tc>
          <w:tcPr>
            <w:tcW w:type="dxa" w:w="6426"/>
            <w:tcBorders>
              <w:top w:val="single" w:color="D0DCEE" w:sz="1"/>
              <w:left w:val="single" w:color="D0DCEE" w:sz="1"/>
              <w:bottom w:val="single" w:color="D0DCEE" w:sz="1"/>
              <w:right w:val="single" w:color="D0DCEE" w:sz="1"/>
            </w:tcBorders>
            <w:tcMar>
              <w:top w:type="dxa" w:w="100"/>
              <w:left w:type="dxa" w:w="160"/>
              <w:bottom w:type="dxa" w:w="100"/>
              <w:right w:type="dxa" w:w="160"/>
            </w:tcMar>
          </w:tcPr>
          <w:p>
            <w:r>
              <w:rPr>
                <w:rFonts w:ascii="Calibri" w:cs="Calibri" w:eastAsia="Calibri" w:hAnsi="Calibri"/>
                <w:color w:val="111111"/>
                <w:sz w:val="19"/>
                <w:szCs w:val="19"/>
              </w:rPr>
              <w:t xml:space="preserve">StatsBomb open data — La Liga 2015/16, 380 matches, pressure events</w:t>
            </w:r>
          </w:p>
        </w:tc>
      </w:tr>
      <w:tr>
        <w:tc>
          <w:tcPr>
            <w:tcW w:type="dxa" w:w="2600"/>
            <w:tcBorders>
              <w:top w:val="single" w:color="D0DCEE" w:sz="1"/>
              <w:left w:val="single" w:color="D0DCEE" w:sz="1"/>
              <w:bottom w:val="single" w:color="D0DCEE" w:sz="1"/>
              <w:right w:val="single" w:color="D0DCEE" w:sz="1"/>
            </w:tcBorders>
            <w:shd w:fill="F0F5FB" w:val="clear"/>
            <w:tcMar>
              <w:top w:type="dxa" w:w="100"/>
              <w:left w:type="dxa" w:w="160"/>
              <w:bottom w:type="dxa" w:w="100"/>
              <w:right w:type="dxa" w:w="120"/>
            </w:tcMar>
          </w:tcPr>
          <w:p>
            <w:r>
              <w:rPr>
                <w:rFonts w:ascii="Calibri" w:cs="Calibri" w:eastAsia="Calibri" w:hAnsi="Calibri"/>
                <w:b/>
                <w:bCs/>
                <w:color w:val="1F4E79"/>
                <w:sz w:val="19"/>
                <w:szCs w:val="19"/>
              </w:rPr>
              <w:t xml:space="preserve">Core metric</w:t>
            </w:r>
          </w:p>
        </w:tc>
        <w:tc>
          <w:tcPr>
            <w:tcW w:type="dxa" w:w="6426"/>
            <w:tcBorders>
              <w:top w:val="single" w:color="D0DCEE" w:sz="1"/>
              <w:left w:val="single" w:color="D0DCEE" w:sz="1"/>
              <w:bottom w:val="single" w:color="D0DCEE" w:sz="1"/>
              <w:right w:val="single" w:color="D0DCEE" w:sz="1"/>
            </w:tcBorders>
            <w:tcMar>
              <w:top w:type="dxa" w:w="100"/>
              <w:left w:type="dxa" w:w="160"/>
              <w:bottom w:type="dxa" w:w="100"/>
              <w:right w:type="dxa" w:w="160"/>
            </w:tcMar>
          </w:tcPr>
          <w:p>
            <w:r>
              <w:rPr>
                <w:rFonts w:ascii="Calibri" w:cs="Calibri" w:eastAsia="Calibri" w:hAnsi="Calibri"/>
                <w:color w:val="111111"/>
                <w:sz w:val="19"/>
                <w:szCs w:val="19"/>
              </w:rPr>
              <w:t xml:space="preserve">PPDA in 10-minute rolling windows. Threshold: 10.0. Above = press broken.</w:t>
            </w:r>
          </w:p>
        </w:tc>
      </w:tr>
      <w:tr>
        <w:tc>
          <w:tcPr>
            <w:tcW w:type="dxa" w:w="2600"/>
            <w:tcBorders>
              <w:top w:val="single" w:color="D0DCEE" w:sz="1"/>
              <w:left w:val="single" w:color="D0DCEE" w:sz="1"/>
              <w:bottom w:val="single" w:color="D0DCEE" w:sz="1"/>
              <w:right w:val="single" w:color="D0DCEE" w:sz="1"/>
            </w:tcBorders>
            <w:shd w:fill="F0F5FB" w:val="clear"/>
            <w:tcMar>
              <w:top w:type="dxa" w:w="100"/>
              <w:left w:type="dxa" w:w="160"/>
              <w:bottom w:type="dxa" w:w="100"/>
              <w:right w:type="dxa" w:w="120"/>
            </w:tcMar>
          </w:tcPr>
          <w:p>
            <w:r>
              <w:rPr>
                <w:rFonts w:ascii="Calibri" w:cs="Calibri" w:eastAsia="Calibri" w:hAnsi="Calibri"/>
                <w:b/>
                <w:bCs/>
                <w:color w:val="1F4E79"/>
                <w:sz w:val="19"/>
                <w:szCs w:val="19"/>
              </w:rPr>
              <w:t xml:space="preserve">USP</w:t>
            </w:r>
          </w:p>
        </w:tc>
        <w:tc>
          <w:tcPr>
            <w:tcW w:type="dxa" w:w="6426"/>
            <w:tcBorders>
              <w:top w:val="single" w:color="D0DCEE" w:sz="1"/>
              <w:left w:val="single" w:color="D0DCEE" w:sz="1"/>
              <w:bottom w:val="single" w:color="D0DCEE" w:sz="1"/>
              <w:right w:val="single" w:color="D0DCEE" w:sz="1"/>
            </w:tcBorders>
            <w:tcMar>
              <w:top w:type="dxa" w:w="100"/>
              <w:left w:type="dxa" w:w="160"/>
              <w:bottom w:type="dxa" w:w="100"/>
              <w:right w:type="dxa" w:w="160"/>
            </w:tcMar>
          </w:tcPr>
          <w:p>
            <w:r>
              <w:rPr>
                <w:rFonts w:ascii="Calibri" w:cs="Calibri" w:eastAsia="Calibri" w:hAnsi="Calibri"/>
                <w:color w:val="111111"/>
                <w:sz w:val="19"/>
                <w:szCs w:val="19"/>
              </w:rPr>
              <w:t xml:space="preserve">The only module that tells a coach when their press is about to break AND when the opponent is vulnerable — from the same StatsBomb pressure events, so substitutions and tactical shifts are timed by structure, not instinct.</w:t>
            </w:r>
          </w:p>
        </w:tc>
      </w:tr>
      <w:tr>
        <w:tc>
          <w:tcPr>
            <w:tcW w:type="dxa" w:w="2600"/>
            <w:tcBorders>
              <w:top w:val="single" w:color="D0DCEE" w:sz="1"/>
              <w:left w:val="single" w:color="D0DCEE" w:sz="1"/>
              <w:bottom w:val="single" w:color="D0DCEE" w:sz="1"/>
              <w:right w:val="single" w:color="D0DCEE" w:sz="1"/>
            </w:tcBorders>
            <w:shd w:fill="F0F5FB" w:val="clear"/>
            <w:tcMar>
              <w:top w:type="dxa" w:w="100"/>
              <w:left w:type="dxa" w:w="160"/>
              <w:bottom w:type="dxa" w:w="100"/>
              <w:right w:type="dxa" w:w="120"/>
            </w:tcMar>
          </w:tcPr>
          <w:p>
            <w:r>
              <w:rPr>
                <w:rFonts w:ascii="Calibri" w:cs="Calibri" w:eastAsia="Calibri" w:hAnsi="Calibri"/>
                <w:b/>
                <w:bCs/>
                <w:color w:val="1F4E79"/>
                <w:sz w:val="19"/>
                <w:szCs w:val="19"/>
              </w:rPr>
              <w:t xml:space="preserve">Additional features</w:t>
            </w:r>
          </w:p>
        </w:tc>
        <w:tc>
          <w:tcPr>
            <w:tcW w:type="dxa" w:w="6426"/>
            <w:tcBorders>
              <w:top w:val="single" w:color="D0DCEE" w:sz="1"/>
              <w:left w:val="single" w:color="D0DCEE" w:sz="1"/>
              <w:bottom w:val="single" w:color="D0DCEE" w:sz="1"/>
              <w:right w:val="single" w:color="D0DCEE" w:sz="1"/>
            </w:tcBorders>
            <w:tcMar>
              <w:top w:type="dxa" w:w="100"/>
              <w:left w:type="dxa" w:w="160"/>
              <w:bottom w:type="dxa" w:w="100"/>
              <w:right w:type="dxa" w:w="160"/>
            </w:tcMar>
          </w:tcPr>
          <w:p>
            <w:r>
              <w:rPr>
                <w:rFonts w:ascii="Calibri" w:cs="Calibri" w:eastAsia="Calibri" w:hAnsi="Calibri"/>
                <w:color w:val="111111"/>
                <w:sz w:val="19"/>
                <w:szCs w:val="19"/>
              </w:rPr>
              <w:t xml:space="preserve">Substitution Impact Simulator, Press Heatmap Trio, Head-to-Head Press History, Match Momentum Index</w:t>
            </w:r>
          </w:p>
        </w:tc>
      </w:tr>
      <w:tr>
        <w:tc>
          <w:tcPr>
            <w:tcW w:type="dxa" w:w="2600"/>
            <w:tcBorders>
              <w:top w:val="single" w:color="D0DCEE" w:sz="1"/>
              <w:left w:val="single" w:color="D0DCEE" w:sz="1"/>
              <w:bottom w:val="single" w:color="D0DCEE" w:sz="1"/>
              <w:right w:val="single" w:color="D0DCEE" w:sz="1"/>
            </w:tcBorders>
            <w:shd w:fill="F0F5FB" w:val="clear"/>
            <w:tcMar>
              <w:top w:type="dxa" w:w="100"/>
              <w:left w:type="dxa" w:w="160"/>
              <w:bottom w:type="dxa" w:w="100"/>
              <w:right w:type="dxa" w:w="120"/>
            </w:tcMar>
          </w:tcPr>
          <w:p>
            <w:r>
              <w:rPr>
                <w:rFonts w:ascii="Calibri" w:cs="Calibri" w:eastAsia="Calibri" w:hAnsi="Calibri"/>
                <w:b/>
                <w:bCs/>
                <w:color w:val="1F4E79"/>
                <w:sz w:val="19"/>
                <w:szCs w:val="19"/>
              </w:rPr>
              <w:t xml:space="preserve">Context layer</w:t>
            </w:r>
          </w:p>
        </w:tc>
        <w:tc>
          <w:tcPr>
            <w:tcW w:type="dxa" w:w="6426"/>
            <w:tcBorders>
              <w:top w:val="single" w:color="D0DCEE" w:sz="1"/>
              <w:left w:val="single" w:color="D0DCEE" w:sz="1"/>
              <w:bottom w:val="single" w:color="D0DCEE" w:sz="1"/>
              <w:right w:val="single" w:color="D0DCEE" w:sz="1"/>
            </w:tcBorders>
            <w:tcMar>
              <w:top w:type="dxa" w:w="100"/>
              <w:left w:type="dxa" w:w="160"/>
              <w:bottom w:type="dxa" w:w="100"/>
              <w:right w:type="dxa" w:w="160"/>
            </w:tcMar>
          </w:tcPr>
          <w:p>
            <w:r>
              <w:rPr>
                <w:rFonts w:ascii="Calibri" w:cs="Calibri" w:eastAsia="Calibri" w:hAnsi="Calibri"/>
                <w:color w:val="111111"/>
                <w:sz w:val="19"/>
                <w:szCs w:val="19"/>
              </w:rPr>
              <w:t xml:space="preserve">Possession by Period, Pressing Success Rate, Defensive Territory Depth</w:t>
            </w:r>
          </w:p>
        </w:tc>
      </w:tr>
      <w:tr>
        <w:tc>
          <w:tcPr>
            <w:tcW w:type="dxa" w:w="2600"/>
            <w:tcBorders>
              <w:top w:val="single" w:color="D0DCEE" w:sz="1"/>
              <w:left w:val="single" w:color="D0DCEE" w:sz="1"/>
              <w:bottom w:val="single" w:color="D0DCEE" w:sz="1"/>
              <w:right w:val="single" w:color="D0DCEE" w:sz="1"/>
            </w:tcBorders>
            <w:shd w:fill="F0F5FB" w:val="clear"/>
            <w:tcMar>
              <w:top w:type="dxa" w:w="100"/>
              <w:left w:type="dxa" w:w="160"/>
              <w:bottom w:type="dxa" w:w="100"/>
              <w:right w:type="dxa" w:w="120"/>
            </w:tcMar>
          </w:tcPr>
          <w:p>
            <w:r>
              <w:rPr>
                <w:rFonts w:ascii="Calibri" w:cs="Calibri" w:eastAsia="Calibri" w:hAnsi="Calibri"/>
                <w:b/>
                <w:bCs/>
                <w:color w:val="1F4E79"/>
                <w:sz w:val="19"/>
                <w:szCs w:val="19"/>
              </w:rPr>
              <w:t xml:space="preserve">Not included</w:t>
            </w:r>
          </w:p>
        </w:tc>
        <w:tc>
          <w:tcPr>
            <w:tcW w:type="dxa" w:w="6426"/>
            <w:tcBorders>
              <w:top w:val="single" w:color="D0DCEE" w:sz="1"/>
              <w:left w:val="single" w:color="D0DCEE" w:sz="1"/>
              <w:bottom w:val="single" w:color="D0DCEE" w:sz="1"/>
              <w:right w:val="single" w:color="D0DCEE" w:sz="1"/>
            </w:tcBorders>
            <w:tcMar>
              <w:top w:type="dxa" w:w="100"/>
              <w:left w:type="dxa" w:w="160"/>
              <w:bottom w:type="dxa" w:w="100"/>
              <w:right w:type="dxa" w:w="160"/>
            </w:tcMar>
          </w:tcPr>
          <w:p>
            <w:r>
              <w:rPr>
                <w:rFonts w:ascii="Calibri" w:cs="Calibri" w:eastAsia="Calibri" w:hAnsi="Calibri"/>
                <w:color w:val="111111"/>
                <w:sz w:val="19"/>
                <w:szCs w:val="19"/>
              </w:rPr>
              <w:t xml:space="preserve">Formation shape analysis (no tracking data), AI tactical mode selector (puts tool in decision seat), set piece analysis (separate problem)</w:t>
            </w:r>
          </w:p>
        </w:tc>
      </w:tr>
    </w:tbl>
    <w:p>
      <w:pPr>
        <w:spacing w:after="0" w:before="1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E" w:sz="4" w:space="4"/>
      </w:pBdr>
      <w:spacing w:before="80"/>
      <w:jc w:val="center"/>
    </w:pPr>
    <w:r>
      <w:rPr>
        <w:rFonts w:ascii="Calibri" w:cs="Calibri" w:eastAsia="Calibri" w:hAnsi="Calibri"/>
        <w:color w:val="888888"/>
        <w:sz w:val="16"/>
        <w:szCs w:val="16"/>
      </w:rPr>
      <w:t xml:space="preserve">MIS41500 Sports &amp; Performance Analytics  |  Group Assignment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CEE" w:sz="4" w:space="4"/>
      </w:pBdr>
      <w:spacing w:after="0"/>
      <w:jc w:val="right"/>
    </w:pPr>
    <w:r>
      <w:rPr>
        <w:rFonts w:ascii="Calibri" w:cs="Calibri" w:eastAsia="Calibri" w:hAnsi="Calibri"/>
        <w:color w:val="888888"/>
        <w:sz w:val="16"/>
        <w:szCs w:val="16"/>
      </w:rPr>
      <w:t xml:space="preserve">FC Analytics United  |  Press Intelligence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2026-06-09T18:37:07.607Z</dcterms:created>
  <dcterms:modified xsi:type="dcterms:W3CDTF">2026-06-09T18:37:07.607Z</dcterms:modified>
</cp:coreProperties>
</file>

<file path=docProps/custom.xml><?xml version="1.0" encoding="utf-8"?>
<Properties xmlns="http://schemas.openxmlformats.org/officeDocument/2006/custom-properties" xmlns:vt="http://schemas.openxmlformats.org/officeDocument/2006/docPropsVTypes"/>
</file>