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FC Analytics United</w:t>
      </w:r>
    </w:p>
    <w:p>
      <w:pPr>
        <w:spacing w:after="60"/>
      </w:pPr>
      <w:r>
        <w:rPr>
          <w:b/>
          <w:bCs/>
          <w:sz w:val="26"/>
          <w:szCs w:val="26"/>
        </w:rPr>
        <w:t xml:space="preserve">Press Intelligence Module — Design Document v2</w:t>
      </w:r>
    </w:p>
    <w:p>
      <w:pPr>
        <w:pBdr>
          <w:bottom w:val="single" w:color="2E75B6" w:sz="6" w:space="4"/>
        </w:pBdr>
        <w:spacing w:after="240"/>
      </w:pPr>
      <w:r>
        <w:rPr>
          <w:i/>
          <w:iCs/>
          <w:color w:val="555555"/>
          <w:sz w:val="20"/>
          <w:szCs w:val="20"/>
        </w:rPr>
        <w:t xml:space="preserve">MIS41500 Sports &amp; Performance Analytics  |  Group Assignment  |  Stakeholder: Head Coach</w:t>
      </w:r>
    </w:p>
    <w:p>
      <w:pPr>
        <w:spacing w:after="160"/>
      </w:pPr>
      <w:r>
        <w:t xml:space="preserve">Most football clubs have match data. What they don’t have is a tool that tells a coach, after a match or between matches, exactly when their press stopped working — and when the opponent’s did. Analysts feel these things. Coaches feel them. Formalising that feeling into a tested number, with an honest threshold and a visual that needs no explanation, is what this module is for.</w:t>
      </w:r>
    </w:p>
    <w:p>
      <w:pPr>
        <w:spacing w:after="160"/>
      </w:pPr>
      <w:r>
        <w:t xml:space="preserve">This document describes the data source, the core metric and how we validated it, the visualisations, the additional features, and the boundaries of what the tool claims to know. It also covers how a head coach uses it in practice and why it keeps working after the assignment ends.</w:t>
      </w:r>
    </w:p>
    <w:p>
      <w:pPr>
        <w:pStyle w:val="Heading1"/>
      </w:pPr>
      <w:r>
        <w:t xml:space="preserve">THE STAKEHOLDER AND THE THREE DECISIONS</w:t>
      </w:r>
    </w:p>
    <w:p>
      <w:pPr>
        <w:spacing w:after="160"/>
      </w:pPr>
      <w:r>
        <w:t xml:space="preserve">The stakeholder is the head coach, served through the analyst who prepares the briefing. A head coach makes three pressing decisions in any match:</w:t>
      </w:r>
    </w:p>
    <w:p>
      <w:pPr>
        <w:pStyle w:val="ListParagraph"/>
        <w:numPr>
          <w:ilvl w:val="0"/>
          <w:numId w:val="2"/>
        </w:numPr>
        <w:spacing w:after="80"/>
      </w:pPr>
      <w:r>
        <w:rPr>
          <w:b/>
          <w:bCs/>
        </w:rPr>
        <w:t xml:space="preserve">When to trigger the press </w:t>
      </w:r>
      <w:r>
        <w:t xml:space="preserve">— commit players high, accept the risk behind.</w:t>
      </w:r>
    </w:p>
    <w:p>
      <w:pPr>
        <w:pStyle w:val="ListParagraph"/>
        <w:numPr>
          <w:ilvl w:val="0"/>
          <w:numId w:val="2"/>
        </w:numPr>
        <w:spacing w:after="80"/>
      </w:pPr>
      <w:r>
        <w:rPr>
          <w:b/>
          <w:bCs/>
        </w:rPr>
        <w:t xml:space="preserve">When to release it </w:t>
      </w:r>
      <w:r>
        <w:t xml:space="preserve">— drop into a mid-block before the press is played through, not after.</w:t>
      </w:r>
    </w:p>
    <w:p>
      <w:pPr>
        <w:pStyle w:val="ListParagraph"/>
        <w:numPr>
          <w:ilvl w:val="0"/>
          <w:numId w:val="2"/>
        </w:numPr>
        <w:spacing w:after="80"/>
      </w:pPr>
      <w:r>
        <w:rPr>
          <w:b/>
          <w:bCs/>
        </w:rPr>
        <w:t xml:space="preserve">Who to bring on to sustain it </w:t>
      </w:r>
      <w:r>
        <w:t xml:space="preserve">— pressing intensity drops with fatigue; the right substitution restores it.</w:t>
      </w:r>
    </w:p>
    <w:p>
      <w:pPr>
        <w:spacing w:after="160"/>
      </w:pPr>
      <w:r>
        <w:t xml:space="preserve">Every feature in this module maps to one of those three decisions. Anything that didn’t map to one was cut (see What We’re Not Building).</w:t>
      </w:r>
    </w:p>
    <w:p>
      <w:pPr>
        <w:pStyle w:val="Heading1"/>
      </w:pPr>
      <w:r>
        <w:t xml:space="preserve">WHAT WE’RE BUILDING</w:t>
      </w:r>
    </w:p>
    <w:p>
      <w:pPr>
        <w:spacing w:after="160"/>
      </w:pPr>
      <w:r>
        <w:t xml:space="preserve">Press Intelligence is one section of the FC Analytics United Streamlit dashboard, inside the Match Analysis page. It answers two questions: (1) when did our press break down, and (2) when did the opponent become vulnerable?</w:t>
      </w:r>
    </w:p>
    <w:p>
      <w:pPr>
        <w:spacing w:after="160"/>
      </w:pPr>
      <w:r>
        <w:t xml:space="preserve">Data source: StatsBomb open event data — La Liga 2015/16, 380 matches with complete pressure event records. No GPS hardware, no proprietary feeds. Everything runs off publicly available match events, accessed through statsbombpy.</w:t>
      </w:r>
    </w:p>
    <w:p>
      <w:pPr>
        <w:pStyle w:val="Heading1"/>
      </w:pPr>
      <w:r>
        <w:t xml:space="preserve">THE CORE METRIC: A PRESSURE-BASED PPDA</w:t>
      </w:r>
    </w:p>
    <w:p>
      <w:pPr>
        <w:spacing w:after="160"/>
      </w:pPr>
      <w:r>
        <w:t xml:space="preserve">PPDA (Passes Allowed Per Defensive Action) measures press intensity: how many passes the opponent completes for each defensive intervention. Low PPDA means the press is biting; high PPDA means the opponent is playing through it.</w:t>
      </w:r>
    </w:p>
    <w:p>
      <w:pPr>
        <w:spacing w:after="160"/>
      </w:pPr>
      <w:r>
        <w:rPr>
          <w:b/>
          <w:bCs/>
        </w:rPr>
        <w:t xml:space="preserve">We are explicit about our definition, because there are two in circulation. </w:t>
      </w:r>
      <w:r>
        <w:t xml:space="preserve">Canonical PPDA (Trainor, 2014) counts tackles, interceptions, challenges and fouls in the opposition 60% of the pitch. StatsBomb data adds a richer signal: pressure events, which record every instance of a defender closing down the ball carrier, including the off-ball pressing work that on-ball actions miss. We compute a pressure-based PPDA: opponent passes in their own 60% of the pitch, divided by our pressures plus defensive actions in that same zone. This captures press intensity directly rather than only its successful outcomes.</w:t>
      </w:r>
    </w:p>
    <w:p>
      <w:pPr>
        <w:spacing w:after="160"/>
      </w:pPr>
      <w:r>
        <w:t xml:space="preserve">The trade-off is comparability: our values are not directly comparable to published Opta-based PPDA figures, and the textbook threshold of 10.0 was derived on the canonical definition. So we did not import the threshold. We tested it (next section).</w:t>
      </w:r>
    </w:p>
    <w:p>
      <w:pPr>
        <w:spacing w:after="160"/>
      </w:pPr>
      <w:r>
        <w:rPr>
          <w:b/>
          <w:bCs/>
        </w:rPr>
        <w:t xml:space="preserve">Windowing. </w:t>
      </w:r>
      <w:r>
        <w:t xml:space="preserve">PPDA is computed in tumbling (non-overlapping) 10-minute windows across the match, giving nine windows plus a stoppage-time remainder that is merged into the final window. Tumbling windows keep each bar independent and readable; we considered possession-adjusted windows (fixed counts of opponent passes) and kept them as a backlog item — clock-based windows are what a coach’s match model already thinks in.</w:t>
      </w:r>
    </w:p>
    <w:p>
      <w:pPr>
        <w:spacing w:after="160"/>
      </w:pPr>
      <w:r>
        <w:rPr>
          <w:b/>
          <w:bCs/>
        </w:rPr>
        <w:t xml:space="preserve">The threshold is configurable. </w:t>
      </w:r>
      <w:r>
        <w:t xml:space="preserve">A sidebar slider sets the collapse threshold, defaulting to the value our backtest supports. The dashed line and bar colours respond live. This satisfies the configurable-settings requirement and lets an analyst adapt the threshold to a different league or season without touching code.</w:t>
      </w:r>
    </w:p>
    <w:p>
      <w:pPr>
        <w:pStyle w:val="Heading1"/>
      </w:pPr>
      <w:r>
        <w:t xml:space="preserve">WHAT WE TESTED</w:t>
      </w:r>
    </w:p>
    <w:p>
      <w:pPr>
        <w:spacing w:after="160"/>
      </w:pPr>
      <w:r>
        <w:t xml:space="preserve">A threshold is only worth colouring bars with if it predicts something. Before fixing the default, we backtested across all 380 matches:</w:t>
      </w:r>
    </w:p>
    <w:p>
      <w:pPr>
        <w:pStyle w:val="ListParagraph"/>
        <w:numPr>
          <w:ilvl w:val="0"/>
          <w:numId w:val="2"/>
        </w:numPr>
        <w:spacing w:after="80"/>
      </w:pPr>
      <w:r>
        <w:rPr>
          <w:b/>
          <w:bCs/>
        </w:rPr>
        <w:t xml:space="preserve">Concession rate by window state. </w:t>
      </w:r>
      <w:r>
        <w:t xml:space="preserve">For every 10-minute window in the dataset, we classify it as above or below the candidate threshold and measure the rate of goals conceded in that window and the next. If above-threshold windows do not concede at a meaningfully higher rate, the threshold is decoration.</w:t>
      </w:r>
    </w:p>
    <w:p>
      <w:pPr>
        <w:pStyle w:val="ListParagraph"/>
        <w:numPr>
          <w:ilvl w:val="0"/>
          <w:numId w:val="2"/>
        </w:numPr>
        <w:spacing w:after="80"/>
      </w:pPr>
      <w:r>
        <w:rPr>
          <w:b/>
          <w:bCs/>
        </w:rPr>
        <w:t xml:space="preserve">Threshold sweep. </w:t>
      </w:r>
      <w:r>
        <w:t xml:space="preserve">We repeat this for thresholds from 6 to 16 and report the value that best separates conceding from non-conceding windows on our pressure-based definition, alongside the textbook 10.0 for reference. The default in the tool is the data-driven value; the documentation reports both.</w:t>
      </w:r>
    </w:p>
    <w:p>
      <w:pPr>
        <w:pStyle w:val="ListParagraph"/>
        <w:numPr>
          <w:ilvl w:val="0"/>
          <w:numId w:val="2"/>
        </w:numPr>
        <w:spacing w:after="80"/>
      </w:pPr>
      <w:r>
        <w:rPr>
          <w:b/>
          <w:bCs/>
        </w:rPr>
        <w:t xml:space="preserve">Early-warning check. </w:t>
      </w:r>
      <w:r>
        <w:t xml:space="preserve">The context layer claims that Defensive Territory Depth drops before PPDA rises. We test this with a lagged correlation between depth and next-window PPDA rather than asserting it.</w:t>
      </w:r>
    </w:p>
    <w:p>
      <w:pPr>
        <w:spacing w:after="160"/>
      </w:pPr>
      <w:r>
        <w:t xml:space="preserve">Results from these tests are presented in the user manual with the exact code that produced them. We would rather report a modest effect honestly than an impressive one we can’t defend.</w:t>
      </w:r>
    </w:p>
    <w:p>
      <w:pPr>
        <w:pStyle w:val="Heading1"/>
      </w:pPr>
      <w:r>
        <w:t xml:space="preserve">HANDLING NOISE AND GAME STATE</w:t>
      </w:r>
    </w:p>
    <w:p>
      <w:pPr>
        <w:spacing w:after="160"/>
      </w:pPr>
      <w:r>
        <w:rPr>
          <w:b/>
          <w:bCs/>
        </w:rPr>
        <w:t xml:space="preserve">Small denominators. </w:t>
      </w:r>
      <w:r>
        <w:t xml:space="preserve">A 10-minute window can contain only a handful of defensive actions, and PPDA on a denominator of two is noise. Windows with fewer than three defensive actions are greyed out rather than coloured — the tool says “not enough signal” instead of guessing. Each bar also carries the raw counts in its tooltip so the analyst can judge stability at a glance.</w:t>
      </w:r>
    </w:p>
    <w:p>
      <w:pPr>
        <w:spacing w:after="160"/>
      </w:pPr>
      <w:r>
        <w:rPr>
          <w:b/>
          <w:bCs/>
        </w:rPr>
        <w:t xml:space="preserve">Score state. </w:t>
      </w:r>
      <w:r>
        <w:t xml:space="preserve">PPDA is confounded by the scoreline: a team leading 2–0 often stops pressing by choice, and the chart should not call that a collapse. Goals and red cards are annotated directly on the timeline as vertical markers, so every PPDA shift is read against the match situation that produced it. The interpretation stays with the analyst; the tool just refuses to hide the context.</w:t>
      </w:r>
    </w:p>
    <w:p>
      <w:pPr>
        <w:pStyle w:val="Heading1"/>
      </w:pPr>
      <w:r>
        <w:t xml:space="preserve">OPPONENT PRESS COLLAPSE PATTERNS</w:t>
      </w:r>
    </w:p>
    <w:p>
      <w:pPr>
        <w:spacing w:after="160"/>
      </w:pPr>
      <w:r>
        <w:t xml:space="preserve">The same calculation runs on the opponent. When their PPDA rises above threshold, their press is breaking — space is opening. Those windows are shaded amber on a second chart: amber means exploit.</w:t>
      </w:r>
    </w:p>
    <w:p>
      <w:pPr>
        <w:spacing w:after="160"/>
      </w:pPr>
      <w:r>
        <w:t xml:space="preserve">Both charts sit side by side: our trend left, theirs right. Our press holding while theirs collapses is the window to push tempo. Both breaking means two mid-blocks. The coach reads this in five seconds.</w:t>
      </w:r>
    </w:p>
    <w:p>
      <w:pPr>
        <w:spacing w:after="160"/>
      </w:pPr>
      <w:r>
        <w:t xml:space="preserve">All chart colours use a colour-blind-safe palette (teal/amber/grey with pattern fills on collapse windows), checked against deuteranopia simulation. A red/green scheme would fail roughly one in twelve male coaching staff.</w:t>
      </w:r>
    </w:p>
    <w:p>
      <w:pPr>
        <w:pStyle w:val="Heading1"/>
      </w:pPr>
      <w:r>
        <w:t xml:space="preserve">ADDITIONAL FEATURES</w:t>
      </w:r>
    </w:p>
    <w:p>
      <w:pPr>
        <w:spacing w:after="160"/>
      </w:pPr>
      <w:r>
        <w:t xml:space="preserve">Four views extend the core analysis. Each maps to one of the three coach decisions. All of them give the coach information and leave the decision with the coach.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5" w:val="clear"/>
            <w:tcMar>
              <w:top w:type="dxa" w:w="80"/>
              <w:left w:type="dxa" w:w="120"/>
              <w:bottom w:type="dxa" w:w="80"/>
              <w:right w:type="dxa" w:w="120"/>
            </w:tcMar>
          </w:tcPr>
          <w:p>
            <w:r>
              <w:rPr>
                <w:b/>
                <w:bCs/>
              </w:rPr>
              <w:t xml:space="preserve">Substitution Pressing Profiles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Maps to decision 3 (who to bring on). Compares two candidate substitutes on individual pressing metrics from their StatsBomb history: pressures per 90, pressure regains per 90, and pressing volume in the final 20 minutes of their appearances. We deliberately do not attribute team PPDA changes to individual substitutions — that is a causal claim the data cannot support with one season of minutes. Individual pressure counts are measurable, stable, and honest. The coach picks; the tool does not recommend.</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20"/>
              <w:bottom w:type="dxa" w:w="80"/>
              <w:right w:type="dxa" w:w="120"/>
            </w:tcMar>
          </w:tcPr>
          <w:p>
            <w:r>
              <w:rPr>
                <w:b/>
                <w:bCs/>
              </w:rPr>
              <w:t xml:space="preserve">Press Heatmap Trio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Maps to decisions 1 and 2. Three pitch-third panels show where defensive actions clustered per window. Defensive actions drifting backward across windows means the press has stopped winning the ball high — a visible pattern, not just a number.</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20"/>
              <w:bottom w:type="dxa" w:w="80"/>
              <w:right w:type="dxa" w:w="120"/>
            </w:tcMar>
          </w:tcPr>
          <w:p>
            <w:r>
              <w:rPr>
                <w:b/>
                <w:bCs/>
              </w:rPr>
              <w:t xml:space="preserve">Opponent Press History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Maps to decision 1 (pre-match planning). Shows the opponent’s PPDA trend across all their season matches — not just head-to-head meetings, which are too few (two per season) to mean anything. If a team’s press reliably fades after minute 60 across 20+ matches, that pattern is real and it shapes the press schedule. Sample size per claim is shown on the chart.</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20"/>
              <w:bottom w:type="dxa" w:w="80"/>
              <w:right w:type="dxa" w:w="120"/>
            </w:tcMar>
          </w:tcPr>
          <w:p>
            <w:r>
              <w:rPr>
                <w:b/>
                <w:bCs/>
              </w:rPr>
              <w:t xml:space="preserve">Match Momentum Index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single score per window combining normalised PPDA trend and Defensive Territory Depth, equal-weighted. We label it clearly as a heuristic summary: the formula is documented, it has not been validated against outcomes, and the interface tells the analyst to read the underlying charts, not just the index.</w:t>
            </w:r>
          </w:p>
        </w:tc>
      </w:tr>
    </w:tbl>
    <w:p>
      <w:pPr>
        <w:pStyle w:val="Heading1"/>
      </w:pPr>
      <w:r>
        <w:t xml:space="preserve">THE CONTEXT LAYER</w:t>
      </w:r>
    </w:p>
    <w:p>
      <w:pPr>
        <w:spacing w:after="160"/>
      </w:pPr>
      <w:r>
        <w:t xml:space="preserve">Three supporting metrics explain the PPDA numbers rather than compete with them.</w:t>
      </w:r>
    </w:p>
    <w:p>
      <w:pPr>
        <w:pStyle w:val="ListParagraph"/>
        <w:numPr>
          <w:ilvl w:val="0"/>
          <w:numId w:val="2"/>
        </w:numPr>
        <w:spacing w:after="80"/>
      </w:pPr>
      <w:r>
        <w:rPr>
          <w:b/>
          <w:bCs/>
        </w:rPr>
        <w:t xml:space="preserve">Possession by Period </w:t>
      </w:r>
      <w:r>
        <w:t xml:space="preserve">— ball share per window. A press can look broken simply because your team had the ball; this catches that.</w:t>
      </w:r>
    </w:p>
    <w:p>
      <w:pPr>
        <w:pStyle w:val="ListParagraph"/>
        <w:numPr>
          <w:ilvl w:val="0"/>
          <w:numId w:val="2"/>
        </w:numPr>
        <w:spacing w:after="80"/>
      </w:pPr>
      <w:r>
        <w:rPr>
          <w:b/>
          <w:bCs/>
        </w:rPr>
        <w:t xml:space="preserve">Pressing Success Rate </w:t>
      </w:r>
      <w:r>
        <w:t xml:space="preserve">— share of pressure events followed by a turnover within five seconds (StatsBomb’s pressure-regain convention). PPDA says how often the opponent passes through the press; this says how often the press worked when triggered.</w:t>
      </w:r>
    </w:p>
    <w:p>
      <w:pPr>
        <w:pStyle w:val="ListParagraph"/>
        <w:numPr>
          <w:ilvl w:val="0"/>
          <w:numId w:val="2"/>
        </w:numPr>
        <w:spacing w:after="80"/>
      </w:pPr>
      <w:r>
        <w:rPr>
          <w:b/>
          <w:bCs/>
        </w:rPr>
        <w:t xml:space="preserve">Defensive Territory Depth </w:t>
      </w:r>
      <w:r>
        <w:t xml:space="preserve">— average pitch height of defensive actions per window. The early-warning candidate, tested in the backtest rather than assumed.</w:t>
      </w:r>
    </w:p>
    <w:p>
      <w:pPr>
        <w:pStyle w:val="Heading1"/>
      </w:pPr>
      <w:r>
        <w:t xml:space="preserve">HOW THE COACH ACTUALLY USES THIS</w:t>
      </w:r>
    </w:p>
    <w:p>
      <w:pPr>
        <w:spacing w:after="160"/>
      </w:pPr>
      <w:r>
        <w:t xml:space="preserve">This is not something a head coach opens mid-game. The realistic workflow has three moments.</w:t>
      </w:r>
    </w:p>
    <w:p>
      <w:pPr>
        <w:spacing w:after="160"/>
      </w:pPr>
      <w:r>
        <w:rPr>
          <w:b/>
          <w:bCs/>
        </w:rPr>
        <w:t xml:space="preserve">Before the match </w:t>
      </w:r>
      <w:r>
        <w:t xml:space="preserve">— the analyst opens Opponent Press History and pulls the opponent’s season-long PPDA pattern. If their press fades late, the press schedule changes. The dashboard exports a one-page briefing: two charts, no prose.</w:t>
      </w:r>
    </w:p>
    <w:p>
      <w:pPr>
        <w:spacing w:after="160"/>
      </w:pPr>
      <w:r>
        <w:rPr>
          <w:b/>
          <w:bCs/>
        </w:rPr>
        <w:t xml:space="preserve">Around the match </w:t>
      </w:r>
      <w:r>
        <w:t xml:space="preserve">— the prototype runs on post-match event data; the architecture would accept a live feed, but StatsBomb open data is not live and we do not claim real-time operation. At half-time the analyst can load first-half events and brief the coach on which windows held.</w:t>
      </w:r>
    </w:p>
    <w:p>
      <w:pPr>
        <w:spacing w:after="160"/>
      </w:pPr>
      <w:r>
        <w:rPr>
          <w:b/>
          <w:bCs/>
        </w:rPr>
        <w:t xml:space="preserve">After the match </w:t>
      </w:r>
      <w:r>
        <w:t xml:space="preserve">— the module is the five-minute press debrief. Which windows held, which broke, where the actions concentrated, what the score state was when it happened. The charts answer those questions without being rebuilt each time.</w:t>
      </w:r>
    </w:p>
    <w:p>
      <w:pPr>
        <w:spacing w:after="160"/>
      </w:pPr>
      <w:r>
        <w:t xml:space="preserve">The tool does not replace the analyst. It gives the analyst something structured and replicable to say.</w:t>
      </w:r>
    </w:p>
    <w:p>
      <w:pPr>
        <w:pStyle w:val="Heading1"/>
      </w:pPr>
      <w:r>
        <w:t xml:space="preserve">BROADER PERSPECTIVE</w:t>
      </w:r>
    </w:p>
    <w:p>
      <w:pPr>
        <w:spacing w:after="160"/>
      </w:pPr>
      <w:r>
        <w:t xml:space="preserve">Press analytics used to be a tracking-data privilege: GPS and optical systems priced for elite clubs. Event-data PPDA changes that. Any club in a StatsBomb-covered competition can run this analysis with zero hardware spend — the same democratisation that has carried analytics from MLB front offices to amateur sport. StatsBomb releases new open datasets annually, and this codebase runs on any of them unchanged. The prototype season is La Liga 2015/16; the tool is season-agnostic.</w:t>
      </w:r>
    </w:p>
    <w:p>
      <w:pPr>
        <w:spacing w:after="160"/>
      </w:pPr>
      <w:r>
        <w:t xml:space="preserve">That is also why the analyst role matters in our framing: the transferable skills here — PPDA calculation from raw events, pressure-event interpretation, rolling aggregation, threshold validation — are exactly what clubs using StatsBomb expect. An analyst who can say “here is the number, here is how it is derived, and here is the test that says it means something” is more useful than one who says “the tool gave this answer.”</w:t>
      </w:r>
    </w:p>
    <w:p>
      <w:pPr>
        <w:pStyle w:val="Heading1"/>
      </w:pPr>
      <w:r>
        <w:t xml:space="preserve">WHAT WE’RE NOT BUILDING</w:t>
      </w:r>
    </w:p>
    <w:p>
      <w:pPr>
        <w:pStyle w:val="ListParagraph"/>
        <w:numPr>
          <w:ilvl w:val="0"/>
          <w:numId w:val="2"/>
        </w:numPr>
        <w:spacing w:after="80"/>
      </w:pPr>
      <w:r>
        <w:rPr>
          <w:b/>
          <w:bCs/>
        </w:rPr>
        <w:t xml:space="preserve">Formation shape analysis </w:t>
      </w:r>
      <w:r>
        <w:t xml:space="preserve">— event data has no player tracking; inferring formations from event locations is unreliable, and we won’t ship a chart that looks useful but can’t be trusted.</w:t>
      </w:r>
    </w:p>
    <w:p>
      <w:pPr>
        <w:pStyle w:val="ListParagraph"/>
        <w:numPr>
          <w:ilvl w:val="0"/>
          <w:numId w:val="2"/>
        </w:numPr>
        <w:spacing w:after="80"/>
      </w:pPr>
      <w:r>
        <w:rPr>
          <w:b/>
          <w:bCs/>
        </w:rPr>
        <w:t xml:space="preserve">An AI tactical mode selector </w:t>
      </w:r>
      <w:r>
        <w:t xml:space="preserve">— it puts the tool in the decision seat. Everything here is built so the coach decides, not approves.</w:t>
      </w:r>
    </w:p>
    <w:p>
      <w:pPr>
        <w:pStyle w:val="ListParagraph"/>
        <w:numPr>
          <w:ilvl w:val="0"/>
          <w:numId w:val="2"/>
        </w:numPr>
        <w:spacing w:after="80"/>
      </w:pPr>
      <w:r>
        <w:rPr>
          <w:b/>
          <w:bCs/>
        </w:rPr>
        <w:t xml:space="preserve">Set piece analysis </w:t>
      </w:r>
      <w:r>
        <w:t xml:space="preserve">— a separate problem that deserves its own module.</w:t>
      </w:r>
    </w:p>
    <w:p>
      <w:pPr>
        <w:pStyle w:val="ListParagraph"/>
        <w:numPr>
          <w:ilvl w:val="0"/>
          <w:numId w:val="2"/>
        </w:numPr>
        <w:spacing w:after="80"/>
      </w:pPr>
      <w:r>
        <w:rPr>
          <w:b/>
          <w:bCs/>
        </w:rPr>
        <w:t xml:space="preserve">Per-substitution PPDA attribution </w:t>
      </w:r>
      <w:r>
        <w:t xml:space="preserve">— dropped from the simulator (see above) because team-level PPDA cannot be causally assigned to one player from observational data at this sample size.</w:t>
      </w:r>
    </w:p>
    <w:p>
      <w:pPr>
        <w:pStyle w:val="Heading1"/>
      </w:pPr>
      <w:r>
        <w:t xml:space="preserve">RUBRIC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CCCCC" w:sz="1"/>
              <w:left w:val="single" w:color="CCCCCC" w:sz="1"/>
              <w:bottom w:val="single" w:color="CCCCCC" w:sz="1"/>
              <w:right w:val="single" w:color="CCCCCC" w:sz="1"/>
            </w:tcBorders>
            <w:shd w:fill="EAF2F5" w:val="clear"/>
            <w:tcMar>
              <w:top w:type="dxa" w:w="80"/>
              <w:left w:type="dxa" w:w="120"/>
              <w:bottom w:type="dxa" w:w="80"/>
              <w:right w:type="dxa" w:w="120"/>
            </w:tcMar>
          </w:tcPr>
          <w:p>
            <w:r>
              <w:rPr>
                <w:b/>
                <w:bCs/>
              </w:rPr>
              <w:t xml:space="preserve">Appearance &amp; Usability (25%)</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Streamlit layout with a fixed sidebar (match, team, threshold slider, window size), side-by-side press charts, grey-out for low-signal windows, goal/red-card annotations, colour-blind-safe palette with pattern fills, one-page briefing export.</w:t>
            </w:r>
          </w:p>
        </w:tc>
      </w:tr>
      <w:tr>
        <w:tc>
          <w:tcPr>
            <w:tcW w:type="dxa" w:w="3100"/>
            <w:tcBorders>
              <w:top w:val="single" w:color="CCCCCC" w:sz="1"/>
              <w:left w:val="single" w:color="CCCCCC" w:sz="1"/>
              <w:bottom w:val="single" w:color="CCCCCC" w:sz="1"/>
              <w:right w:val="single" w:color="CCCCCC" w:sz="1"/>
            </w:tcBorders>
            <w:shd w:fill="EAF2F5" w:val="clear"/>
            <w:tcMar>
              <w:top w:type="dxa" w:w="80"/>
              <w:left w:type="dxa" w:w="120"/>
              <w:bottom w:type="dxa" w:w="80"/>
              <w:right w:type="dxa" w:w="120"/>
            </w:tcMar>
          </w:tcPr>
          <w:p>
            <w:r>
              <w:rPr>
                <w:b/>
                <w:bCs/>
              </w:rPr>
              <w:t xml:space="preserve">Analytics (25%)</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Pressure-based PPDA with an explicit, defended definition; tumbling-window aggregation; empirical threshold validation across 380 matches with a threshold sweep; lagged-correlation test of the early-warning claim; minimum-event noise handling; score-state confounder control.</w:t>
            </w:r>
          </w:p>
        </w:tc>
      </w:tr>
      <w:tr>
        <w:tc>
          <w:tcPr>
            <w:tcW w:type="dxa" w:w="3100"/>
            <w:tcBorders>
              <w:top w:val="single" w:color="CCCCCC" w:sz="1"/>
              <w:left w:val="single" w:color="CCCCCC" w:sz="1"/>
              <w:bottom w:val="single" w:color="CCCCCC" w:sz="1"/>
              <w:right w:val="single" w:color="CCCCCC" w:sz="1"/>
            </w:tcBorders>
            <w:shd w:fill="EAF2F5" w:val="clear"/>
            <w:tcMar>
              <w:top w:type="dxa" w:w="80"/>
              <w:left w:type="dxa" w:w="120"/>
              <w:bottom w:type="dxa" w:w="80"/>
              <w:right w:type="dxa" w:w="120"/>
            </w:tcMar>
          </w:tcPr>
          <w:p>
            <w:r>
              <w:rPr>
                <w:b/>
                <w:bCs/>
              </w:rPr>
              <w:t xml:space="preserve">Features (25%)</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Every feature maps to one of three named coach decisions: trigger, release, substitute. Substitution Pressing Profiles, Press Heatmap Trio, Opponent Press History, Match Momentum Index, plus the three-metric context layer.</w:t>
            </w:r>
          </w:p>
        </w:tc>
      </w:tr>
      <w:tr>
        <w:tc>
          <w:tcPr>
            <w:tcW w:type="dxa" w:w="3100"/>
            <w:tcBorders>
              <w:top w:val="single" w:color="CCCCCC" w:sz="1"/>
              <w:left w:val="single" w:color="CCCCCC" w:sz="1"/>
              <w:bottom w:val="single" w:color="CCCCCC" w:sz="1"/>
              <w:right w:val="single" w:color="CCCCCC" w:sz="1"/>
            </w:tcBorders>
            <w:shd w:fill="EAF2F5" w:val="clear"/>
            <w:tcMar>
              <w:top w:type="dxa" w:w="80"/>
              <w:left w:type="dxa" w:w="120"/>
              <w:bottom w:type="dxa" w:w="80"/>
              <w:right w:type="dxa" w:w="120"/>
            </w:tcMar>
          </w:tcPr>
          <w:p>
            <w:r>
              <w:rPr>
                <w:b/>
                <w:bCs/>
              </w:rPr>
              <w:t xml:space="preserve">Documentation (25%)</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This design document, a user manual structured around the three-moment workflow (pre/around/post match), the documented momentum formula, backtest results with code, configurable settings reference, and the contribution statement.</w:t>
            </w:r>
          </w:p>
        </w:tc>
      </w:tr>
    </w:tbl>
    <w:p>
      <w:pPr>
        <w:pStyle w:val="Heading1"/>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5" w:val="clear"/>
            <w:tcMar>
              <w:top w:type="dxa" w:w="80"/>
              <w:left w:type="dxa" w:w="120"/>
              <w:bottom w:type="dxa" w:w="80"/>
              <w:right w:type="dxa" w:w="120"/>
            </w:tcMar>
          </w:tcPr>
          <w:p>
            <w:r>
              <w:rPr>
                <w:b/>
                <w:bCs/>
              </w:rPr>
              <w:t xml:space="preserve">Stakeholder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Head Coach, via analyst briefing — framed around three pressing decisions: trigger, release, substitute.</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20"/>
              <w:bottom w:type="dxa" w:w="80"/>
              <w:right w:type="dxa" w:w="120"/>
            </w:tcMar>
          </w:tcPr>
          <w:p>
            <w:r>
              <w:rPr>
                <w:b/>
                <w:bCs/>
              </w:rPr>
              <w:t xml:space="preserve">Data source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StatsBomb open data — La Liga 2015/16, 380 matches, pressure events, via statsbombpy.</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20"/>
              <w:bottom w:type="dxa" w:w="80"/>
              <w:right w:type="dxa" w:w="120"/>
            </w:tcMar>
          </w:tcPr>
          <w:p>
            <w:r>
              <w:rPr>
                <w:b/>
                <w:bCs/>
              </w:rPr>
              <w:t xml:space="preserve">Core metric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Pressure-based PPDA in tumbling 10-minute windows, opposition 60% of pitch. Threshold configurable; default set by backtest, textbook 10.0 reported for comparison.</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20"/>
              <w:bottom w:type="dxa" w:w="80"/>
              <w:right w:type="dxa" w:w="120"/>
            </w:tcMar>
          </w:tcPr>
          <w:p>
            <w:r>
              <w:rPr>
                <w:b/>
                <w:bCs/>
              </w:rPr>
              <w:t xml:space="preserve">Validation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Concession-rate backtest by window state across 380 matches; threshold sweep 6–16; lagged-correlation test of Defensive Territory Depth as early warning.</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20"/>
              <w:bottom w:type="dxa" w:w="80"/>
              <w:right w:type="dxa" w:w="120"/>
            </w:tcMar>
          </w:tcPr>
          <w:p>
            <w:r>
              <w:rPr>
                <w:b/>
                <w:bCs/>
              </w:rPr>
              <w:t xml:space="preserve">USP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only module that detects when our press is breaking AND when the opponent is vulnerable from the same pressure-event stream — with a collapse threshold backtested against a full season of goal data, not borrowed from a blog post.</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20"/>
              <w:bottom w:type="dxa" w:w="80"/>
              <w:right w:type="dxa" w:w="120"/>
            </w:tcMar>
          </w:tcPr>
          <w:p>
            <w:r>
              <w:rPr>
                <w:b/>
                <w:bCs/>
              </w:rPr>
              <w:t xml:space="preserve">Features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Substitution Pressing Profiles, Press Heatmap Trio, Opponent Press History, Match Momentum Index.</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20"/>
              <w:bottom w:type="dxa" w:w="80"/>
              <w:right w:type="dxa" w:w="120"/>
            </w:tcMar>
          </w:tcPr>
          <w:p>
            <w:r>
              <w:rPr>
                <w:b/>
                <w:bCs/>
              </w:rPr>
              <w:t xml:space="preserve">Context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Possession by Period, Pressing Success Rate, Defensive Territory Depth.</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20"/>
              <w:bottom w:type="dxa" w:w="80"/>
              <w:right w:type="dxa" w:w="120"/>
            </w:tcMar>
          </w:tcPr>
          <w:p>
            <w:r>
              <w:rPr>
                <w:b/>
                <w:bCs/>
              </w:rPr>
              <w:t xml:space="preserve">Honesty controls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Grey-out below 3 defensive actions per window, goal/red-card annotations, heuristic labelling on the index, sample sizes shown on history charts.</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20"/>
              <w:bottom w:type="dxa" w:w="80"/>
              <w:right w:type="dxa" w:w="120"/>
            </w:tcMar>
          </w:tcPr>
          <w:p>
            <w:r>
              <w:rPr>
                <w:b/>
                <w:bCs/>
              </w:rPr>
              <w:t xml:space="preserve">Not included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Formation inference (no tracking data), AI tactic selector (wrong decision seat), set pieces (separate module), per-player PPDA attribution (unsupportable causal claim).</w:t>
            </w:r>
          </w:p>
        </w:tc>
      </w:tr>
    </w:tbl>
    <w:p>
      <w:pPr>
        <w:spacing w:before="240"/>
      </w:pPr>
      <w:r>
        <w:rPr>
          <w:i/>
          <w:iCs/>
          <w:color w:val="555555"/>
          <w:sz w:val="20"/>
          <w:szCs w:val="20"/>
        </w:rPr>
        <w:t xml:space="preserve">MIS41500 Sports &amp; Performance Analytics  |  Group Assignment</w:t>
      </w:r>
    </w:p>
    <w:sectPr>
      <w:pgSz w:w="11906" w:h="16838"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2026-06-09T18:59:03.444Z</dcterms:created>
  <dcterms:modified xsi:type="dcterms:W3CDTF">2026-06-09T18:59:03.445Z</dcterms:modified>
</cp:coreProperties>
</file>

<file path=docProps/custom.xml><?xml version="1.0" encoding="utf-8"?>
<Properties xmlns="http://schemas.openxmlformats.org/officeDocument/2006/custom-properties" xmlns:vt="http://schemas.openxmlformats.org/officeDocument/2006/docPropsVTypes"/>
</file>