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Calibri" w:hAnsi="Calibri"/>
          <w:b/>
          <w:color w:val="1A365D"/>
          <w:sz w:val="56"/>
        </w:rPr>
        <w:t>CardioSense</w:t>
        <w:br/>
      </w:r>
      <w:r>
        <w:rPr>
          <w:rFonts w:ascii="Calibri" w:hAnsi="Calibri"/>
          <w:b/>
          <w:color w:val="2B6CB0"/>
          <w:sz w:val="28"/>
        </w:rPr>
        <w:t>Dual-Cohort Machine Learning Lifecycle, Clinical Rationale, Methodology &amp; Research Monograph</w:t>
      </w:r>
    </w:p>
    <w:p>
      <w:pPr>
        <w:spacing w:before="80" w:after="480"/>
        <w:jc w:val="center"/>
      </w:pPr>
      <w:r>
        <w:rPr>
          <w:rFonts w:ascii="Calibri" w:hAnsi="Calibri"/>
          <w:i/>
          <w:color w:val="718096"/>
          <w:sz w:val="22"/>
        </w:rPr>
        <w:t>Primary Focus: Indian Hospital Cohort (N=1,000) &amp; Canonical UCI Cleveland Benchmark (N=303)</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4680"/>
        <w:gridCol w:w="4680"/>
      </w:tblGrid>
      <w:tr>
        <w:tc>
          <w:tcPr>
            <w:tcW w:type="dxa" w:w="3168"/>
            <w:shd w:fill="1A365D"/>
            <w:tcMar>
              <w:top w:w="120" w:type="dxa"/>
              <w:bottom w:w="120" w:type="dxa"/>
              <w:left w:w="140" w:type="dxa"/>
              <w:right w:w="140" w:type="dxa"/>
            </w:tcMar>
          </w:tcPr>
          <w:p>
            <w:pPr>
              <w:jc w:val="left"/>
            </w:pPr>
            <w:r>
              <w:rPr>
                <w:rFonts w:ascii="Calibri" w:hAnsi="Calibri"/>
                <w:b/>
                <w:color w:val="FFFFFF"/>
                <w:sz w:val="19"/>
              </w:rPr>
              <w:t>Attribute</w:t>
            </w:r>
          </w:p>
        </w:tc>
        <w:tc>
          <w:tcPr>
            <w:tcW w:type="dxa" w:w="6192"/>
            <w:shd w:fill="1A365D"/>
            <w:tcMar>
              <w:top w:w="120" w:type="dxa"/>
              <w:bottom w:w="120" w:type="dxa"/>
              <w:left w:w="140" w:type="dxa"/>
              <w:right w:w="140" w:type="dxa"/>
            </w:tcMar>
          </w:tcPr>
          <w:p>
            <w:pPr>
              <w:jc w:val="left"/>
            </w:pPr>
            <w:r>
              <w:rPr>
                <w:rFonts w:ascii="Calibri" w:hAnsi="Calibri"/>
                <w:b/>
                <w:color w:val="FFFFFF"/>
                <w:sz w:val="19"/>
              </w:rPr>
              <w:t>Specification / Value</w:t>
            </w:r>
          </w:p>
        </w:tc>
      </w:tr>
      <w:tr>
        <w:tc>
          <w:tcPr>
            <w:tcW w:type="dxa" w:w="3168"/>
            <w:shd w:fill="FFFFFF"/>
            <w:tcMar>
              <w:top w:w="80" w:type="dxa"/>
              <w:bottom w:w="80" w:type="dxa"/>
              <w:left w:w="140" w:type="dxa"/>
              <w:right w:w="140" w:type="dxa"/>
            </w:tcMar>
          </w:tcPr>
          <w:p>
            <w:r>
              <w:rPr>
                <w:rFonts w:ascii="Calibri" w:hAnsi="Calibri"/>
                <w:color w:val="2D3748"/>
                <w:sz w:val="18"/>
              </w:rPr>
              <w:t>Project Repository</w:t>
            </w:r>
          </w:p>
        </w:tc>
        <w:tc>
          <w:tcPr>
            <w:tcW w:type="dxa" w:w="6192"/>
            <w:shd w:fill="FFFFFF"/>
            <w:tcMar>
              <w:top w:w="80" w:type="dxa"/>
              <w:bottom w:w="80" w:type="dxa"/>
              <w:left w:w="140" w:type="dxa"/>
              <w:right w:w="140" w:type="dxa"/>
            </w:tcMar>
          </w:tcPr>
          <w:p>
            <w:r>
              <w:rPr>
                <w:rFonts w:ascii="Calibri" w:hAnsi="Calibri"/>
                <w:color w:val="2D3748"/>
                <w:sz w:val="18"/>
              </w:rPr>
              <w:t>https://github.com/Adi3595/CardioSense</w:t>
            </w:r>
          </w:p>
        </w:tc>
      </w:tr>
      <w:tr>
        <w:tc>
          <w:tcPr>
            <w:tcW w:type="dxa" w:w="3168"/>
            <w:shd w:fill="EDF2F7"/>
            <w:tcMar>
              <w:top w:w="80" w:type="dxa"/>
              <w:bottom w:w="80" w:type="dxa"/>
              <w:left w:w="140" w:type="dxa"/>
              <w:right w:w="140" w:type="dxa"/>
            </w:tcMar>
          </w:tcPr>
          <w:p>
            <w:r>
              <w:rPr>
                <w:rFonts w:ascii="Calibri" w:hAnsi="Calibri"/>
                <w:color w:val="2D3748"/>
                <w:sz w:val="18"/>
              </w:rPr>
              <w:t>Primary Author &amp; Lead</w:t>
            </w:r>
          </w:p>
        </w:tc>
        <w:tc>
          <w:tcPr>
            <w:tcW w:type="dxa" w:w="6192"/>
            <w:shd w:fill="EDF2F7"/>
            <w:tcMar>
              <w:top w:w="80" w:type="dxa"/>
              <w:bottom w:w="80" w:type="dxa"/>
              <w:left w:w="140" w:type="dxa"/>
              <w:right w:w="140" w:type="dxa"/>
            </w:tcMar>
          </w:tcPr>
          <w:p>
            <w:r>
              <w:rPr>
                <w:rFonts w:ascii="Calibri" w:hAnsi="Calibri"/>
                <w:color w:val="2D3748"/>
                <w:sz w:val="18"/>
              </w:rPr>
              <w:t>Aditya (Adi3595)</w:t>
            </w:r>
          </w:p>
        </w:tc>
      </w:tr>
      <w:tr>
        <w:tc>
          <w:tcPr>
            <w:tcW w:type="dxa" w:w="3168"/>
            <w:shd w:fill="FFFFFF"/>
            <w:tcMar>
              <w:top w:w="80" w:type="dxa"/>
              <w:bottom w:w="80" w:type="dxa"/>
              <w:left w:w="140" w:type="dxa"/>
              <w:right w:w="140" w:type="dxa"/>
            </w:tcMar>
          </w:tcPr>
          <w:p>
            <w:r>
              <w:rPr>
                <w:rFonts w:ascii="Calibri" w:hAnsi="Calibri"/>
                <w:color w:val="2D3748"/>
                <w:sz w:val="18"/>
              </w:rPr>
              <w:t>Primary Research Cohort</w:t>
            </w:r>
          </w:p>
        </w:tc>
        <w:tc>
          <w:tcPr>
            <w:tcW w:type="dxa" w:w="6192"/>
            <w:shd w:fill="FFFFFF"/>
            <w:tcMar>
              <w:top w:w="80" w:type="dxa"/>
              <w:bottom w:w="80" w:type="dxa"/>
              <w:left w:w="140" w:type="dxa"/>
              <w:right w:w="140" w:type="dxa"/>
            </w:tcMar>
          </w:tcPr>
          <w:p>
            <w:r>
              <w:rPr>
                <w:rFonts w:ascii="Calibri" w:hAnsi="Calibri"/>
                <w:color w:val="2D3748"/>
                <w:sz w:val="18"/>
              </w:rPr>
              <w:t>Indian Hospital Cohort (Mendeley Data DOI: 10.17632/dzz48mvjht.1)</w:t>
            </w:r>
          </w:p>
        </w:tc>
      </w:tr>
      <w:tr>
        <w:tc>
          <w:tcPr>
            <w:tcW w:type="dxa" w:w="3168"/>
            <w:shd w:fill="EDF2F7"/>
            <w:tcMar>
              <w:top w:w="80" w:type="dxa"/>
              <w:bottom w:w="80" w:type="dxa"/>
              <w:left w:w="140" w:type="dxa"/>
              <w:right w:w="140" w:type="dxa"/>
            </w:tcMar>
          </w:tcPr>
          <w:p>
            <w:r>
              <w:rPr>
                <w:rFonts w:ascii="Calibri" w:hAnsi="Calibri"/>
                <w:color w:val="2D3748"/>
                <w:sz w:val="18"/>
              </w:rPr>
              <w:t>Indian Cohort Dimensions</w:t>
            </w:r>
          </w:p>
        </w:tc>
        <w:tc>
          <w:tcPr>
            <w:tcW w:type="dxa" w:w="6192"/>
            <w:shd w:fill="EDF2F7"/>
            <w:tcMar>
              <w:top w:w="80" w:type="dxa"/>
              <w:bottom w:w="80" w:type="dxa"/>
              <w:left w:w="140" w:type="dxa"/>
              <w:right w:w="140" w:type="dxa"/>
            </w:tcMar>
          </w:tcPr>
          <w:p>
            <w:r>
              <w:rPr>
                <w:rFonts w:ascii="Calibri" w:hAnsi="Calibri"/>
                <w:color w:val="2D3748"/>
                <w:sz w:val="18"/>
              </w:rPr>
              <w:t>1,000 Patient Records × 14 Raw Attributes (12 Predictors + 1 ID + 1 Target)</w:t>
            </w:r>
          </w:p>
        </w:tc>
      </w:tr>
      <w:tr>
        <w:tc>
          <w:tcPr>
            <w:tcW w:type="dxa" w:w="3168"/>
            <w:shd w:fill="FFFFFF"/>
            <w:tcMar>
              <w:top w:w="80" w:type="dxa"/>
              <w:bottom w:w="80" w:type="dxa"/>
              <w:left w:w="140" w:type="dxa"/>
              <w:right w:w="140" w:type="dxa"/>
            </w:tcMar>
          </w:tcPr>
          <w:p>
            <w:r>
              <w:rPr>
                <w:rFonts w:ascii="Calibri" w:hAnsi="Calibri"/>
                <w:color w:val="2D3748"/>
                <w:sz w:val="18"/>
              </w:rPr>
              <w:t>Primary Checksum</w:t>
            </w:r>
          </w:p>
        </w:tc>
        <w:tc>
          <w:tcPr>
            <w:tcW w:type="dxa" w:w="6192"/>
            <w:shd w:fill="FFFFFF"/>
            <w:tcMar>
              <w:top w:w="80" w:type="dxa"/>
              <w:bottom w:w="80" w:type="dxa"/>
              <w:left w:w="140" w:type="dxa"/>
              <w:right w:w="140" w:type="dxa"/>
            </w:tcMar>
          </w:tcPr>
          <w:p>
            <w:r>
              <w:rPr>
                <w:rFonts w:ascii="Calibri" w:hAnsi="Calibri"/>
                <w:color w:val="2D3748"/>
                <w:sz w:val="18"/>
              </w:rPr>
              <w:t>SHA256: 9376367dde41e79e432d6402ea5d9e44223fc318ff54ed09966d721923947d1e</w:t>
            </w:r>
          </w:p>
        </w:tc>
      </w:tr>
      <w:tr>
        <w:tc>
          <w:tcPr>
            <w:tcW w:type="dxa" w:w="3168"/>
            <w:shd w:fill="EDF2F7"/>
            <w:tcMar>
              <w:top w:w="80" w:type="dxa"/>
              <w:bottom w:w="80" w:type="dxa"/>
              <w:left w:w="140" w:type="dxa"/>
              <w:right w:w="140" w:type="dxa"/>
            </w:tcMar>
          </w:tcPr>
          <w:p>
            <w:r>
              <w:rPr>
                <w:rFonts w:ascii="Calibri" w:hAnsi="Calibri"/>
                <w:color w:val="2D3748"/>
                <w:sz w:val="18"/>
              </w:rPr>
              <w:t>Benchmark Cohort</w:t>
            </w:r>
          </w:p>
        </w:tc>
        <w:tc>
          <w:tcPr>
            <w:tcW w:type="dxa" w:w="6192"/>
            <w:shd w:fill="EDF2F7"/>
            <w:tcMar>
              <w:top w:w="80" w:type="dxa"/>
              <w:bottom w:w="80" w:type="dxa"/>
              <w:left w:w="140" w:type="dxa"/>
              <w:right w:w="140" w:type="dxa"/>
            </w:tcMar>
          </w:tcPr>
          <w:p>
            <w:r>
              <w:rPr>
                <w:rFonts w:ascii="Calibri" w:hAnsi="Calibri"/>
                <w:color w:val="2D3748"/>
                <w:sz w:val="18"/>
              </w:rPr>
              <w:t>UCI Cleveland Clinic Foundation Database (N=303, Janosi et al., 1988)</w:t>
            </w:r>
          </w:p>
        </w:tc>
      </w:tr>
      <w:tr>
        <w:tc>
          <w:tcPr>
            <w:tcW w:type="dxa" w:w="3168"/>
            <w:shd w:fill="FFFFFF"/>
            <w:tcMar>
              <w:top w:w="80" w:type="dxa"/>
              <w:bottom w:w="80" w:type="dxa"/>
              <w:left w:w="140" w:type="dxa"/>
              <w:right w:w="140" w:type="dxa"/>
            </w:tcMar>
          </w:tcPr>
          <w:p>
            <w:r>
              <w:rPr>
                <w:rFonts w:ascii="Calibri" w:hAnsi="Calibri"/>
                <w:color w:val="2D3748"/>
                <w:sz w:val="18"/>
              </w:rPr>
              <w:t>Benchmark Checksum</w:t>
            </w:r>
          </w:p>
        </w:tc>
        <w:tc>
          <w:tcPr>
            <w:tcW w:type="dxa" w:w="6192"/>
            <w:shd w:fill="FFFFFF"/>
            <w:tcMar>
              <w:top w:w="80" w:type="dxa"/>
              <w:bottom w:w="80" w:type="dxa"/>
              <w:left w:w="140" w:type="dxa"/>
              <w:right w:w="140" w:type="dxa"/>
            </w:tcMar>
          </w:tcPr>
          <w:p>
            <w:r>
              <w:rPr>
                <w:rFonts w:ascii="Calibri" w:hAnsi="Calibri"/>
                <w:color w:val="2D3748"/>
                <w:sz w:val="18"/>
              </w:rPr>
              <w:t>SHA256: a74b7efa387bc9d108d7d0115d831fe9b414b29ae7124f331b622b4efa0427c8</w:t>
            </w:r>
          </w:p>
        </w:tc>
      </w:tr>
      <w:tr>
        <w:tc>
          <w:tcPr>
            <w:tcW w:type="dxa" w:w="3168"/>
            <w:shd w:fill="EDF2F7"/>
            <w:tcMar>
              <w:top w:w="80" w:type="dxa"/>
              <w:bottom w:w="80" w:type="dxa"/>
              <w:left w:w="140" w:type="dxa"/>
              <w:right w:w="140" w:type="dxa"/>
            </w:tcMar>
          </w:tcPr>
          <w:p>
            <w:r>
              <w:rPr>
                <w:rFonts w:ascii="Calibri" w:hAnsi="Calibri"/>
                <w:color w:val="2D3748"/>
                <w:sz w:val="18"/>
              </w:rPr>
              <w:t>Champion Model (India)</w:t>
            </w:r>
          </w:p>
        </w:tc>
        <w:tc>
          <w:tcPr>
            <w:tcW w:type="dxa" w:w="6192"/>
            <w:shd w:fill="EDF2F7"/>
            <w:tcMar>
              <w:top w:w="80" w:type="dxa"/>
              <w:bottom w:w="80" w:type="dxa"/>
              <w:left w:w="140" w:type="dxa"/>
              <w:right w:w="140" w:type="dxa"/>
            </w:tcMar>
          </w:tcPr>
          <w:p>
            <w:r>
              <w:rPr>
                <w:rFonts w:ascii="Calibri" w:hAnsi="Calibri"/>
                <w:color w:val="2D3748"/>
                <w:sz w:val="18"/>
              </w:rPr>
              <w:t>XGBoost Classifier (Test Acc: 99.50%, Recall: 100.0%, 0 False Negatives, ROC-AUC: 0.9998)</w:t>
            </w:r>
          </w:p>
        </w:tc>
      </w:tr>
      <w:tr>
        <w:tc>
          <w:tcPr>
            <w:tcW w:type="dxa" w:w="3168"/>
            <w:shd w:fill="FFFFFF"/>
            <w:tcMar>
              <w:top w:w="80" w:type="dxa"/>
              <w:bottom w:w="80" w:type="dxa"/>
              <w:left w:w="140" w:type="dxa"/>
              <w:right w:w="140" w:type="dxa"/>
            </w:tcMar>
          </w:tcPr>
          <w:p>
            <w:r>
              <w:rPr>
                <w:rFonts w:ascii="Calibri" w:hAnsi="Calibri"/>
                <w:color w:val="2D3748"/>
                <w:sz w:val="18"/>
              </w:rPr>
              <w:t>Champion Model (UCI)</w:t>
            </w:r>
          </w:p>
        </w:tc>
        <w:tc>
          <w:tcPr>
            <w:tcW w:type="dxa" w:w="6192"/>
            <w:shd w:fill="FFFFFF"/>
            <w:tcMar>
              <w:top w:w="80" w:type="dxa"/>
              <w:bottom w:w="80" w:type="dxa"/>
              <w:left w:w="140" w:type="dxa"/>
              <w:right w:w="140" w:type="dxa"/>
            </w:tcMar>
          </w:tcPr>
          <w:p>
            <w:r>
              <w:rPr>
                <w:rFonts w:ascii="Calibri" w:hAnsi="Calibri"/>
                <w:color w:val="2D3748"/>
                <w:sz w:val="18"/>
              </w:rPr>
              <w:t>Random Forest Classifier (CV ROC-AUC: 0.9038 ± 0.0238, Test ROC-AUC: 0.9502)</w:t>
            </w:r>
          </w:p>
        </w:tc>
      </w:tr>
      <w:tr>
        <w:tc>
          <w:tcPr>
            <w:tcW w:type="dxa" w:w="3168"/>
            <w:shd w:fill="EDF2F7"/>
            <w:tcMar>
              <w:top w:w="80" w:type="dxa"/>
              <w:bottom w:w="80" w:type="dxa"/>
              <w:left w:w="140" w:type="dxa"/>
              <w:right w:w="140" w:type="dxa"/>
            </w:tcMar>
          </w:tcPr>
          <w:p>
            <w:r>
              <w:rPr>
                <w:rFonts w:ascii="Calibri" w:hAnsi="Calibri"/>
                <w:color w:val="2D3748"/>
                <w:sz w:val="18"/>
              </w:rPr>
              <w:t>Explainability Engine</w:t>
            </w:r>
          </w:p>
        </w:tc>
        <w:tc>
          <w:tcPr>
            <w:tcW w:type="dxa" w:w="6192"/>
            <w:shd w:fill="EDF2F7"/>
            <w:tcMar>
              <w:top w:w="80" w:type="dxa"/>
              <w:bottom w:w="80" w:type="dxa"/>
              <w:left w:w="140" w:type="dxa"/>
              <w:right w:w="140" w:type="dxa"/>
            </w:tcMar>
          </w:tcPr>
          <w:p>
            <w:r>
              <w:rPr>
                <w:rFonts w:ascii="Calibri" w:hAnsi="Calibri"/>
                <w:color w:val="2D3748"/>
                <w:sz w:val="18"/>
              </w:rPr>
              <w:t>TreeExplainer via Shapley Additive exPlanations (SHAP)</w:t>
            </w:r>
          </w:p>
        </w:tc>
      </w:tr>
      <w:tr>
        <w:tc>
          <w:tcPr>
            <w:tcW w:type="dxa" w:w="3168"/>
            <w:shd w:fill="FFFFFF"/>
            <w:tcMar>
              <w:top w:w="80" w:type="dxa"/>
              <w:bottom w:w="80" w:type="dxa"/>
              <w:left w:w="140" w:type="dxa"/>
              <w:right w:w="140" w:type="dxa"/>
            </w:tcMar>
          </w:tcPr>
          <w:p>
            <w:r>
              <w:rPr>
                <w:rFonts w:ascii="Calibri" w:hAnsi="Calibri"/>
                <w:color w:val="2D3748"/>
                <w:sz w:val="18"/>
              </w:rPr>
              <w:t>Deployment Stack</w:t>
            </w:r>
          </w:p>
        </w:tc>
        <w:tc>
          <w:tcPr>
            <w:tcW w:type="dxa" w:w="6192"/>
            <w:shd w:fill="FFFFFF"/>
            <w:tcMar>
              <w:top w:w="80" w:type="dxa"/>
              <w:bottom w:w="80" w:type="dxa"/>
              <w:left w:w="140" w:type="dxa"/>
              <w:right w:w="140" w:type="dxa"/>
            </w:tcMar>
          </w:tcPr>
          <w:p>
            <w:r>
              <w:rPr>
                <w:rFonts w:ascii="Calibri" w:hAnsi="Calibri"/>
                <w:color w:val="2D3748"/>
                <w:sz w:val="18"/>
              </w:rPr>
              <w:t>Python 3.12, Scikit-Learn 1.9, XGBoost, FastAPI 0.116, Streamlit 1.42, Next.js 16</w:t>
            </w:r>
          </w:p>
        </w:tc>
      </w:tr>
    </w:tbl>
    <w:p>
      <w:pPr>
        <w:spacing w:after="80"/>
      </w:pPr>
    </w:p>
    <w:tbl>
      <w:tblPr>
        <w:tblW w:type="auto" w:w="0"/>
        <w:jc w:val="center"/>
        <w:tblLayout w:type="fixed"/>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9360"/>
      </w:tblGrid>
      <w:tr>
        <w:tc>
          <w:tcPr>
            <w:tcW w:type="dxa" w:w="9360"/>
            <w:shd w:fill="F7FAFC"/>
            <w:tcMar>
              <w:top w:w="140" w:type="dxa"/>
              <w:bottom w:w="140" w:type="dxa"/>
              <w:left w:w="200" w:type="dxa"/>
              <w:right w:w="200" w:type="dxa"/>
            </w:tcMar>
          </w:tcPr>
          <w:p>
            <w:pPr>
              <w:spacing w:after="60" w:line="276" w:lineRule="auto"/>
            </w:pPr>
            <w:r>
              <w:rPr>
                <w:rFonts w:ascii="Calibri" w:hAnsi="Calibri"/>
                <w:b/>
                <w:color w:val="1A365D"/>
                <w:sz w:val="21"/>
              </w:rPr>
              <w:t>⚠️ MANDATORY MEDICAL &amp; NON-DIAGNOSTIC DISCLAIMER</w:t>
              <w:br/>
            </w:r>
            <w:r>
              <w:rPr>
                <w:rFonts w:ascii="Calibri" w:hAnsi="Calibri"/>
                <w:color w:val="2D3748"/>
                <w:sz w:val="20"/>
              </w:rPr>
              <w:t>CardioSense is an academic research, machine learning engineering, and educational prototype. It is designed solely to study clinical feature attribution, leakage-free MLOps pipelines, and diagnostic model trade-offs. It is NOT clinically validated, NOT certified as medical device software (FDA / CE-MDR), and MUST NOT be used for actual clinical triage, patient diagnosis, prescription, or treatment planning. All clinical decisions require a licensed physician and standard diagnostic angiography.</w:t>
            </w:r>
          </w:p>
        </w:tc>
      </w:tr>
    </w:tbl>
    <w:p>
      <w:pPr>
        <w:spacing w:after="80"/>
      </w:pPr>
    </w:p>
    <w:p>
      <w:r>
        <w:br w:type="page"/>
      </w:r>
    </w:p>
    <w:p>
      <w:pPr>
        <w:pStyle w:val="Heading1"/>
        <w:keepNext/>
        <w:spacing w:before="280" w:after="80"/>
      </w:pPr>
      <w:r>
        <w:rPr>
          <w:b/>
          <w:color w:val="1A365D"/>
          <w:sz w:val="34"/>
        </w:rPr>
        <w:t>1. Executive Summary &amp; Clinical Problem Formulation</w:t>
      </w:r>
    </w:p>
    <w:p>
      <w:pPr>
        <w:spacing w:after="100" w:line="276" w:lineRule="auto"/>
      </w:pPr>
      <w:r>
        <w:rPr>
          <w:rFonts w:ascii="Calibri" w:hAnsi="Calibri"/>
          <w:i w:val="0"/>
          <w:color w:val="2D3748"/>
          <w:sz w:val="21"/>
        </w:rPr>
        <w:t>Cardiovascular diseases (CVDs) represent the single leading cause of global morbidity and premature mortality, accounting for an estimated 17.9 million deaths annually according to the World Health Organization. In South Asia and India specifically, cardiovascular disease presents an unprecedented public health crisis. Epidemiological investigations, including the landmark Indian Council of Medical Research–India Diabetes (ICMR-INDIAB) study and the Indian Coronary Artery Disease Dataset (ICADD), demonstrate that individuals of South Asian ancestry develop coronary artery disease (CAD) 5 to 10 years earlier than Western populations, with a substantially higher incidence of multi-vessel diffuse disease and sudden cardiac arrest during their peak productive working years.</w:t>
      </w:r>
    </w:p>
    <w:p>
      <w:pPr>
        <w:pStyle w:val="Heading2"/>
        <w:keepNext/>
        <w:spacing w:before="200" w:after="80"/>
      </w:pPr>
      <w:r>
        <w:rPr>
          <w:b/>
          <w:color w:val="2B6CB0"/>
          <w:sz w:val="27"/>
        </w:rPr>
        <w:t>1.1 The Clinical Diagnostic Dilemma: Invasive Angiography vs. Non-Invasive Screening</w:t>
      </w:r>
    </w:p>
    <w:p>
      <w:pPr>
        <w:spacing w:after="100" w:line="276" w:lineRule="auto"/>
      </w:pPr>
      <w:r>
        <w:rPr>
          <w:rFonts w:ascii="Calibri" w:hAnsi="Calibri"/>
          <w:i w:val="0"/>
          <w:color w:val="2D3748"/>
          <w:sz w:val="21"/>
        </w:rPr>
        <w:t>The definitive reference procedure for confirming obstructive CAD is invasive coronary catheter angiography. During catheterization, a radiopaque iodinated contrast agent is injected directly into coronary arteries via femoral or radial access. While definitive, invasive catheterization entails non-trivial procedural risks:</w:t>
      </w:r>
    </w:p>
    <w:p>
      <w:pPr>
        <w:spacing w:after="60" w:line="276" w:lineRule="auto"/>
      </w:pPr>
      <w:r>
        <w:rPr>
          <w:rFonts w:ascii="Calibri" w:hAnsi="Calibri"/>
          <w:b/>
          <w:color w:val="2D3748"/>
          <w:sz w:val="21"/>
        </w:rPr>
        <w:t xml:space="preserve">• Vascular Complications: </w:t>
      </w:r>
      <w:r>
        <w:rPr>
          <w:rFonts w:ascii="Calibri" w:hAnsi="Calibri"/>
          <w:i w:val="0"/>
          <w:color w:val="2D3748"/>
          <w:sz w:val="21"/>
        </w:rPr>
        <w:t>Arterial dissection, pseudoaneurysms, retroperitoneal hemorrhage, and access-site hematomas.</w:t>
      </w:r>
    </w:p>
    <w:p>
      <w:pPr>
        <w:spacing w:after="60" w:line="276" w:lineRule="auto"/>
      </w:pPr>
      <w:r>
        <w:rPr>
          <w:rFonts w:ascii="Calibri" w:hAnsi="Calibri"/>
          <w:b/>
          <w:color w:val="2D3748"/>
          <w:sz w:val="21"/>
        </w:rPr>
        <w:t xml:space="preserve">• Systemic &amp; Renal Toxicity: </w:t>
      </w:r>
      <w:r>
        <w:rPr>
          <w:rFonts w:ascii="Calibri" w:hAnsi="Calibri"/>
          <w:i w:val="0"/>
          <w:color w:val="2D3748"/>
          <w:sz w:val="21"/>
        </w:rPr>
        <w:t>Contrast-induced acute kidney injury (nephropathy), especially prevalent in Indian diabetic populations.</w:t>
      </w:r>
    </w:p>
    <w:p>
      <w:pPr>
        <w:spacing w:after="60" w:line="276" w:lineRule="auto"/>
      </w:pPr>
      <w:r>
        <w:rPr>
          <w:rFonts w:ascii="Calibri" w:hAnsi="Calibri"/>
          <w:b/>
          <w:color w:val="2D3748"/>
          <w:sz w:val="21"/>
        </w:rPr>
        <w:t xml:space="preserve">• Neurological Events: </w:t>
      </w:r>
      <w:r>
        <w:rPr>
          <w:rFonts w:ascii="Calibri" w:hAnsi="Calibri"/>
          <w:i w:val="0"/>
          <w:color w:val="2D3748"/>
          <w:sz w:val="21"/>
        </w:rPr>
        <w:t>Catheter-induced thromboembolic strokes or transient ischemic attacks (0.1–0.3% incidence).</w:t>
      </w:r>
    </w:p>
    <w:p>
      <w:pPr>
        <w:spacing w:after="60" w:line="276" w:lineRule="auto"/>
      </w:pPr>
      <w:r>
        <w:rPr>
          <w:rFonts w:ascii="Calibri" w:hAnsi="Calibri"/>
          <w:b/>
          <w:color w:val="2D3748"/>
          <w:sz w:val="21"/>
        </w:rPr>
        <w:t xml:space="preserve">• Resource &amp; Financial Burden: </w:t>
      </w:r>
      <w:r>
        <w:rPr>
          <w:rFonts w:ascii="Calibri" w:hAnsi="Calibri"/>
          <w:i w:val="0"/>
          <w:color w:val="2D3748"/>
          <w:sz w:val="21"/>
        </w:rPr>
        <w:t>High procedural cost ($2,000–$15,000) and reliance on specialized catheterization laboratories, severely restricted in rural/semi-urban India.</w:t>
      </w:r>
    </w:p>
    <w:p>
      <w:pPr>
        <w:spacing w:after="60" w:line="276" w:lineRule="auto"/>
      </w:pPr>
      <w:r>
        <w:rPr>
          <w:rFonts w:ascii="Calibri" w:hAnsi="Calibri"/>
          <w:b/>
          <w:color w:val="2D3748"/>
          <w:sz w:val="21"/>
        </w:rPr>
        <w:t xml:space="preserve">• High Negative Diagnostic Rate: </w:t>
      </w:r>
      <w:r>
        <w:rPr>
          <w:rFonts w:ascii="Calibri" w:hAnsi="Calibri"/>
          <w:i w:val="0"/>
          <w:color w:val="2D3748"/>
          <w:sz w:val="21"/>
        </w:rPr>
        <w:t>Historical registries indicate that up to 35% to 50% of elective catheterizations performed on moderately symptomatic patients reveal non-obstructive coronary arteries, subjecting healthy individuals to procedural risks.</w:t>
      </w:r>
    </w:p>
    <w:p>
      <w:pPr>
        <w:pStyle w:val="Heading2"/>
        <w:keepNext/>
        <w:spacing w:before="200" w:after="80"/>
      </w:pPr>
      <w:r>
        <w:rPr>
          <w:b/>
          <w:color w:val="2B6CB0"/>
          <w:sz w:val="27"/>
        </w:rPr>
        <w:t>1.2 The Dual-Cohort Architecture &amp; Scientific Research Questions</w:t>
      </w:r>
    </w:p>
    <w:p>
      <w:pPr>
        <w:spacing w:after="100" w:line="276" w:lineRule="auto"/>
      </w:pPr>
      <w:r>
        <w:rPr>
          <w:rFonts w:ascii="Calibri" w:hAnsi="Calibri"/>
          <w:i w:val="0"/>
          <w:color w:val="2D3748"/>
          <w:sz w:val="21"/>
        </w:rPr>
        <w:t>To reflect the specific risk dynamics of the Indian population while preserving comparability against Western benchmarks, CardioSense implements a dual-cohort design investigating five primary research questions:</w:t>
      </w:r>
    </w:p>
    <w:p>
      <w:pPr>
        <w:spacing w:after="80" w:line="276" w:lineRule="auto"/>
      </w:pPr>
      <w:r>
        <w:rPr>
          <w:rFonts w:ascii="Calibri" w:hAnsi="Calibri"/>
          <w:b/>
          <w:color w:val="2D3748"/>
          <w:sz w:val="21"/>
        </w:rPr>
        <w:t xml:space="preserve">RQ1 (Cohort-Specific Model Parity): </w:t>
      </w:r>
      <w:r>
        <w:rPr>
          <w:rFonts w:ascii="Calibri" w:hAnsi="Calibri"/>
          <w:i w:val="0"/>
          <w:color w:val="2D3748"/>
          <w:sz w:val="21"/>
        </w:rPr>
        <w:t>How do linear baselines (L2 Logistic Regression) compare against non-linear ensemble models (Random Forest, XGBoost) on the Indian hospital cohort (N=1,000) versus the Western UCI benchmark (N=303)?</w:t>
      </w:r>
    </w:p>
    <w:p>
      <w:pPr>
        <w:spacing w:after="80" w:line="276" w:lineRule="auto"/>
      </w:pPr>
      <w:r>
        <w:rPr>
          <w:rFonts w:ascii="Calibri" w:hAnsi="Calibri"/>
          <w:b/>
          <w:color w:val="2D3748"/>
          <w:sz w:val="21"/>
        </w:rPr>
        <w:t xml:space="preserve">RQ2 (Sensitivity &amp; False Negative Elimination): </w:t>
      </w:r>
      <w:r>
        <w:rPr>
          <w:rFonts w:ascii="Calibri" w:hAnsi="Calibri"/>
          <w:i w:val="0"/>
          <w:color w:val="2D3748"/>
          <w:sz w:val="21"/>
        </w:rPr>
        <w:t>Can gradient boosted architectures achieve zero or near-zero False Negatives on clinical test splits, effectively addressing the risk of fatal missed cardiac diagnoses?</w:t>
      </w:r>
    </w:p>
    <w:p>
      <w:pPr>
        <w:spacing w:after="80" w:line="276" w:lineRule="auto"/>
      </w:pPr>
      <w:r>
        <w:rPr>
          <w:rFonts w:ascii="Calibri" w:hAnsi="Calibri"/>
          <w:b/>
          <w:color w:val="2D3748"/>
          <w:sz w:val="21"/>
        </w:rPr>
        <w:t xml:space="preserve">RQ3 (Feature Attribution Comparison via SHAP): </w:t>
      </w:r>
      <w:r>
        <w:rPr>
          <w:rFonts w:ascii="Calibri" w:hAnsi="Calibri"/>
          <w:i w:val="0"/>
          <w:color w:val="2D3748"/>
          <w:sz w:val="21"/>
        </w:rPr>
        <w:t>Which clinical predictors exert the strongest influence on Indian hospital predictions versus the Western Cleveland benchmark? Do non-invasive predictors (chest pain type, ST depression, exercise angina) dominate over traditional lipid profiles?</w:t>
      </w:r>
    </w:p>
    <w:p>
      <w:pPr>
        <w:spacing w:after="80" w:line="276" w:lineRule="auto"/>
      </w:pPr>
      <w:r>
        <w:rPr>
          <w:rFonts w:ascii="Calibri" w:hAnsi="Calibri"/>
          <w:b/>
          <w:color w:val="2D3748"/>
          <w:sz w:val="21"/>
        </w:rPr>
        <w:t xml:space="preserve">RQ4 (Zero Data Leakage &amp; Domain Hygiene): </w:t>
      </w:r>
      <w:r>
        <w:rPr>
          <w:rFonts w:ascii="Calibri" w:hAnsi="Calibri"/>
          <w:i w:val="0"/>
          <w:color w:val="2D3748"/>
          <w:sz w:val="21"/>
        </w:rPr>
        <w:t>Can domain-specific placeholders (such as 53 zero-cholesterol sentinels in the Indian dataset) be handled through leakage-safe training-fold median imputation without test-set contamination?</w:t>
      </w:r>
    </w:p>
    <w:p>
      <w:pPr>
        <w:spacing w:after="80" w:line="276" w:lineRule="auto"/>
      </w:pPr>
      <w:r>
        <w:rPr>
          <w:rFonts w:ascii="Calibri" w:hAnsi="Calibri"/>
          <w:b/>
          <w:color w:val="2D3748"/>
          <w:sz w:val="21"/>
        </w:rPr>
        <w:t xml:space="preserve">RQ5 (Architectural Separation): </w:t>
      </w:r>
      <w:r>
        <w:rPr>
          <w:rFonts w:ascii="Calibri" w:hAnsi="Calibri"/>
          <w:i w:val="0"/>
          <w:color w:val="2D3748"/>
          <w:sz w:val="21"/>
        </w:rPr>
        <w:t>How do separate dataset-specific schemas and models prevent the confounding errors that occur when incompatible medical datasets are artificially merged?</w:t>
      </w:r>
    </w:p>
    <w:p>
      <w:pPr>
        <w:pStyle w:val="Heading1"/>
        <w:keepNext/>
        <w:spacing w:before="280" w:after="80"/>
      </w:pPr>
      <w:r>
        <w:rPr>
          <w:b/>
          <w:color w:val="1A365D"/>
          <w:sz w:val="34"/>
        </w:rPr>
        <w:t>2. Dual Dataset Provenance, Schemas &amp; Quality Audit</w:t>
      </w:r>
    </w:p>
    <w:p>
      <w:pPr>
        <w:spacing w:after="100" w:line="276" w:lineRule="auto"/>
      </w:pPr>
      <w:r>
        <w:rPr>
          <w:rFonts w:ascii="Calibri" w:hAnsi="Calibri"/>
          <w:i w:val="0"/>
          <w:color w:val="2D3748"/>
          <w:sz w:val="21"/>
        </w:rPr>
        <w:t>CardioSense deliberately maintains two separate, unmerged datasets. Incompatible feature spaces are never concatenated to prevent spurious associations and cross-cohort distribution leakage.</w:t>
      </w:r>
    </w:p>
    <w:p>
      <w:pPr>
        <w:pStyle w:val="Heading2"/>
        <w:keepNext/>
        <w:spacing w:before="200" w:after="80"/>
      </w:pPr>
      <w:r>
        <w:rPr>
          <w:b/>
          <w:color w:val="2B6CB0"/>
          <w:sz w:val="27"/>
        </w:rPr>
        <w:t>2.1 Primary Dataset: Indian Hospital Cohort</w:t>
      </w:r>
    </w:p>
    <w:p>
      <w:pPr>
        <w:spacing w:after="100" w:line="276" w:lineRule="auto"/>
      </w:pPr>
      <w:r>
        <w:rPr>
          <w:rFonts w:ascii="Calibri" w:hAnsi="Calibri"/>
          <w:i w:val="0"/>
          <w:color w:val="2D3748"/>
          <w:sz w:val="21"/>
        </w:rPr>
        <w:t>The primary dataset was acquired from a multi-specialty tertiary care hospital in India, published by Kasturi Doppala and Debnath Bhattacharyya (2020) on Mendeley Data (DOI: 10.17632/dzz48mvjht.1). It comprises 1,000 patient records with 14 original columns (1 patient identifier, 12 clinical predictors, and 1 binary disease target).</w:t>
      </w:r>
    </w:p>
    <w:p>
      <w:pPr>
        <w:spacing w:after="60" w:line="276" w:lineRule="auto"/>
      </w:pPr>
      <w:r>
        <w:rPr>
          <w:rFonts w:ascii="Calibri" w:hAnsi="Calibri"/>
          <w:b/>
          <w:color w:val="2D3748"/>
          <w:sz w:val="21"/>
        </w:rPr>
        <w:t xml:space="preserve">• Patient Identifier Dropping: </w:t>
      </w:r>
      <w:r>
        <w:rPr>
          <w:rFonts w:ascii="Calibri" w:hAnsi="Calibri"/>
          <w:i w:val="0"/>
          <w:color w:val="2D3748"/>
          <w:sz w:val="21"/>
        </w:rPr>
        <w:t>Column 'patientid' was dropped immediately upon ingestion to eliminate identification leakage.</w:t>
      </w:r>
    </w:p>
    <w:p>
      <w:pPr>
        <w:spacing w:after="60" w:line="276" w:lineRule="auto"/>
      </w:pPr>
      <w:r>
        <w:rPr>
          <w:rFonts w:ascii="Calibri" w:hAnsi="Calibri"/>
          <w:b/>
          <w:color w:val="2D3748"/>
          <w:sz w:val="21"/>
        </w:rPr>
        <w:t xml:space="preserve">• Target Balance: </w:t>
      </w:r>
      <w:r>
        <w:rPr>
          <w:rFonts w:ascii="Calibri" w:hAnsi="Calibri"/>
          <w:i w:val="0"/>
          <w:color w:val="2D3748"/>
          <w:sz w:val="21"/>
        </w:rPr>
        <w:t>58.0% positive (580 CVD patients) and 42.0% negative (420 healthy controls), providing a rich supervised signal.</w:t>
      </w:r>
    </w:p>
    <w:p>
      <w:pPr>
        <w:spacing w:after="60" w:line="276" w:lineRule="auto"/>
      </w:pPr>
      <w:r>
        <w:rPr>
          <w:rFonts w:ascii="Calibri" w:hAnsi="Calibri"/>
          <w:b/>
          <w:color w:val="2D3748"/>
          <w:sz w:val="21"/>
        </w:rPr>
        <w:t xml:space="preserve">• Younger Mean Age: </w:t>
      </w:r>
      <w:r>
        <w:rPr>
          <w:rFonts w:ascii="Calibri" w:hAnsi="Calibri"/>
          <w:i w:val="0"/>
          <w:color w:val="2D3748"/>
          <w:sz w:val="21"/>
        </w:rPr>
        <w:t>Mean cohort age is 49.2 ± 7.9 years (range 20–80 years), significantly younger than Western cohorts (54.4 years), confirming premature CAD demographics.</w:t>
      </w:r>
    </w:p>
    <w:p>
      <w:pPr>
        <w:spacing w:after="60" w:line="276" w:lineRule="auto"/>
      </w:pPr>
      <w:r>
        <w:rPr>
          <w:rFonts w:ascii="Calibri" w:hAnsi="Calibri"/>
          <w:b/>
          <w:color w:val="2D3748"/>
          <w:sz w:val="21"/>
        </w:rPr>
        <w:t xml:space="preserve">• Elevated Resting Blood Pressure: </w:t>
      </w:r>
      <w:r>
        <w:rPr>
          <w:rFonts w:ascii="Calibri" w:hAnsi="Calibri"/>
          <w:i w:val="0"/>
          <w:color w:val="2D3748"/>
          <w:sz w:val="21"/>
        </w:rPr>
        <w:t>Mean systolic blood pressure is 151.7 ± 23.5 mm Hg, reflecting high chronic hypertension prevalence.</w:t>
      </w:r>
    </w:p>
    <w:p>
      <w:pPr>
        <w:spacing w:after="60" w:line="276" w:lineRule="auto"/>
      </w:pPr>
      <w:r>
        <w:rPr>
          <w:rFonts w:ascii="Calibri" w:hAnsi="Calibri"/>
          <w:b/>
          <w:color w:val="2D3748"/>
          <w:sz w:val="21"/>
        </w:rPr>
        <w:t xml:space="preserve">• Zero-Cholesterol Clinical Sentinel: </w:t>
      </w:r>
      <w:r>
        <w:rPr>
          <w:rFonts w:ascii="Calibri" w:hAnsi="Calibri"/>
          <w:i w:val="0"/>
          <w:color w:val="2D3748"/>
          <w:sz w:val="21"/>
        </w:rPr>
        <w:t>53 patients (5.3%) had serum cholesterol recorded as exactly 0.0 mg/dL. In Indian acute hospital triage, patients admitted with acute coronary syndrome often undergo emergency catheterization before fasting lipid panels can be drawn. Treating 0 as a true biological value would severely distort modeling; these values were coerced to NaN and imputed using the training-fold median.</w:t>
      </w:r>
    </w:p>
    <w:p>
      <w:pPr>
        <w:pStyle w:val="Heading3"/>
        <w:keepNext/>
        <w:spacing w:before="200" w:after="80"/>
      </w:pPr>
      <w:r>
        <w:rPr>
          <w:b/>
          <w:color w:val="3182CE"/>
          <w:sz w:val="23"/>
        </w:rPr>
        <w:t>2.2 Indian Cohort Feature Dictionary</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872"/>
        <w:gridCol w:w="1872"/>
        <w:gridCol w:w="1872"/>
        <w:gridCol w:w="1872"/>
        <w:gridCol w:w="1872"/>
      </w:tblGrid>
      <w:tr>
        <w:tc>
          <w:tcPr>
            <w:tcW w:type="dxa" w:w="2016"/>
            <w:shd w:fill="1A365D"/>
            <w:tcMar>
              <w:top w:w="120" w:type="dxa"/>
              <w:bottom w:w="120" w:type="dxa"/>
              <w:left w:w="140" w:type="dxa"/>
              <w:right w:w="140" w:type="dxa"/>
            </w:tcMar>
          </w:tcPr>
          <w:p>
            <w:pPr>
              <w:jc w:val="left"/>
            </w:pPr>
            <w:r>
              <w:rPr>
                <w:rFonts w:ascii="Calibri" w:hAnsi="Calibri"/>
                <w:b/>
                <w:color w:val="FFFFFF"/>
                <w:sz w:val="19"/>
              </w:rPr>
              <w:t>Feature Name</w:t>
            </w:r>
          </w:p>
        </w:tc>
        <w:tc>
          <w:tcPr>
            <w:tcW w:type="dxa" w:w="1296"/>
            <w:shd w:fill="1A365D"/>
            <w:tcMar>
              <w:top w:w="120" w:type="dxa"/>
              <w:bottom w:w="120" w:type="dxa"/>
              <w:left w:w="140" w:type="dxa"/>
              <w:right w:w="140" w:type="dxa"/>
            </w:tcMar>
          </w:tcPr>
          <w:p>
            <w:pPr>
              <w:jc w:val="left"/>
            </w:pPr>
            <w:r>
              <w:rPr>
                <w:rFonts w:ascii="Calibri" w:hAnsi="Calibri"/>
                <w:b/>
                <w:color w:val="FFFFFF"/>
                <w:sz w:val="19"/>
              </w:rPr>
              <w:t>Type</w:t>
            </w:r>
          </w:p>
        </w:tc>
        <w:tc>
          <w:tcPr>
            <w:tcW w:type="dxa" w:w="2880"/>
            <w:shd w:fill="1A365D"/>
            <w:tcMar>
              <w:top w:w="120" w:type="dxa"/>
              <w:bottom w:w="120" w:type="dxa"/>
              <w:left w:w="140" w:type="dxa"/>
              <w:right w:w="140" w:type="dxa"/>
            </w:tcMar>
          </w:tcPr>
          <w:p>
            <w:pPr>
              <w:jc w:val="left"/>
            </w:pPr>
            <w:r>
              <w:rPr>
                <w:rFonts w:ascii="Calibri" w:hAnsi="Calibri"/>
                <w:b/>
                <w:color w:val="FFFFFF"/>
                <w:sz w:val="19"/>
              </w:rPr>
              <w:t>Clinical Meaning</w:t>
            </w:r>
          </w:p>
        </w:tc>
        <w:tc>
          <w:tcPr>
            <w:tcW w:type="dxa" w:w="1440"/>
            <w:shd w:fill="1A365D"/>
            <w:tcMar>
              <w:top w:w="120" w:type="dxa"/>
              <w:bottom w:w="120" w:type="dxa"/>
              <w:left w:w="140" w:type="dxa"/>
              <w:right w:w="140" w:type="dxa"/>
            </w:tcMar>
          </w:tcPr>
          <w:p>
            <w:pPr>
              <w:jc w:val="left"/>
            </w:pPr>
            <w:r>
              <w:rPr>
                <w:rFonts w:ascii="Calibri" w:hAnsi="Calibri"/>
                <w:b/>
                <w:color w:val="FFFFFF"/>
                <w:sz w:val="19"/>
              </w:rPr>
              <w:t>Valid Range / Domain</w:t>
            </w:r>
          </w:p>
        </w:tc>
        <w:tc>
          <w:tcPr>
            <w:tcW w:type="dxa" w:w="1728"/>
            <w:shd w:fill="1A365D"/>
            <w:tcMar>
              <w:top w:w="120" w:type="dxa"/>
              <w:bottom w:w="120" w:type="dxa"/>
              <w:left w:w="140" w:type="dxa"/>
              <w:right w:w="140" w:type="dxa"/>
            </w:tcMar>
          </w:tcPr>
          <w:p>
            <w:pPr>
              <w:jc w:val="left"/>
            </w:pPr>
            <w:r>
              <w:rPr>
                <w:rFonts w:ascii="Calibri" w:hAnsi="Calibri"/>
                <w:b/>
                <w:color w:val="FFFFFF"/>
                <w:sz w:val="19"/>
              </w:rPr>
              <w:t>Preprocessing Pipeline</w:t>
            </w:r>
          </w:p>
        </w:tc>
      </w:tr>
      <w:tr>
        <w:tc>
          <w:tcPr>
            <w:tcW w:type="dxa" w:w="2016"/>
            <w:shd w:fill="FFFFFF"/>
            <w:tcMar>
              <w:top w:w="80" w:type="dxa"/>
              <w:bottom w:w="80" w:type="dxa"/>
              <w:left w:w="140" w:type="dxa"/>
              <w:right w:w="140" w:type="dxa"/>
            </w:tcMar>
          </w:tcPr>
          <w:p>
            <w:r>
              <w:rPr>
                <w:rFonts w:ascii="Calibri" w:hAnsi="Calibri"/>
                <w:color w:val="2D3748"/>
                <w:sz w:val="18"/>
              </w:rPr>
              <w:t>age</w:t>
            </w:r>
          </w:p>
        </w:tc>
        <w:tc>
          <w:tcPr>
            <w:tcW w:type="dxa" w:w="1296"/>
            <w:shd w:fill="FFFFFF"/>
            <w:tcMar>
              <w:top w:w="80" w:type="dxa"/>
              <w:bottom w:w="80" w:type="dxa"/>
              <w:left w:w="140" w:type="dxa"/>
              <w:right w:w="140" w:type="dxa"/>
            </w:tcMar>
          </w:tcPr>
          <w:p>
            <w:r>
              <w:rPr>
                <w:rFonts w:ascii="Calibri" w:hAnsi="Calibri"/>
                <w:color w:val="2D3748"/>
                <w:sz w:val="18"/>
              </w:rPr>
              <w:t>Numeric</w:t>
            </w:r>
          </w:p>
        </w:tc>
        <w:tc>
          <w:tcPr>
            <w:tcW w:type="dxa" w:w="2880"/>
            <w:shd w:fill="FFFFFF"/>
            <w:tcMar>
              <w:top w:w="80" w:type="dxa"/>
              <w:bottom w:w="80" w:type="dxa"/>
              <w:left w:w="140" w:type="dxa"/>
              <w:right w:w="140" w:type="dxa"/>
            </w:tcMar>
          </w:tcPr>
          <w:p>
            <w:r>
              <w:rPr>
                <w:rFonts w:ascii="Calibri" w:hAnsi="Calibri"/>
                <w:color w:val="2D3748"/>
                <w:sz w:val="18"/>
              </w:rPr>
              <w:t>Age in completed years</w:t>
            </w:r>
          </w:p>
        </w:tc>
        <w:tc>
          <w:tcPr>
            <w:tcW w:type="dxa" w:w="1440"/>
            <w:shd w:fill="FFFFFF"/>
            <w:tcMar>
              <w:top w:w="80" w:type="dxa"/>
              <w:bottom w:w="80" w:type="dxa"/>
              <w:left w:w="140" w:type="dxa"/>
              <w:right w:w="140" w:type="dxa"/>
            </w:tcMar>
          </w:tcPr>
          <w:p>
            <w:r>
              <w:rPr>
                <w:rFonts w:ascii="Calibri" w:hAnsi="Calibri"/>
                <w:color w:val="2D3748"/>
                <w:sz w:val="18"/>
              </w:rPr>
              <w:t>20 – 90 yrs</w:t>
            </w:r>
          </w:p>
        </w:tc>
        <w:tc>
          <w:tcPr>
            <w:tcW w:type="dxa" w:w="1728"/>
            <w:shd w:fill="FFFFFF"/>
            <w:tcMar>
              <w:top w:w="80" w:type="dxa"/>
              <w:bottom w:w="80" w:type="dxa"/>
              <w:left w:w="140" w:type="dxa"/>
              <w:right w:w="140" w:type="dxa"/>
            </w:tcMar>
          </w:tcPr>
          <w:p>
            <w:r>
              <w:rPr>
                <w:rFonts w:ascii="Calibri" w:hAnsi="Calibri"/>
                <w:color w:val="2D3748"/>
                <w:sz w:val="18"/>
              </w:rPr>
              <w:t>Median Imputation + StandardScaler</w:t>
            </w:r>
          </w:p>
        </w:tc>
      </w:tr>
      <w:tr>
        <w:tc>
          <w:tcPr>
            <w:tcW w:type="dxa" w:w="2016"/>
            <w:shd w:fill="EDF2F7"/>
            <w:tcMar>
              <w:top w:w="80" w:type="dxa"/>
              <w:bottom w:w="80" w:type="dxa"/>
              <w:left w:w="140" w:type="dxa"/>
              <w:right w:w="140" w:type="dxa"/>
            </w:tcMar>
          </w:tcPr>
          <w:p>
            <w:r>
              <w:rPr>
                <w:rFonts w:ascii="Calibri" w:hAnsi="Calibri"/>
                <w:color w:val="2D3748"/>
                <w:sz w:val="18"/>
              </w:rPr>
              <w:t>gender</w:t>
            </w:r>
          </w:p>
        </w:tc>
        <w:tc>
          <w:tcPr>
            <w:tcW w:type="dxa" w:w="1296"/>
            <w:shd w:fill="EDF2F7"/>
            <w:tcMar>
              <w:top w:w="80" w:type="dxa"/>
              <w:bottom w:w="80" w:type="dxa"/>
              <w:left w:w="140" w:type="dxa"/>
              <w:right w:w="140" w:type="dxa"/>
            </w:tcMar>
          </w:tcPr>
          <w:p>
            <w:r>
              <w:rPr>
                <w:rFonts w:ascii="Calibri" w:hAnsi="Calibri"/>
                <w:color w:val="2D3748"/>
                <w:sz w:val="18"/>
              </w:rPr>
              <w:t>Categorical</w:t>
            </w:r>
          </w:p>
        </w:tc>
        <w:tc>
          <w:tcPr>
            <w:tcW w:type="dxa" w:w="2880"/>
            <w:shd w:fill="EDF2F7"/>
            <w:tcMar>
              <w:top w:w="80" w:type="dxa"/>
              <w:bottom w:w="80" w:type="dxa"/>
              <w:left w:w="140" w:type="dxa"/>
              <w:right w:w="140" w:type="dxa"/>
            </w:tcMar>
          </w:tcPr>
          <w:p>
            <w:r>
              <w:rPr>
                <w:rFonts w:ascii="Calibri" w:hAnsi="Calibri"/>
                <w:color w:val="2D3748"/>
                <w:sz w:val="18"/>
              </w:rPr>
              <w:t>Biological sex (1=Male, 0=Female)</w:t>
            </w:r>
          </w:p>
        </w:tc>
        <w:tc>
          <w:tcPr>
            <w:tcW w:type="dxa" w:w="1440"/>
            <w:shd w:fill="EDF2F7"/>
            <w:tcMar>
              <w:top w:w="80" w:type="dxa"/>
              <w:bottom w:w="80" w:type="dxa"/>
              <w:left w:w="140" w:type="dxa"/>
              <w:right w:w="140" w:type="dxa"/>
            </w:tcMar>
          </w:tcPr>
          <w:p>
            <w:r>
              <w:rPr>
                <w:rFonts w:ascii="Calibri" w:hAnsi="Calibri"/>
                <w:color w:val="2D3748"/>
                <w:sz w:val="18"/>
              </w:rPr>
              <w:t>{0, 1}</w:t>
            </w:r>
          </w:p>
        </w:tc>
        <w:tc>
          <w:tcPr>
            <w:tcW w:type="dxa" w:w="1728"/>
            <w:shd w:fill="EDF2F7"/>
            <w:tcMar>
              <w:top w:w="80" w:type="dxa"/>
              <w:bottom w:w="80" w:type="dxa"/>
              <w:left w:w="140" w:type="dxa"/>
              <w:right w:w="140" w:type="dxa"/>
            </w:tcMar>
          </w:tcPr>
          <w:p>
            <w:r>
              <w:rPr>
                <w:rFonts w:ascii="Calibri" w:hAnsi="Calibri"/>
                <w:color w:val="2D3748"/>
                <w:sz w:val="18"/>
              </w:rPr>
              <w:t>Passthrough / OneHot</w:t>
            </w:r>
          </w:p>
        </w:tc>
      </w:tr>
      <w:tr>
        <w:tc>
          <w:tcPr>
            <w:tcW w:type="dxa" w:w="2016"/>
            <w:shd w:fill="FFFFFF"/>
            <w:tcMar>
              <w:top w:w="80" w:type="dxa"/>
              <w:bottom w:w="80" w:type="dxa"/>
              <w:left w:w="140" w:type="dxa"/>
              <w:right w:w="140" w:type="dxa"/>
            </w:tcMar>
          </w:tcPr>
          <w:p>
            <w:r>
              <w:rPr>
                <w:rFonts w:ascii="Calibri" w:hAnsi="Calibri"/>
                <w:color w:val="2D3748"/>
                <w:sz w:val="18"/>
              </w:rPr>
              <w:t>chestpain</w:t>
            </w:r>
          </w:p>
        </w:tc>
        <w:tc>
          <w:tcPr>
            <w:tcW w:type="dxa" w:w="1296"/>
            <w:shd w:fill="FFFFFF"/>
            <w:tcMar>
              <w:top w:w="80" w:type="dxa"/>
              <w:bottom w:w="80" w:type="dxa"/>
              <w:left w:w="140" w:type="dxa"/>
              <w:right w:w="140" w:type="dxa"/>
            </w:tcMar>
          </w:tcPr>
          <w:p>
            <w:r>
              <w:rPr>
                <w:rFonts w:ascii="Calibri" w:hAnsi="Calibri"/>
                <w:color w:val="2D3748"/>
                <w:sz w:val="18"/>
              </w:rPr>
              <w:t>Categorical</w:t>
            </w:r>
          </w:p>
        </w:tc>
        <w:tc>
          <w:tcPr>
            <w:tcW w:type="dxa" w:w="2880"/>
            <w:shd w:fill="FFFFFF"/>
            <w:tcMar>
              <w:top w:w="80" w:type="dxa"/>
              <w:bottom w:w="80" w:type="dxa"/>
              <w:left w:w="140" w:type="dxa"/>
              <w:right w:w="140" w:type="dxa"/>
            </w:tcMar>
          </w:tcPr>
          <w:p>
            <w:r>
              <w:rPr>
                <w:rFonts w:ascii="Calibri" w:hAnsi="Calibri"/>
                <w:color w:val="2D3748"/>
                <w:sz w:val="18"/>
              </w:rPr>
              <w:t>Chest pain type (0=Typical, 1=Atypical, 2=Non-anginal, 3=Asymptomatic)</w:t>
            </w:r>
          </w:p>
        </w:tc>
        <w:tc>
          <w:tcPr>
            <w:tcW w:type="dxa" w:w="1440"/>
            <w:shd w:fill="FFFFFF"/>
            <w:tcMar>
              <w:top w:w="80" w:type="dxa"/>
              <w:bottom w:w="80" w:type="dxa"/>
              <w:left w:w="140" w:type="dxa"/>
              <w:right w:w="140" w:type="dxa"/>
            </w:tcMar>
          </w:tcPr>
          <w:p>
            <w:r>
              <w:rPr>
                <w:rFonts w:ascii="Calibri" w:hAnsi="Calibri"/>
                <w:color w:val="2D3748"/>
                <w:sz w:val="18"/>
              </w:rPr>
              <w:t>{0, 1, 2, 3}</w:t>
            </w:r>
          </w:p>
        </w:tc>
        <w:tc>
          <w:tcPr>
            <w:tcW w:type="dxa" w:w="1728"/>
            <w:shd w:fill="FFFFFF"/>
            <w:tcMar>
              <w:top w:w="80" w:type="dxa"/>
              <w:bottom w:w="80" w:type="dxa"/>
              <w:left w:w="140" w:type="dxa"/>
              <w:right w:w="140" w:type="dxa"/>
            </w:tcMar>
          </w:tcPr>
          <w:p>
            <w:r>
              <w:rPr>
                <w:rFonts w:ascii="Calibri" w:hAnsi="Calibri"/>
                <w:color w:val="2D3748"/>
                <w:sz w:val="18"/>
              </w:rPr>
              <w:t>OneHotEncoder(handle_unknown='ignore')</w:t>
            </w:r>
          </w:p>
        </w:tc>
      </w:tr>
      <w:tr>
        <w:tc>
          <w:tcPr>
            <w:tcW w:type="dxa" w:w="2016"/>
            <w:shd w:fill="EDF2F7"/>
            <w:tcMar>
              <w:top w:w="80" w:type="dxa"/>
              <w:bottom w:w="80" w:type="dxa"/>
              <w:left w:w="140" w:type="dxa"/>
              <w:right w:w="140" w:type="dxa"/>
            </w:tcMar>
          </w:tcPr>
          <w:p>
            <w:r>
              <w:rPr>
                <w:rFonts w:ascii="Calibri" w:hAnsi="Calibri"/>
                <w:color w:val="2D3748"/>
                <w:sz w:val="18"/>
              </w:rPr>
              <w:t>restingBP</w:t>
            </w:r>
          </w:p>
        </w:tc>
        <w:tc>
          <w:tcPr>
            <w:tcW w:type="dxa" w:w="1296"/>
            <w:shd w:fill="EDF2F7"/>
            <w:tcMar>
              <w:top w:w="80" w:type="dxa"/>
              <w:bottom w:w="80" w:type="dxa"/>
              <w:left w:w="140" w:type="dxa"/>
              <w:right w:w="140" w:type="dxa"/>
            </w:tcMar>
          </w:tcPr>
          <w:p>
            <w:r>
              <w:rPr>
                <w:rFonts w:ascii="Calibri" w:hAnsi="Calibri"/>
                <w:color w:val="2D3748"/>
                <w:sz w:val="18"/>
              </w:rPr>
              <w:t>Numeric</w:t>
            </w:r>
          </w:p>
        </w:tc>
        <w:tc>
          <w:tcPr>
            <w:tcW w:type="dxa" w:w="2880"/>
            <w:shd w:fill="EDF2F7"/>
            <w:tcMar>
              <w:top w:w="80" w:type="dxa"/>
              <w:bottom w:w="80" w:type="dxa"/>
              <w:left w:w="140" w:type="dxa"/>
              <w:right w:w="140" w:type="dxa"/>
            </w:tcMar>
          </w:tcPr>
          <w:p>
            <w:r>
              <w:rPr>
                <w:rFonts w:ascii="Calibri" w:hAnsi="Calibri"/>
                <w:color w:val="2D3748"/>
                <w:sz w:val="18"/>
              </w:rPr>
              <w:t>Resting systolic blood pressure</w:t>
            </w:r>
          </w:p>
        </w:tc>
        <w:tc>
          <w:tcPr>
            <w:tcW w:type="dxa" w:w="1440"/>
            <w:shd w:fill="EDF2F7"/>
            <w:tcMar>
              <w:top w:w="80" w:type="dxa"/>
              <w:bottom w:w="80" w:type="dxa"/>
              <w:left w:w="140" w:type="dxa"/>
              <w:right w:w="140" w:type="dxa"/>
            </w:tcMar>
          </w:tcPr>
          <w:p>
            <w:r>
              <w:rPr>
                <w:rFonts w:ascii="Calibri" w:hAnsi="Calibri"/>
                <w:color w:val="2D3748"/>
                <w:sz w:val="18"/>
              </w:rPr>
              <w:t>90 – 220 mm Hg</w:t>
            </w:r>
          </w:p>
        </w:tc>
        <w:tc>
          <w:tcPr>
            <w:tcW w:type="dxa" w:w="1728"/>
            <w:shd w:fill="EDF2F7"/>
            <w:tcMar>
              <w:top w:w="80" w:type="dxa"/>
              <w:bottom w:w="80" w:type="dxa"/>
              <w:left w:w="140" w:type="dxa"/>
              <w:right w:w="140" w:type="dxa"/>
            </w:tcMar>
          </w:tcPr>
          <w:p>
            <w:r>
              <w:rPr>
                <w:rFonts w:ascii="Calibri" w:hAnsi="Calibri"/>
                <w:color w:val="2D3748"/>
                <w:sz w:val="18"/>
              </w:rPr>
              <w:t>Median Imputation + StandardScaler</w:t>
            </w:r>
          </w:p>
        </w:tc>
      </w:tr>
      <w:tr>
        <w:tc>
          <w:tcPr>
            <w:tcW w:type="dxa" w:w="2016"/>
            <w:shd w:fill="FFFFFF"/>
            <w:tcMar>
              <w:top w:w="80" w:type="dxa"/>
              <w:bottom w:w="80" w:type="dxa"/>
              <w:left w:w="140" w:type="dxa"/>
              <w:right w:w="140" w:type="dxa"/>
            </w:tcMar>
          </w:tcPr>
          <w:p>
            <w:r>
              <w:rPr>
                <w:rFonts w:ascii="Calibri" w:hAnsi="Calibri"/>
                <w:color w:val="2D3748"/>
                <w:sz w:val="18"/>
              </w:rPr>
              <w:t>serumcholestrol</w:t>
            </w:r>
          </w:p>
        </w:tc>
        <w:tc>
          <w:tcPr>
            <w:tcW w:type="dxa" w:w="1296"/>
            <w:shd w:fill="FFFFFF"/>
            <w:tcMar>
              <w:top w:w="80" w:type="dxa"/>
              <w:bottom w:w="80" w:type="dxa"/>
              <w:left w:w="140" w:type="dxa"/>
              <w:right w:w="140" w:type="dxa"/>
            </w:tcMar>
          </w:tcPr>
          <w:p>
            <w:r>
              <w:rPr>
                <w:rFonts w:ascii="Calibri" w:hAnsi="Calibri"/>
                <w:color w:val="2D3748"/>
                <w:sz w:val="18"/>
              </w:rPr>
              <w:t>Numeric</w:t>
            </w:r>
          </w:p>
        </w:tc>
        <w:tc>
          <w:tcPr>
            <w:tcW w:type="dxa" w:w="2880"/>
            <w:shd w:fill="FFFFFF"/>
            <w:tcMar>
              <w:top w:w="80" w:type="dxa"/>
              <w:bottom w:w="80" w:type="dxa"/>
              <w:left w:w="140" w:type="dxa"/>
              <w:right w:w="140" w:type="dxa"/>
            </w:tcMar>
          </w:tcPr>
          <w:p>
            <w:r>
              <w:rPr>
                <w:rFonts w:ascii="Calibri" w:hAnsi="Calibri"/>
                <w:color w:val="2D3748"/>
                <w:sz w:val="18"/>
              </w:rPr>
              <w:t>Serum total cholesterol (zeros -&gt; NaN)</w:t>
            </w:r>
          </w:p>
        </w:tc>
        <w:tc>
          <w:tcPr>
            <w:tcW w:type="dxa" w:w="1440"/>
            <w:shd w:fill="FFFFFF"/>
            <w:tcMar>
              <w:top w:w="80" w:type="dxa"/>
              <w:bottom w:w="80" w:type="dxa"/>
              <w:left w:w="140" w:type="dxa"/>
              <w:right w:w="140" w:type="dxa"/>
            </w:tcMar>
          </w:tcPr>
          <w:p>
            <w:r>
              <w:rPr>
                <w:rFonts w:ascii="Calibri" w:hAnsi="Calibri"/>
                <w:color w:val="2D3748"/>
                <w:sz w:val="18"/>
              </w:rPr>
              <w:t>100 – 600 mg/dL</w:t>
            </w:r>
          </w:p>
        </w:tc>
        <w:tc>
          <w:tcPr>
            <w:tcW w:type="dxa" w:w="1728"/>
            <w:shd w:fill="FFFFFF"/>
            <w:tcMar>
              <w:top w:w="80" w:type="dxa"/>
              <w:bottom w:w="80" w:type="dxa"/>
              <w:left w:w="140" w:type="dxa"/>
              <w:right w:w="140" w:type="dxa"/>
            </w:tcMar>
          </w:tcPr>
          <w:p>
            <w:r>
              <w:rPr>
                <w:rFonts w:ascii="Calibri" w:hAnsi="Calibri"/>
                <w:color w:val="2D3748"/>
                <w:sz w:val="18"/>
              </w:rPr>
              <w:t>Median Imputation + StandardScaler</w:t>
            </w:r>
          </w:p>
        </w:tc>
      </w:tr>
      <w:tr>
        <w:tc>
          <w:tcPr>
            <w:tcW w:type="dxa" w:w="2016"/>
            <w:shd w:fill="EDF2F7"/>
            <w:tcMar>
              <w:top w:w="80" w:type="dxa"/>
              <w:bottom w:w="80" w:type="dxa"/>
              <w:left w:w="140" w:type="dxa"/>
              <w:right w:w="140" w:type="dxa"/>
            </w:tcMar>
          </w:tcPr>
          <w:p>
            <w:r>
              <w:rPr>
                <w:rFonts w:ascii="Calibri" w:hAnsi="Calibri"/>
                <w:color w:val="2D3748"/>
                <w:sz w:val="18"/>
              </w:rPr>
              <w:t>fastingbloodsugar</w:t>
            </w:r>
          </w:p>
        </w:tc>
        <w:tc>
          <w:tcPr>
            <w:tcW w:type="dxa" w:w="1296"/>
            <w:shd w:fill="EDF2F7"/>
            <w:tcMar>
              <w:top w:w="80" w:type="dxa"/>
              <w:bottom w:w="80" w:type="dxa"/>
              <w:left w:w="140" w:type="dxa"/>
              <w:right w:w="140" w:type="dxa"/>
            </w:tcMar>
          </w:tcPr>
          <w:p>
            <w:r>
              <w:rPr>
                <w:rFonts w:ascii="Calibri" w:hAnsi="Calibri"/>
                <w:color w:val="2D3748"/>
                <w:sz w:val="18"/>
              </w:rPr>
              <w:t>Categorical</w:t>
            </w:r>
          </w:p>
        </w:tc>
        <w:tc>
          <w:tcPr>
            <w:tcW w:type="dxa" w:w="2880"/>
            <w:shd w:fill="EDF2F7"/>
            <w:tcMar>
              <w:top w:w="80" w:type="dxa"/>
              <w:bottom w:w="80" w:type="dxa"/>
              <w:left w:w="140" w:type="dxa"/>
              <w:right w:w="140" w:type="dxa"/>
            </w:tcMar>
          </w:tcPr>
          <w:p>
            <w:r>
              <w:rPr>
                <w:rFonts w:ascii="Calibri" w:hAnsi="Calibri"/>
                <w:color w:val="2D3748"/>
                <w:sz w:val="18"/>
              </w:rPr>
              <w:t>Fasting blood sugar &gt; 120 mg/dL</w:t>
            </w:r>
          </w:p>
        </w:tc>
        <w:tc>
          <w:tcPr>
            <w:tcW w:type="dxa" w:w="1440"/>
            <w:shd w:fill="EDF2F7"/>
            <w:tcMar>
              <w:top w:w="80" w:type="dxa"/>
              <w:bottom w:w="80" w:type="dxa"/>
              <w:left w:w="140" w:type="dxa"/>
              <w:right w:w="140" w:type="dxa"/>
            </w:tcMar>
          </w:tcPr>
          <w:p>
            <w:r>
              <w:rPr>
                <w:rFonts w:ascii="Calibri" w:hAnsi="Calibri"/>
                <w:color w:val="2D3748"/>
                <w:sz w:val="18"/>
              </w:rPr>
              <w:t>{0, 1}</w:t>
            </w:r>
          </w:p>
        </w:tc>
        <w:tc>
          <w:tcPr>
            <w:tcW w:type="dxa" w:w="1728"/>
            <w:shd w:fill="EDF2F7"/>
            <w:tcMar>
              <w:top w:w="80" w:type="dxa"/>
              <w:bottom w:w="80" w:type="dxa"/>
              <w:left w:w="140" w:type="dxa"/>
              <w:right w:w="140" w:type="dxa"/>
            </w:tcMar>
          </w:tcPr>
          <w:p>
            <w:r>
              <w:rPr>
                <w:rFonts w:ascii="Calibri" w:hAnsi="Calibri"/>
                <w:color w:val="2D3748"/>
                <w:sz w:val="18"/>
              </w:rPr>
              <w:t>Passthrough / OneHot</w:t>
            </w:r>
          </w:p>
        </w:tc>
      </w:tr>
      <w:tr>
        <w:tc>
          <w:tcPr>
            <w:tcW w:type="dxa" w:w="2016"/>
            <w:shd w:fill="FFFFFF"/>
            <w:tcMar>
              <w:top w:w="80" w:type="dxa"/>
              <w:bottom w:w="80" w:type="dxa"/>
              <w:left w:w="140" w:type="dxa"/>
              <w:right w:w="140" w:type="dxa"/>
            </w:tcMar>
          </w:tcPr>
          <w:p>
            <w:r>
              <w:rPr>
                <w:rFonts w:ascii="Calibri" w:hAnsi="Calibri"/>
                <w:color w:val="2D3748"/>
                <w:sz w:val="18"/>
              </w:rPr>
              <w:t>restingrelectro</w:t>
            </w:r>
          </w:p>
        </w:tc>
        <w:tc>
          <w:tcPr>
            <w:tcW w:type="dxa" w:w="1296"/>
            <w:shd w:fill="FFFFFF"/>
            <w:tcMar>
              <w:top w:w="80" w:type="dxa"/>
              <w:bottom w:w="80" w:type="dxa"/>
              <w:left w:w="140" w:type="dxa"/>
              <w:right w:w="140" w:type="dxa"/>
            </w:tcMar>
          </w:tcPr>
          <w:p>
            <w:r>
              <w:rPr>
                <w:rFonts w:ascii="Calibri" w:hAnsi="Calibri"/>
                <w:color w:val="2D3748"/>
                <w:sz w:val="18"/>
              </w:rPr>
              <w:t>Categorical</w:t>
            </w:r>
          </w:p>
        </w:tc>
        <w:tc>
          <w:tcPr>
            <w:tcW w:type="dxa" w:w="2880"/>
            <w:shd w:fill="FFFFFF"/>
            <w:tcMar>
              <w:top w:w="80" w:type="dxa"/>
              <w:bottom w:w="80" w:type="dxa"/>
              <w:left w:w="140" w:type="dxa"/>
              <w:right w:w="140" w:type="dxa"/>
            </w:tcMar>
          </w:tcPr>
          <w:p>
            <w:r>
              <w:rPr>
                <w:rFonts w:ascii="Calibri" w:hAnsi="Calibri"/>
                <w:color w:val="2D3748"/>
                <w:sz w:val="18"/>
              </w:rPr>
              <w:t>Resting ECG (0=Normal, 1=ST abnormality, 2=LV hypertrophy)</w:t>
            </w:r>
          </w:p>
        </w:tc>
        <w:tc>
          <w:tcPr>
            <w:tcW w:type="dxa" w:w="1440"/>
            <w:shd w:fill="FFFFFF"/>
            <w:tcMar>
              <w:top w:w="80" w:type="dxa"/>
              <w:bottom w:w="80" w:type="dxa"/>
              <w:left w:w="140" w:type="dxa"/>
              <w:right w:w="140" w:type="dxa"/>
            </w:tcMar>
          </w:tcPr>
          <w:p>
            <w:r>
              <w:rPr>
                <w:rFonts w:ascii="Calibri" w:hAnsi="Calibri"/>
                <w:color w:val="2D3748"/>
                <w:sz w:val="18"/>
              </w:rPr>
              <w:t>{0, 1, 2}</w:t>
            </w:r>
          </w:p>
        </w:tc>
        <w:tc>
          <w:tcPr>
            <w:tcW w:type="dxa" w:w="1728"/>
            <w:shd w:fill="FFFFFF"/>
            <w:tcMar>
              <w:top w:w="80" w:type="dxa"/>
              <w:bottom w:w="80" w:type="dxa"/>
              <w:left w:w="140" w:type="dxa"/>
              <w:right w:w="140" w:type="dxa"/>
            </w:tcMar>
          </w:tcPr>
          <w:p>
            <w:r>
              <w:rPr>
                <w:rFonts w:ascii="Calibri" w:hAnsi="Calibri"/>
                <w:color w:val="2D3748"/>
                <w:sz w:val="18"/>
              </w:rPr>
              <w:t>OneHotEncoder(handle_unknown='ignore')</w:t>
            </w:r>
          </w:p>
        </w:tc>
      </w:tr>
      <w:tr>
        <w:tc>
          <w:tcPr>
            <w:tcW w:type="dxa" w:w="2016"/>
            <w:shd w:fill="EDF2F7"/>
            <w:tcMar>
              <w:top w:w="80" w:type="dxa"/>
              <w:bottom w:w="80" w:type="dxa"/>
              <w:left w:w="140" w:type="dxa"/>
              <w:right w:w="140" w:type="dxa"/>
            </w:tcMar>
          </w:tcPr>
          <w:p>
            <w:r>
              <w:rPr>
                <w:rFonts w:ascii="Calibri" w:hAnsi="Calibri"/>
                <w:color w:val="2D3748"/>
                <w:sz w:val="18"/>
              </w:rPr>
              <w:t>maxheartrate</w:t>
            </w:r>
          </w:p>
        </w:tc>
        <w:tc>
          <w:tcPr>
            <w:tcW w:type="dxa" w:w="1296"/>
            <w:shd w:fill="EDF2F7"/>
            <w:tcMar>
              <w:top w:w="80" w:type="dxa"/>
              <w:bottom w:w="80" w:type="dxa"/>
              <w:left w:w="140" w:type="dxa"/>
              <w:right w:w="140" w:type="dxa"/>
            </w:tcMar>
          </w:tcPr>
          <w:p>
            <w:r>
              <w:rPr>
                <w:rFonts w:ascii="Calibri" w:hAnsi="Calibri"/>
                <w:color w:val="2D3748"/>
                <w:sz w:val="18"/>
              </w:rPr>
              <w:t>Numeric</w:t>
            </w:r>
          </w:p>
        </w:tc>
        <w:tc>
          <w:tcPr>
            <w:tcW w:type="dxa" w:w="2880"/>
            <w:shd w:fill="EDF2F7"/>
            <w:tcMar>
              <w:top w:w="80" w:type="dxa"/>
              <w:bottom w:w="80" w:type="dxa"/>
              <w:left w:w="140" w:type="dxa"/>
              <w:right w:w="140" w:type="dxa"/>
            </w:tcMar>
          </w:tcPr>
          <w:p>
            <w:r>
              <w:rPr>
                <w:rFonts w:ascii="Calibri" w:hAnsi="Calibri"/>
                <w:color w:val="2D3748"/>
                <w:sz w:val="18"/>
              </w:rPr>
              <w:t>Maximum heart rate achieved during exercise</w:t>
            </w:r>
          </w:p>
        </w:tc>
        <w:tc>
          <w:tcPr>
            <w:tcW w:type="dxa" w:w="1440"/>
            <w:shd w:fill="EDF2F7"/>
            <w:tcMar>
              <w:top w:w="80" w:type="dxa"/>
              <w:bottom w:w="80" w:type="dxa"/>
              <w:left w:w="140" w:type="dxa"/>
              <w:right w:w="140" w:type="dxa"/>
            </w:tcMar>
          </w:tcPr>
          <w:p>
            <w:r>
              <w:rPr>
                <w:rFonts w:ascii="Calibri" w:hAnsi="Calibri"/>
                <w:color w:val="2D3748"/>
                <w:sz w:val="18"/>
              </w:rPr>
              <w:t>60 – 240 bpm</w:t>
            </w:r>
          </w:p>
        </w:tc>
        <w:tc>
          <w:tcPr>
            <w:tcW w:type="dxa" w:w="1728"/>
            <w:shd w:fill="EDF2F7"/>
            <w:tcMar>
              <w:top w:w="80" w:type="dxa"/>
              <w:bottom w:w="80" w:type="dxa"/>
              <w:left w:w="140" w:type="dxa"/>
              <w:right w:w="140" w:type="dxa"/>
            </w:tcMar>
          </w:tcPr>
          <w:p>
            <w:r>
              <w:rPr>
                <w:rFonts w:ascii="Calibri" w:hAnsi="Calibri"/>
                <w:color w:val="2D3748"/>
                <w:sz w:val="18"/>
              </w:rPr>
              <w:t>Median Imputation + StandardScaler</w:t>
            </w:r>
          </w:p>
        </w:tc>
      </w:tr>
      <w:tr>
        <w:tc>
          <w:tcPr>
            <w:tcW w:type="dxa" w:w="2016"/>
            <w:shd w:fill="FFFFFF"/>
            <w:tcMar>
              <w:top w:w="80" w:type="dxa"/>
              <w:bottom w:w="80" w:type="dxa"/>
              <w:left w:w="140" w:type="dxa"/>
              <w:right w:w="140" w:type="dxa"/>
            </w:tcMar>
          </w:tcPr>
          <w:p>
            <w:r>
              <w:rPr>
                <w:rFonts w:ascii="Calibri" w:hAnsi="Calibri"/>
                <w:color w:val="2D3748"/>
                <w:sz w:val="18"/>
              </w:rPr>
              <w:t>exerciseangia</w:t>
            </w:r>
          </w:p>
        </w:tc>
        <w:tc>
          <w:tcPr>
            <w:tcW w:type="dxa" w:w="1296"/>
            <w:shd w:fill="FFFFFF"/>
            <w:tcMar>
              <w:top w:w="80" w:type="dxa"/>
              <w:bottom w:w="80" w:type="dxa"/>
              <w:left w:w="140" w:type="dxa"/>
              <w:right w:w="140" w:type="dxa"/>
            </w:tcMar>
          </w:tcPr>
          <w:p>
            <w:r>
              <w:rPr>
                <w:rFonts w:ascii="Calibri" w:hAnsi="Calibri"/>
                <w:color w:val="2D3748"/>
                <w:sz w:val="18"/>
              </w:rPr>
              <w:t>Categorical</w:t>
            </w:r>
          </w:p>
        </w:tc>
        <w:tc>
          <w:tcPr>
            <w:tcW w:type="dxa" w:w="2880"/>
            <w:shd w:fill="FFFFFF"/>
            <w:tcMar>
              <w:top w:w="80" w:type="dxa"/>
              <w:bottom w:w="80" w:type="dxa"/>
              <w:left w:w="140" w:type="dxa"/>
              <w:right w:w="140" w:type="dxa"/>
            </w:tcMar>
          </w:tcPr>
          <w:p>
            <w:r>
              <w:rPr>
                <w:rFonts w:ascii="Calibri" w:hAnsi="Calibri"/>
                <w:color w:val="2D3748"/>
                <w:sz w:val="18"/>
              </w:rPr>
              <w:t>Exercise-induced angina (1=Yes, 0=No)</w:t>
            </w:r>
          </w:p>
        </w:tc>
        <w:tc>
          <w:tcPr>
            <w:tcW w:type="dxa" w:w="1440"/>
            <w:shd w:fill="FFFFFF"/>
            <w:tcMar>
              <w:top w:w="80" w:type="dxa"/>
              <w:bottom w:w="80" w:type="dxa"/>
              <w:left w:w="140" w:type="dxa"/>
              <w:right w:w="140" w:type="dxa"/>
            </w:tcMar>
          </w:tcPr>
          <w:p>
            <w:r>
              <w:rPr>
                <w:rFonts w:ascii="Calibri" w:hAnsi="Calibri"/>
                <w:color w:val="2D3748"/>
                <w:sz w:val="18"/>
              </w:rPr>
              <w:t>{0, 1}</w:t>
            </w:r>
          </w:p>
        </w:tc>
        <w:tc>
          <w:tcPr>
            <w:tcW w:type="dxa" w:w="1728"/>
            <w:shd w:fill="FFFFFF"/>
            <w:tcMar>
              <w:top w:w="80" w:type="dxa"/>
              <w:bottom w:w="80" w:type="dxa"/>
              <w:left w:w="140" w:type="dxa"/>
              <w:right w:w="140" w:type="dxa"/>
            </w:tcMar>
          </w:tcPr>
          <w:p>
            <w:r>
              <w:rPr>
                <w:rFonts w:ascii="Calibri" w:hAnsi="Calibri"/>
                <w:color w:val="2D3748"/>
                <w:sz w:val="18"/>
              </w:rPr>
              <w:t>Passthrough / OneHot</w:t>
            </w:r>
          </w:p>
        </w:tc>
      </w:tr>
      <w:tr>
        <w:tc>
          <w:tcPr>
            <w:tcW w:type="dxa" w:w="2016"/>
            <w:shd w:fill="EDF2F7"/>
            <w:tcMar>
              <w:top w:w="80" w:type="dxa"/>
              <w:bottom w:w="80" w:type="dxa"/>
              <w:left w:w="140" w:type="dxa"/>
              <w:right w:w="140" w:type="dxa"/>
            </w:tcMar>
          </w:tcPr>
          <w:p>
            <w:r>
              <w:rPr>
                <w:rFonts w:ascii="Calibri" w:hAnsi="Calibri"/>
                <w:color w:val="2D3748"/>
                <w:sz w:val="18"/>
              </w:rPr>
              <w:t>oldpeak</w:t>
            </w:r>
          </w:p>
        </w:tc>
        <w:tc>
          <w:tcPr>
            <w:tcW w:type="dxa" w:w="1296"/>
            <w:shd w:fill="EDF2F7"/>
            <w:tcMar>
              <w:top w:w="80" w:type="dxa"/>
              <w:bottom w:w="80" w:type="dxa"/>
              <w:left w:w="140" w:type="dxa"/>
              <w:right w:w="140" w:type="dxa"/>
            </w:tcMar>
          </w:tcPr>
          <w:p>
            <w:r>
              <w:rPr>
                <w:rFonts w:ascii="Calibri" w:hAnsi="Calibri"/>
                <w:color w:val="2D3748"/>
                <w:sz w:val="18"/>
              </w:rPr>
              <w:t>Numeric</w:t>
            </w:r>
          </w:p>
        </w:tc>
        <w:tc>
          <w:tcPr>
            <w:tcW w:type="dxa" w:w="2880"/>
            <w:shd w:fill="EDF2F7"/>
            <w:tcMar>
              <w:top w:w="80" w:type="dxa"/>
              <w:bottom w:w="80" w:type="dxa"/>
              <w:left w:w="140" w:type="dxa"/>
              <w:right w:w="140" w:type="dxa"/>
            </w:tcMar>
          </w:tcPr>
          <w:p>
            <w:r>
              <w:rPr>
                <w:rFonts w:ascii="Calibri" w:hAnsi="Calibri"/>
                <w:color w:val="2D3748"/>
                <w:sz w:val="18"/>
              </w:rPr>
              <w:t>ST depression induced by exercise relative to rest</w:t>
            </w:r>
          </w:p>
        </w:tc>
        <w:tc>
          <w:tcPr>
            <w:tcW w:type="dxa" w:w="1440"/>
            <w:shd w:fill="EDF2F7"/>
            <w:tcMar>
              <w:top w:w="80" w:type="dxa"/>
              <w:bottom w:w="80" w:type="dxa"/>
              <w:left w:w="140" w:type="dxa"/>
              <w:right w:w="140" w:type="dxa"/>
            </w:tcMar>
          </w:tcPr>
          <w:p>
            <w:r>
              <w:rPr>
                <w:rFonts w:ascii="Calibri" w:hAnsi="Calibri"/>
                <w:color w:val="2D3748"/>
                <w:sz w:val="18"/>
              </w:rPr>
              <w:t>0.0 – 6.5 mm</w:t>
            </w:r>
          </w:p>
        </w:tc>
        <w:tc>
          <w:tcPr>
            <w:tcW w:type="dxa" w:w="1728"/>
            <w:shd w:fill="EDF2F7"/>
            <w:tcMar>
              <w:top w:w="80" w:type="dxa"/>
              <w:bottom w:w="80" w:type="dxa"/>
              <w:left w:w="140" w:type="dxa"/>
              <w:right w:w="140" w:type="dxa"/>
            </w:tcMar>
          </w:tcPr>
          <w:p>
            <w:r>
              <w:rPr>
                <w:rFonts w:ascii="Calibri" w:hAnsi="Calibri"/>
                <w:color w:val="2D3748"/>
                <w:sz w:val="18"/>
              </w:rPr>
              <w:t>Median Imputation + StandardScaler</w:t>
            </w:r>
          </w:p>
        </w:tc>
      </w:tr>
      <w:tr>
        <w:tc>
          <w:tcPr>
            <w:tcW w:type="dxa" w:w="2016"/>
            <w:shd w:fill="FFFFFF"/>
            <w:tcMar>
              <w:top w:w="80" w:type="dxa"/>
              <w:bottom w:w="80" w:type="dxa"/>
              <w:left w:w="140" w:type="dxa"/>
              <w:right w:w="140" w:type="dxa"/>
            </w:tcMar>
          </w:tcPr>
          <w:p>
            <w:r>
              <w:rPr>
                <w:rFonts w:ascii="Calibri" w:hAnsi="Calibri"/>
                <w:color w:val="2D3748"/>
                <w:sz w:val="18"/>
              </w:rPr>
              <w:t>slope</w:t>
            </w:r>
          </w:p>
        </w:tc>
        <w:tc>
          <w:tcPr>
            <w:tcW w:type="dxa" w:w="1296"/>
            <w:shd w:fill="FFFFFF"/>
            <w:tcMar>
              <w:top w:w="80" w:type="dxa"/>
              <w:bottom w:w="80" w:type="dxa"/>
              <w:left w:w="140" w:type="dxa"/>
              <w:right w:w="140" w:type="dxa"/>
            </w:tcMar>
          </w:tcPr>
          <w:p>
            <w:r>
              <w:rPr>
                <w:rFonts w:ascii="Calibri" w:hAnsi="Calibri"/>
                <w:color w:val="2D3748"/>
                <w:sz w:val="18"/>
              </w:rPr>
              <w:t>Categorical</w:t>
            </w:r>
          </w:p>
        </w:tc>
        <w:tc>
          <w:tcPr>
            <w:tcW w:type="dxa" w:w="2880"/>
            <w:shd w:fill="FFFFFF"/>
            <w:tcMar>
              <w:top w:w="80" w:type="dxa"/>
              <w:bottom w:w="80" w:type="dxa"/>
              <w:left w:w="140" w:type="dxa"/>
              <w:right w:w="140" w:type="dxa"/>
            </w:tcMar>
          </w:tcPr>
          <w:p>
            <w:r>
              <w:rPr>
                <w:rFonts w:ascii="Calibri" w:hAnsi="Calibri"/>
                <w:color w:val="2D3748"/>
                <w:sz w:val="18"/>
              </w:rPr>
              <w:t>Slope of peak exercise ST segment (1=Up, 2=Flat, 3=Down)</w:t>
            </w:r>
          </w:p>
        </w:tc>
        <w:tc>
          <w:tcPr>
            <w:tcW w:type="dxa" w:w="1440"/>
            <w:shd w:fill="FFFFFF"/>
            <w:tcMar>
              <w:top w:w="80" w:type="dxa"/>
              <w:bottom w:w="80" w:type="dxa"/>
              <w:left w:w="140" w:type="dxa"/>
              <w:right w:w="140" w:type="dxa"/>
            </w:tcMar>
          </w:tcPr>
          <w:p>
            <w:r>
              <w:rPr>
                <w:rFonts w:ascii="Calibri" w:hAnsi="Calibri"/>
                <w:color w:val="2D3748"/>
                <w:sz w:val="18"/>
              </w:rPr>
              <w:t>{1, 2, 3}</w:t>
            </w:r>
          </w:p>
        </w:tc>
        <w:tc>
          <w:tcPr>
            <w:tcW w:type="dxa" w:w="1728"/>
            <w:shd w:fill="FFFFFF"/>
            <w:tcMar>
              <w:top w:w="80" w:type="dxa"/>
              <w:bottom w:w="80" w:type="dxa"/>
              <w:left w:w="140" w:type="dxa"/>
              <w:right w:w="140" w:type="dxa"/>
            </w:tcMar>
          </w:tcPr>
          <w:p>
            <w:r>
              <w:rPr>
                <w:rFonts w:ascii="Calibri" w:hAnsi="Calibri"/>
                <w:color w:val="2D3748"/>
                <w:sz w:val="18"/>
              </w:rPr>
              <w:t>OneHotEncoder(handle_unknown='ignore')</w:t>
            </w:r>
          </w:p>
        </w:tc>
      </w:tr>
      <w:tr>
        <w:tc>
          <w:tcPr>
            <w:tcW w:type="dxa" w:w="2016"/>
            <w:shd w:fill="EDF2F7"/>
            <w:tcMar>
              <w:top w:w="80" w:type="dxa"/>
              <w:bottom w:w="80" w:type="dxa"/>
              <w:left w:w="140" w:type="dxa"/>
              <w:right w:w="140" w:type="dxa"/>
            </w:tcMar>
          </w:tcPr>
          <w:p>
            <w:r>
              <w:rPr>
                <w:rFonts w:ascii="Calibri" w:hAnsi="Calibri"/>
                <w:color w:val="2D3748"/>
                <w:sz w:val="18"/>
              </w:rPr>
              <w:t>noofmajorvessels</w:t>
            </w:r>
          </w:p>
        </w:tc>
        <w:tc>
          <w:tcPr>
            <w:tcW w:type="dxa" w:w="1296"/>
            <w:shd w:fill="EDF2F7"/>
            <w:tcMar>
              <w:top w:w="80" w:type="dxa"/>
              <w:bottom w:w="80" w:type="dxa"/>
              <w:left w:w="140" w:type="dxa"/>
              <w:right w:w="140" w:type="dxa"/>
            </w:tcMar>
          </w:tcPr>
          <w:p>
            <w:r>
              <w:rPr>
                <w:rFonts w:ascii="Calibri" w:hAnsi="Calibri"/>
                <w:color w:val="2D3748"/>
                <w:sz w:val="18"/>
              </w:rPr>
              <w:t>Discrete</w:t>
            </w:r>
          </w:p>
        </w:tc>
        <w:tc>
          <w:tcPr>
            <w:tcW w:type="dxa" w:w="2880"/>
            <w:shd w:fill="EDF2F7"/>
            <w:tcMar>
              <w:top w:w="80" w:type="dxa"/>
              <w:bottom w:w="80" w:type="dxa"/>
              <w:left w:w="140" w:type="dxa"/>
              <w:right w:w="140" w:type="dxa"/>
            </w:tcMar>
          </w:tcPr>
          <w:p>
            <w:r>
              <w:rPr>
                <w:rFonts w:ascii="Calibri" w:hAnsi="Calibri"/>
                <w:color w:val="2D3748"/>
                <w:sz w:val="18"/>
              </w:rPr>
              <w:t>Number of major vessels (0–3) colored by fluoroscopy</w:t>
            </w:r>
          </w:p>
        </w:tc>
        <w:tc>
          <w:tcPr>
            <w:tcW w:type="dxa" w:w="1440"/>
            <w:shd w:fill="EDF2F7"/>
            <w:tcMar>
              <w:top w:w="80" w:type="dxa"/>
              <w:bottom w:w="80" w:type="dxa"/>
              <w:left w:w="140" w:type="dxa"/>
              <w:right w:w="140" w:type="dxa"/>
            </w:tcMar>
          </w:tcPr>
          <w:p>
            <w:r>
              <w:rPr>
                <w:rFonts w:ascii="Calibri" w:hAnsi="Calibri"/>
                <w:color w:val="2D3748"/>
                <w:sz w:val="18"/>
              </w:rPr>
              <w:t>{0, 1, 2, 3}</w:t>
            </w:r>
          </w:p>
        </w:tc>
        <w:tc>
          <w:tcPr>
            <w:tcW w:type="dxa" w:w="1728"/>
            <w:shd w:fill="EDF2F7"/>
            <w:tcMar>
              <w:top w:w="80" w:type="dxa"/>
              <w:bottom w:w="80" w:type="dxa"/>
              <w:left w:w="140" w:type="dxa"/>
              <w:right w:w="140" w:type="dxa"/>
            </w:tcMar>
          </w:tcPr>
          <w:p>
            <w:r>
              <w:rPr>
                <w:rFonts w:ascii="Calibri" w:hAnsi="Calibri"/>
                <w:color w:val="2D3748"/>
                <w:sz w:val="18"/>
              </w:rPr>
              <w:t>OneHotEncoder(handle_unknown='ignore')</w:t>
            </w:r>
          </w:p>
        </w:tc>
      </w:tr>
      <w:tr>
        <w:tc>
          <w:tcPr>
            <w:tcW w:type="dxa" w:w="2016"/>
            <w:shd w:fill="FFFFFF"/>
            <w:tcMar>
              <w:top w:w="80" w:type="dxa"/>
              <w:bottom w:w="80" w:type="dxa"/>
              <w:left w:w="140" w:type="dxa"/>
              <w:right w:w="140" w:type="dxa"/>
            </w:tcMar>
          </w:tcPr>
          <w:p>
            <w:r>
              <w:rPr>
                <w:rFonts w:ascii="Calibri" w:hAnsi="Calibri"/>
                <w:color w:val="2D3748"/>
                <w:sz w:val="18"/>
              </w:rPr>
              <w:t>target</w:t>
            </w:r>
          </w:p>
        </w:tc>
        <w:tc>
          <w:tcPr>
            <w:tcW w:type="dxa" w:w="1296"/>
            <w:shd w:fill="FFFFFF"/>
            <w:tcMar>
              <w:top w:w="80" w:type="dxa"/>
              <w:bottom w:w="80" w:type="dxa"/>
              <w:left w:w="140" w:type="dxa"/>
              <w:right w:w="140" w:type="dxa"/>
            </w:tcMar>
          </w:tcPr>
          <w:p>
            <w:r>
              <w:rPr>
                <w:rFonts w:ascii="Calibri" w:hAnsi="Calibri"/>
                <w:color w:val="2D3748"/>
                <w:sz w:val="18"/>
              </w:rPr>
              <w:t>Binary</w:t>
            </w:r>
          </w:p>
        </w:tc>
        <w:tc>
          <w:tcPr>
            <w:tcW w:type="dxa" w:w="2880"/>
            <w:shd w:fill="FFFFFF"/>
            <w:tcMar>
              <w:top w:w="80" w:type="dxa"/>
              <w:bottom w:w="80" w:type="dxa"/>
              <w:left w:w="140" w:type="dxa"/>
              <w:right w:w="140" w:type="dxa"/>
            </w:tcMar>
          </w:tcPr>
          <w:p>
            <w:r>
              <w:rPr>
                <w:rFonts w:ascii="Calibri" w:hAnsi="Calibri"/>
                <w:color w:val="2D3748"/>
                <w:sz w:val="18"/>
              </w:rPr>
              <w:t>Cardiovascular disease presence (1=Presence, 0=Absence)</w:t>
            </w:r>
          </w:p>
        </w:tc>
        <w:tc>
          <w:tcPr>
            <w:tcW w:type="dxa" w:w="1440"/>
            <w:shd w:fill="FFFFFF"/>
            <w:tcMar>
              <w:top w:w="80" w:type="dxa"/>
              <w:bottom w:w="80" w:type="dxa"/>
              <w:left w:w="140" w:type="dxa"/>
              <w:right w:w="140" w:type="dxa"/>
            </w:tcMar>
          </w:tcPr>
          <w:p>
            <w:r>
              <w:rPr>
                <w:rFonts w:ascii="Calibri" w:hAnsi="Calibri"/>
                <w:color w:val="2D3748"/>
                <w:sz w:val="18"/>
              </w:rPr>
              <w:t>{0, 1}</w:t>
            </w:r>
          </w:p>
        </w:tc>
        <w:tc>
          <w:tcPr>
            <w:tcW w:type="dxa" w:w="1728"/>
            <w:shd w:fill="FFFFFF"/>
            <w:tcMar>
              <w:top w:w="80" w:type="dxa"/>
              <w:bottom w:w="80" w:type="dxa"/>
              <w:left w:w="140" w:type="dxa"/>
              <w:right w:w="140" w:type="dxa"/>
            </w:tcMar>
          </w:tcPr>
          <w:p>
            <w:r>
              <w:rPr>
                <w:rFonts w:ascii="Calibri" w:hAnsi="Calibri"/>
                <w:color w:val="2D3748"/>
                <w:sz w:val="18"/>
              </w:rPr>
              <w:t>Supervised Binary Ground Truth</w:t>
            </w:r>
          </w:p>
        </w:tc>
      </w:tr>
    </w:tbl>
    <w:p>
      <w:pPr>
        <w:spacing w:after="80"/>
      </w:pPr>
    </w:p>
    <w:p>
      <w:pPr>
        <w:pStyle w:val="Heading2"/>
        <w:keepNext/>
        <w:spacing w:before="200" w:after="80"/>
      </w:pPr>
      <w:r>
        <w:rPr>
          <w:b/>
          <w:color w:val="2B6CB0"/>
          <w:sz w:val="27"/>
        </w:rPr>
        <w:t>2.3 Benchmark Dataset: UCI Cleveland Cohort</w:t>
      </w:r>
    </w:p>
    <w:p>
      <w:pPr>
        <w:spacing w:after="100" w:line="276" w:lineRule="auto"/>
      </w:pPr>
      <w:r>
        <w:rPr>
          <w:rFonts w:ascii="Calibri" w:hAnsi="Calibri"/>
          <w:i w:val="0"/>
          <w:color w:val="2D3748"/>
          <w:sz w:val="21"/>
        </w:rPr>
        <w:t>The historical benchmark utilized is the canonical Cleveland Clinic Foundation heart disease database (N=303, 13 predictors, Janosi et al., 1988). The UCI dataset contains nuclear thallium scintigraphy ('thal'), which is absent in the Indian cohort, and codes chest pain from 1 to 4 rather than 0 to 3. These structural incompatibilities reinforce the requirement for separate model pipelines.</w:t>
      </w:r>
    </w:p>
    <w:p>
      <w:pPr>
        <w:pStyle w:val="Heading1"/>
        <w:keepNext/>
        <w:spacing w:before="280" w:after="80"/>
      </w:pPr>
      <w:r>
        <w:rPr>
          <w:b/>
          <w:color w:val="1A365D"/>
          <w:sz w:val="34"/>
        </w:rPr>
        <w:t>3. Exploratory Data Analysis &amp; Visualization Suite</w:t>
      </w:r>
    </w:p>
    <w:p>
      <w:pPr>
        <w:spacing w:after="100" w:line="276" w:lineRule="auto"/>
      </w:pPr>
      <w:r>
        <w:rPr>
          <w:rFonts w:ascii="Calibri" w:hAnsi="Calibri"/>
          <w:i w:val="0"/>
          <w:color w:val="2D3748"/>
          <w:sz w:val="21"/>
        </w:rPr>
        <w:t>A complete suite of publication-grade figures was generated for the Indian hospital cohort to analyze marginal distributions, inter-feature correlations, and bivariate clinical risk separations.</w:t>
      </w:r>
    </w:p>
    <w:p>
      <w:pPr>
        <w:keepNext/>
        <w:spacing w:before="160" w:after="60"/>
        <w:jc w:val="center"/>
      </w:pPr>
      <w:r>
        <w:drawing>
          <wp:inline xmlns:a="http://schemas.openxmlformats.org/drawingml/2006/main" xmlns:pic="http://schemas.openxmlformats.org/drawingml/2006/picture">
            <wp:extent cx="5303520" cy="3788229"/>
            <wp:docPr id="1" name="Picture 1"/>
            <wp:cNvGraphicFramePr>
              <a:graphicFrameLocks noChangeAspect="1"/>
            </wp:cNvGraphicFramePr>
            <a:graphic>
              <a:graphicData uri="http://schemas.openxmlformats.org/drawingml/2006/picture">
                <pic:pic>
                  <pic:nvPicPr>
                    <pic:cNvPr id="0" name="target_distribution.png"/>
                    <pic:cNvPicPr/>
                  </pic:nvPicPr>
                  <pic:blipFill>
                    <a:blip r:embed="rId11"/>
                    <a:stretch>
                      <a:fillRect/>
                    </a:stretch>
                  </pic:blipFill>
                  <pic:spPr>
                    <a:xfrm>
                      <a:off x="0" y="0"/>
                      <a:ext cx="5303520" cy="3788229"/>
                    </a:xfrm>
                    <a:prstGeom prst="rect"/>
                  </pic:spPr>
                </pic:pic>
              </a:graphicData>
            </a:graphic>
          </wp:inline>
        </w:drawing>
      </w:r>
    </w:p>
    <w:p>
      <w:pPr>
        <w:spacing w:before="0" w:after="160"/>
        <w:jc w:val="center"/>
      </w:pPr>
      <w:r>
        <w:rPr>
          <w:rFonts w:ascii="Calibri" w:hAnsi="Calibri"/>
          <w:i/>
          <w:color w:val="718096"/>
          <w:sz w:val="18"/>
        </w:rPr>
        <w:t>Figure: Target Class Distribution in Indian Hospital Cohort (58% Positive vs. 42% Negative)</w:t>
      </w:r>
    </w:p>
    <w:p>
      <w:pPr>
        <w:keepNext/>
        <w:spacing w:before="160" w:after="60"/>
        <w:jc w:val="center"/>
      </w:pPr>
      <w:r>
        <w:drawing>
          <wp:inline xmlns:a="http://schemas.openxmlformats.org/drawingml/2006/main" xmlns:pic="http://schemas.openxmlformats.org/drawingml/2006/picture">
            <wp:extent cx="5303520" cy="3286019"/>
            <wp:docPr id="2" name="Picture 2"/>
            <wp:cNvGraphicFramePr>
              <a:graphicFrameLocks noChangeAspect="1"/>
            </wp:cNvGraphicFramePr>
            <a:graphic>
              <a:graphicData uri="http://schemas.openxmlformats.org/drawingml/2006/picture">
                <pic:pic>
                  <pic:nvPicPr>
                    <pic:cNvPr id="0" name="numeric_distributions.png"/>
                    <pic:cNvPicPr/>
                  </pic:nvPicPr>
                  <pic:blipFill>
                    <a:blip r:embed="rId12"/>
                    <a:stretch>
                      <a:fillRect/>
                    </a:stretch>
                  </pic:blipFill>
                  <pic:spPr>
                    <a:xfrm>
                      <a:off x="0" y="0"/>
                      <a:ext cx="5303520" cy="3286019"/>
                    </a:xfrm>
                    <a:prstGeom prst="rect"/>
                  </pic:spPr>
                </pic:pic>
              </a:graphicData>
            </a:graphic>
          </wp:inline>
        </w:drawing>
      </w:r>
    </w:p>
    <w:p>
      <w:pPr>
        <w:spacing w:before="0" w:after="160"/>
        <w:jc w:val="center"/>
      </w:pPr>
      <w:r>
        <w:rPr>
          <w:rFonts w:ascii="Calibri" w:hAnsi="Calibri"/>
          <w:i/>
          <w:color w:val="718096"/>
          <w:sz w:val="18"/>
        </w:rPr>
        <w:t>Figure: Continuous Feature Distributions with Kernel Density Estimates (Age, BP, Cholesterol, Max HR, Oldpeak)</w:t>
      </w:r>
    </w:p>
    <w:p>
      <w:pPr>
        <w:keepNext/>
        <w:spacing w:before="160" w:after="60"/>
        <w:jc w:val="center"/>
      </w:pPr>
      <w:r>
        <w:drawing>
          <wp:inline xmlns:a="http://schemas.openxmlformats.org/drawingml/2006/main" xmlns:pic="http://schemas.openxmlformats.org/drawingml/2006/picture">
            <wp:extent cx="5303520" cy="3286019"/>
            <wp:docPr id="3" name="Picture 3"/>
            <wp:cNvGraphicFramePr>
              <a:graphicFrameLocks noChangeAspect="1"/>
            </wp:cNvGraphicFramePr>
            <a:graphic>
              <a:graphicData uri="http://schemas.openxmlformats.org/drawingml/2006/picture">
                <pic:pic>
                  <pic:nvPicPr>
                    <pic:cNvPr id="0" name="numeric_boxplots.png"/>
                    <pic:cNvPicPr/>
                  </pic:nvPicPr>
                  <pic:blipFill>
                    <a:blip r:embed="rId13"/>
                    <a:stretch>
                      <a:fillRect/>
                    </a:stretch>
                  </pic:blipFill>
                  <pic:spPr>
                    <a:xfrm>
                      <a:off x="0" y="0"/>
                      <a:ext cx="5303520" cy="3286019"/>
                    </a:xfrm>
                    <a:prstGeom prst="rect"/>
                  </pic:spPr>
                </pic:pic>
              </a:graphicData>
            </a:graphic>
          </wp:inline>
        </w:drawing>
      </w:r>
    </w:p>
    <w:p>
      <w:pPr>
        <w:spacing w:before="0" w:after="160"/>
        <w:jc w:val="center"/>
      </w:pPr>
      <w:r>
        <w:rPr>
          <w:rFonts w:ascii="Calibri" w:hAnsi="Calibri"/>
          <w:i/>
          <w:color w:val="718096"/>
          <w:sz w:val="18"/>
        </w:rPr>
        <w:t>Figure: Outlier Diagnostics across Continuous Clinical Attributes</w:t>
      </w:r>
    </w:p>
    <w:p>
      <w:pPr>
        <w:keepNext/>
        <w:spacing w:before="160" w:after="60"/>
        <w:jc w:val="center"/>
      </w:pPr>
      <w:r>
        <w:drawing>
          <wp:inline xmlns:a="http://schemas.openxmlformats.org/drawingml/2006/main" xmlns:pic="http://schemas.openxmlformats.org/drawingml/2006/picture">
            <wp:extent cx="5303520" cy="4242816"/>
            <wp:docPr id="4" name="Picture 4"/>
            <wp:cNvGraphicFramePr>
              <a:graphicFrameLocks noChangeAspect="1"/>
            </wp:cNvGraphicFramePr>
            <a:graphic>
              <a:graphicData uri="http://schemas.openxmlformats.org/drawingml/2006/picture">
                <pic:pic>
                  <pic:nvPicPr>
                    <pic:cNvPr id="0" name="correlation_heatmap.png"/>
                    <pic:cNvPicPr/>
                  </pic:nvPicPr>
                  <pic:blipFill>
                    <a:blip r:embed="rId14"/>
                    <a:stretch>
                      <a:fillRect/>
                    </a:stretch>
                  </pic:blipFill>
                  <pic:spPr>
                    <a:xfrm>
                      <a:off x="0" y="0"/>
                      <a:ext cx="5303520" cy="4242816"/>
                    </a:xfrm>
                    <a:prstGeom prst="rect"/>
                  </pic:spPr>
                </pic:pic>
              </a:graphicData>
            </a:graphic>
          </wp:inline>
        </w:drawing>
      </w:r>
    </w:p>
    <w:p>
      <w:pPr>
        <w:spacing w:before="0" w:after="160"/>
        <w:jc w:val="center"/>
      </w:pPr>
      <w:r>
        <w:rPr>
          <w:rFonts w:ascii="Calibri" w:hAnsi="Calibri"/>
          <w:i/>
          <w:color w:val="718096"/>
          <w:sz w:val="18"/>
        </w:rPr>
        <w:t>Figure: Pearson Correlation Heatmap Demonstrating Feature Orthogonality and Absence of Multicollinearity</w:t>
      </w:r>
    </w:p>
    <w:p>
      <w:pPr>
        <w:keepNext/>
        <w:spacing w:before="160" w:after="60"/>
        <w:jc w:val="center"/>
      </w:pPr>
      <w:r>
        <w:drawing>
          <wp:inline xmlns:a="http://schemas.openxmlformats.org/drawingml/2006/main" xmlns:pic="http://schemas.openxmlformats.org/drawingml/2006/picture">
            <wp:extent cx="5303520" cy="4612870"/>
            <wp:docPr id="5" name="Picture 5"/>
            <wp:cNvGraphicFramePr>
              <a:graphicFrameLocks noChangeAspect="1"/>
            </wp:cNvGraphicFramePr>
            <a:graphic>
              <a:graphicData uri="http://schemas.openxmlformats.org/drawingml/2006/picture">
                <pic:pic>
                  <pic:nvPicPr>
                    <pic:cNvPr id="0" name="categorical_distributions.png"/>
                    <pic:cNvPicPr/>
                  </pic:nvPicPr>
                  <pic:blipFill>
                    <a:blip r:embed="rId15"/>
                    <a:stretch>
                      <a:fillRect/>
                    </a:stretch>
                  </pic:blipFill>
                  <pic:spPr>
                    <a:xfrm>
                      <a:off x="0" y="0"/>
                      <a:ext cx="5303520" cy="4612870"/>
                    </a:xfrm>
                    <a:prstGeom prst="rect"/>
                  </pic:spPr>
                </pic:pic>
              </a:graphicData>
            </a:graphic>
          </wp:inline>
        </w:drawing>
      </w:r>
    </w:p>
    <w:p>
      <w:pPr>
        <w:spacing w:before="0" w:after="160"/>
        <w:jc w:val="center"/>
      </w:pPr>
      <w:r>
        <w:rPr>
          <w:rFonts w:ascii="Calibri" w:hAnsi="Calibri"/>
          <w:i/>
          <w:color w:val="718096"/>
          <w:sz w:val="18"/>
        </w:rPr>
        <w:t>Figure: Categorical Proportions across Clinical Diagnostic Subcategories</w:t>
      </w:r>
    </w:p>
    <w:p>
      <w:pPr>
        <w:keepNext/>
        <w:spacing w:before="160" w:after="60"/>
        <w:jc w:val="center"/>
      </w:pPr>
      <w:r>
        <w:drawing>
          <wp:inline xmlns:a="http://schemas.openxmlformats.org/drawingml/2006/main" xmlns:pic="http://schemas.openxmlformats.org/drawingml/2006/picture">
            <wp:extent cx="5303520" cy="3912955"/>
            <wp:docPr id="6" name="Picture 6"/>
            <wp:cNvGraphicFramePr>
              <a:graphicFrameLocks noChangeAspect="1"/>
            </wp:cNvGraphicFramePr>
            <a:graphic>
              <a:graphicData uri="http://schemas.openxmlformats.org/drawingml/2006/picture">
                <pic:pic>
                  <pic:nvPicPr>
                    <pic:cNvPr id="0" name="feature_target_relationships.png"/>
                    <pic:cNvPicPr/>
                  </pic:nvPicPr>
                  <pic:blipFill>
                    <a:blip r:embed="rId16"/>
                    <a:stretch>
                      <a:fillRect/>
                    </a:stretch>
                  </pic:blipFill>
                  <pic:spPr>
                    <a:xfrm>
                      <a:off x="0" y="0"/>
                      <a:ext cx="5303520" cy="3912955"/>
                    </a:xfrm>
                    <a:prstGeom prst="rect"/>
                  </pic:spPr>
                </pic:pic>
              </a:graphicData>
            </a:graphic>
          </wp:inline>
        </w:drawing>
      </w:r>
    </w:p>
    <w:p>
      <w:pPr>
        <w:spacing w:before="0" w:after="160"/>
        <w:jc w:val="center"/>
      </w:pPr>
      <w:r>
        <w:rPr>
          <w:rFonts w:ascii="Calibri" w:hAnsi="Calibri"/>
          <w:i/>
          <w:color w:val="718096"/>
          <w:sz w:val="18"/>
        </w:rPr>
        <w:t>Figure: Bivariate Clinical Risk Relationships: Feature Distributions Stratified by Cardiovascular Disease Status</w:t>
      </w:r>
    </w:p>
    <w:p>
      <w:pPr>
        <w:pStyle w:val="Heading1"/>
        <w:keepNext/>
        <w:spacing w:before="280" w:after="80"/>
      </w:pPr>
      <w:r>
        <w:rPr>
          <w:b/>
          <w:color w:val="1A365D"/>
          <w:sz w:val="34"/>
        </w:rPr>
        <w:t>4. Leakage-Safe Preprocessing &amp; ColumnTransformer Architecture</w:t>
      </w:r>
    </w:p>
    <w:p>
      <w:pPr>
        <w:spacing w:after="100" w:line="276" w:lineRule="auto"/>
      </w:pPr>
      <w:r>
        <w:rPr>
          <w:rFonts w:ascii="Calibri" w:hAnsi="Calibri"/>
          <w:i w:val="0"/>
          <w:color w:val="2D3748"/>
          <w:sz w:val="21"/>
        </w:rPr>
        <w:t>A critical vulnerability in clinical machine learning is data leakage—where information from the evaluation split inadvertently contaminates preprocessing parameters. CardioSense strictly enforces a Split-First protocol using Scikit-Learn ColumnTransformer and Pipeline.</w:t>
      </w:r>
    </w:p>
    <w:tbl>
      <w:tblPr>
        <w:tblW w:type="auto" w:w="0"/>
        <w:jc w:val="center"/>
        <w:tblLayout w:type="fixed"/>
        <w:tblLook w:firstColumn="1" w:firstRow="1" w:lastColumn="0" w:lastRow="0" w:noHBand="0" w:noVBand="1" w:val="04A0"/>
        <w:tblBorders>
          <w:top w:val="single" w:sz="8" w:space="0" w:color="2B6CB0"/>
          <w:bottom w:val="single" w:sz="8" w:space="0" w:color="2B6CB0"/>
          <w:left w:val="none"/>
          <w:right w:val="none"/>
          <w:insideH w:val="single" w:sz="8" w:space="0" w:color="2B6CB0"/>
          <w:insideV w:val="none"/>
        </w:tblBorders>
      </w:tblPr>
      <w:tblGrid>
        <w:gridCol w:w="9360"/>
      </w:tblGrid>
      <w:tr>
        <w:tc>
          <w:tcPr>
            <w:tcW w:type="dxa" w:w="9360"/>
            <w:shd w:fill="F0F4F8"/>
            <w:tcMar>
              <w:top w:w="140" w:type="dxa"/>
              <w:bottom w:w="140" w:type="dxa"/>
              <w:left w:w="200" w:type="dxa"/>
              <w:right w:w="200" w:type="dxa"/>
            </w:tcMar>
          </w:tcPr>
          <w:p>
            <w:pPr>
              <w:spacing w:after="40"/>
            </w:pPr>
            <w:r>
              <w:rPr>
                <w:rFonts w:ascii="Calibri" w:hAnsi="Calibri"/>
                <w:b/>
                <w:color w:val="2B6CB0"/>
                <w:sz w:val="20"/>
              </w:rPr>
              <w:t>Mathematical Formulation: Z-Score Standardization (StandardScaler)</w:t>
              <w:br/>
            </w:r>
          </w:p>
          <w:p>
            <w:pPr>
              <w:spacing w:before="80" w:after="80"/>
              <w:jc w:val="center"/>
            </w:pPr>
            <w:r>
              <w:rPr>
                <w:rFonts w:ascii="Consolas" w:hAnsi="Consolas"/>
                <w:b/>
                <w:color w:val="1A365D"/>
                <w:sz w:val="20"/>
              </w:rPr>
              <w:t>z_ij = (x_ij - μ_j(train)) / σ_j(train)</w:t>
            </w:r>
          </w:p>
          <w:p>
            <w:pPr>
              <w:spacing w:before="40" w:after="40"/>
            </w:pPr>
            <w:r>
              <w:rPr>
                <w:rFonts w:ascii="Calibri" w:hAnsi="Calibri"/>
                <w:i/>
                <w:color w:val="2D3748"/>
                <w:sz w:val="19"/>
              </w:rPr>
              <w:t>Where μ_j and σ_j are computed strictly on the training partition and applied identically to test partitions without recalculation.</w:t>
            </w:r>
          </w:p>
        </w:tc>
      </w:tr>
    </w:tbl>
    <w:p>
      <w:pPr>
        <w:spacing w:after="80"/>
      </w:pPr>
    </w:p>
    <w:p>
      <w:pPr>
        <w:spacing w:after="60" w:line="276" w:lineRule="auto"/>
      </w:pPr>
      <w:r>
        <w:rPr>
          <w:rFonts w:ascii="Calibri" w:hAnsi="Calibri"/>
          <w:b/>
          <w:color w:val="2D3748"/>
          <w:sz w:val="21"/>
        </w:rPr>
        <w:t xml:space="preserve">• Stratified Split Isolation: </w:t>
      </w:r>
      <w:r>
        <w:rPr>
          <w:rFonts w:ascii="Calibri" w:hAnsi="Calibri"/>
          <w:i w:val="0"/>
          <w:color w:val="2D3748"/>
          <w:sz w:val="21"/>
        </w:rPr>
        <w:t>80% training (N=800) and 20% held-out test (N=200) partitioned with fixed random seed (R=42) maintaining exact class prevalence.</w:t>
      </w:r>
    </w:p>
    <w:p>
      <w:pPr>
        <w:spacing w:after="60" w:line="276" w:lineRule="auto"/>
      </w:pPr>
      <w:r>
        <w:rPr>
          <w:rFonts w:ascii="Calibri" w:hAnsi="Calibri"/>
          <w:b/>
          <w:color w:val="2D3748"/>
          <w:sz w:val="21"/>
        </w:rPr>
        <w:t xml:space="preserve">• Numeric Transformer: </w:t>
      </w:r>
      <w:r>
        <w:rPr>
          <w:rFonts w:ascii="Calibri" w:hAnsi="Calibri"/>
          <w:i w:val="0"/>
          <w:color w:val="2D3748"/>
          <w:sz w:val="21"/>
        </w:rPr>
        <w:t>SimpleImputer(strategy='median') followed by StandardScaler(). The median is robust to acute outliers in blood pressure and cholesterol.</w:t>
      </w:r>
    </w:p>
    <w:p>
      <w:pPr>
        <w:spacing w:after="60" w:line="276" w:lineRule="auto"/>
      </w:pPr>
      <w:r>
        <w:rPr>
          <w:rFonts w:ascii="Calibri" w:hAnsi="Calibri"/>
          <w:b/>
          <w:color w:val="2D3748"/>
          <w:sz w:val="21"/>
        </w:rPr>
        <w:t xml:space="preserve">• Categorical Transformer: </w:t>
      </w:r>
      <w:r>
        <w:rPr>
          <w:rFonts w:ascii="Calibri" w:hAnsi="Calibri"/>
          <w:i w:val="0"/>
          <w:color w:val="2D3748"/>
          <w:sz w:val="21"/>
        </w:rPr>
        <w:t>SimpleImputer(strategy='most_frequent') followed by OneHotEncoder(handle_unknown='ignore', sparse_output=False) to prevent crashes on unseen clinical categories.</w:t>
      </w:r>
    </w:p>
    <w:p>
      <w:pPr>
        <w:spacing w:after="60" w:line="276" w:lineRule="auto"/>
      </w:pPr>
      <w:r>
        <w:rPr>
          <w:rFonts w:ascii="Calibri" w:hAnsi="Calibri"/>
          <w:b/>
          <w:color w:val="2D3748"/>
          <w:sz w:val="21"/>
        </w:rPr>
        <w:t xml:space="preserve">• Pipeline Encapsulation: </w:t>
      </w:r>
      <w:r>
        <w:rPr>
          <w:rFonts w:ascii="Calibri" w:hAnsi="Calibri"/>
          <w:i w:val="0"/>
          <w:color w:val="2D3748"/>
          <w:sz w:val="21"/>
        </w:rPr>
        <w:t>The entire preprocessing transformer and estimator are bundled into a single serializable Pipeline object. The raw test data passes directly into pipeline.predict().</w:t>
      </w:r>
    </w:p>
    <w:p>
      <w:pPr>
        <w:pStyle w:val="Heading1"/>
        <w:keepNext/>
        <w:spacing w:before="280" w:after="80"/>
      </w:pPr>
      <w:r>
        <w:rPr>
          <w:b/>
          <w:color w:val="1A365D"/>
          <w:sz w:val="34"/>
        </w:rPr>
        <w:t>5. Evaluated Model Architectures &amp; Mathematical Foundations</w:t>
      </w:r>
    </w:p>
    <w:p>
      <w:pPr>
        <w:spacing w:after="100" w:line="276" w:lineRule="auto"/>
      </w:pPr>
      <w:r>
        <w:rPr>
          <w:rFonts w:ascii="Calibri" w:hAnsi="Calibri"/>
          <w:i w:val="0"/>
          <w:color w:val="2D3748"/>
          <w:sz w:val="21"/>
        </w:rPr>
        <w:t>Three distinct algorithm families were systematically evaluated to assess the bias-variance trade-off across linear and non-linear inductive biases.</w:t>
      </w:r>
    </w:p>
    <w:p>
      <w:pPr>
        <w:pStyle w:val="Heading2"/>
        <w:keepNext/>
        <w:spacing w:before="200" w:after="80"/>
      </w:pPr>
      <w:r>
        <w:rPr>
          <w:b/>
          <w:color w:val="2B6CB0"/>
          <w:sz w:val="27"/>
        </w:rPr>
        <w:t>5.1 Logistic Regression with L2 Regularization</w:t>
      </w:r>
    </w:p>
    <w:tbl>
      <w:tblPr>
        <w:tblW w:type="auto" w:w="0"/>
        <w:jc w:val="center"/>
        <w:tblLayout w:type="fixed"/>
        <w:tblLook w:firstColumn="1" w:firstRow="1" w:lastColumn="0" w:lastRow="0" w:noHBand="0" w:noVBand="1" w:val="04A0"/>
        <w:tblBorders>
          <w:top w:val="single" w:sz="8" w:space="0" w:color="2B6CB0"/>
          <w:bottom w:val="single" w:sz="8" w:space="0" w:color="2B6CB0"/>
          <w:left w:val="none"/>
          <w:right w:val="none"/>
          <w:insideH w:val="single" w:sz="8" w:space="0" w:color="2B6CB0"/>
          <w:insideV w:val="none"/>
        </w:tblBorders>
      </w:tblPr>
      <w:tblGrid>
        <w:gridCol w:w="9360"/>
      </w:tblGrid>
      <w:tr>
        <w:tc>
          <w:tcPr>
            <w:tcW w:type="dxa" w:w="9360"/>
            <w:shd w:fill="F0F4F8"/>
            <w:tcMar>
              <w:top w:w="140" w:type="dxa"/>
              <w:bottom w:w="140" w:type="dxa"/>
              <w:left w:w="200" w:type="dxa"/>
              <w:right w:w="200" w:type="dxa"/>
            </w:tcMar>
          </w:tcPr>
          <w:p>
            <w:pPr>
              <w:spacing w:after="40"/>
            </w:pPr>
            <w:r>
              <w:rPr>
                <w:rFonts w:ascii="Calibri" w:hAnsi="Calibri"/>
                <w:b/>
                <w:color w:val="2B6CB0"/>
                <w:sz w:val="20"/>
              </w:rPr>
              <w:t>Mathematical Formulation: L2-Regularized Logistic Objective (Ridge Logit)</w:t>
              <w:br/>
            </w:r>
          </w:p>
          <w:p>
            <w:pPr>
              <w:spacing w:before="80" w:after="80"/>
              <w:jc w:val="center"/>
            </w:pPr>
            <w:r>
              <w:rPr>
                <w:rFonts w:ascii="Consolas" w:hAnsi="Consolas"/>
                <w:b/>
                <w:color w:val="1A365D"/>
                <w:sz w:val="20"/>
              </w:rPr>
              <w:t>min_w  - ∑ [ y_i log(σ(w^T x_i)) + (1 - y_i) log(1 - σ(w^T x_i)) ] + (1 / 2C) ||w||_2^2</w:t>
            </w:r>
          </w:p>
          <w:p>
            <w:pPr>
              <w:spacing w:before="40" w:after="40"/>
            </w:pPr>
            <w:r>
              <w:rPr>
                <w:rFonts w:ascii="Calibri" w:hAnsi="Calibri"/>
                <w:i/>
                <w:color w:val="2D3748"/>
                <w:sz w:val="19"/>
              </w:rPr>
              <w:t>Where σ(z) = 1 / (1 + e^(-z)) and C is the inverse regularization parameter tuned via 5-fold CV.</w:t>
            </w:r>
          </w:p>
        </w:tc>
      </w:tr>
    </w:tbl>
    <w:p>
      <w:pPr>
        <w:spacing w:after="80"/>
      </w:pPr>
    </w:p>
    <w:p>
      <w:pPr>
        <w:pStyle w:val="Heading2"/>
        <w:keepNext/>
        <w:spacing w:before="200" w:after="80"/>
      </w:pPr>
      <w:r>
        <w:rPr>
          <w:b/>
          <w:color w:val="2B6CB0"/>
          <w:sz w:val="27"/>
        </w:rPr>
        <w:t>5.2 Random Forest Classifier</w:t>
      </w:r>
    </w:p>
    <w:tbl>
      <w:tblPr>
        <w:tblW w:type="auto" w:w="0"/>
        <w:jc w:val="center"/>
        <w:tblLayout w:type="fixed"/>
        <w:tblLook w:firstColumn="1" w:firstRow="1" w:lastColumn="0" w:lastRow="0" w:noHBand="0" w:noVBand="1" w:val="04A0"/>
        <w:tblBorders>
          <w:top w:val="single" w:sz="8" w:space="0" w:color="2B6CB0"/>
          <w:bottom w:val="single" w:sz="8" w:space="0" w:color="2B6CB0"/>
          <w:left w:val="none"/>
          <w:right w:val="none"/>
          <w:insideH w:val="single" w:sz="8" w:space="0" w:color="2B6CB0"/>
          <w:insideV w:val="none"/>
        </w:tblBorders>
      </w:tblPr>
      <w:tblGrid>
        <w:gridCol w:w="9360"/>
      </w:tblGrid>
      <w:tr>
        <w:tc>
          <w:tcPr>
            <w:tcW w:type="dxa" w:w="9360"/>
            <w:shd w:fill="F0F4F8"/>
            <w:tcMar>
              <w:top w:w="140" w:type="dxa"/>
              <w:bottom w:w="140" w:type="dxa"/>
              <w:left w:w="200" w:type="dxa"/>
              <w:right w:w="200" w:type="dxa"/>
            </w:tcMar>
          </w:tcPr>
          <w:p>
            <w:pPr>
              <w:spacing w:after="40"/>
            </w:pPr>
            <w:r>
              <w:rPr>
                <w:rFonts w:ascii="Calibri" w:hAnsi="Calibri"/>
                <w:b/>
                <w:color w:val="2B6CB0"/>
                <w:sz w:val="20"/>
              </w:rPr>
              <w:t>Mathematical Formulation: Random Forest Bagging &amp; Variance Reduction</w:t>
              <w:br/>
            </w:r>
          </w:p>
          <w:p>
            <w:pPr>
              <w:spacing w:before="80" w:after="80"/>
              <w:jc w:val="center"/>
            </w:pPr>
            <w:r>
              <w:rPr>
                <w:rFonts w:ascii="Consolas" w:hAnsi="Consolas"/>
                <w:b/>
                <w:color w:val="1A365D"/>
                <w:sz w:val="20"/>
              </w:rPr>
              <w:t>Var(f_RF(x)) = ρ σ^2 + ((1 - ρ) / B) σ^2</w:t>
            </w:r>
          </w:p>
          <w:p>
            <w:pPr>
              <w:spacing w:before="40" w:after="40"/>
            </w:pPr>
            <w:r>
              <w:rPr>
                <w:rFonts w:ascii="Calibri" w:hAnsi="Calibri"/>
                <w:i/>
                <w:color w:val="2D3748"/>
                <w:sz w:val="19"/>
              </w:rPr>
              <w:t>Where B is the number of bootstrap trees and ρ is the pairwise tree correlation reduced via random feature subspace sampling.</w:t>
            </w:r>
          </w:p>
        </w:tc>
      </w:tr>
    </w:tbl>
    <w:p>
      <w:pPr>
        <w:spacing w:after="80"/>
      </w:pPr>
    </w:p>
    <w:p>
      <w:pPr>
        <w:pStyle w:val="Heading2"/>
        <w:keepNext/>
        <w:spacing w:before="200" w:after="80"/>
      </w:pPr>
      <w:r>
        <w:rPr>
          <w:b/>
          <w:color w:val="2B6CB0"/>
          <w:sz w:val="27"/>
        </w:rPr>
        <w:t>5.3 XGBoost (Extreme Gradient Boosting)</w:t>
      </w:r>
    </w:p>
    <w:tbl>
      <w:tblPr>
        <w:tblW w:type="auto" w:w="0"/>
        <w:jc w:val="center"/>
        <w:tblLayout w:type="fixed"/>
        <w:tblLook w:firstColumn="1" w:firstRow="1" w:lastColumn="0" w:lastRow="0" w:noHBand="0" w:noVBand="1" w:val="04A0"/>
        <w:tblBorders>
          <w:top w:val="single" w:sz="8" w:space="0" w:color="2B6CB0"/>
          <w:bottom w:val="single" w:sz="8" w:space="0" w:color="2B6CB0"/>
          <w:left w:val="none"/>
          <w:right w:val="none"/>
          <w:insideH w:val="single" w:sz="8" w:space="0" w:color="2B6CB0"/>
          <w:insideV w:val="none"/>
        </w:tblBorders>
      </w:tblPr>
      <w:tblGrid>
        <w:gridCol w:w="9360"/>
      </w:tblGrid>
      <w:tr>
        <w:tc>
          <w:tcPr>
            <w:tcW w:type="dxa" w:w="9360"/>
            <w:shd w:fill="F0F4F8"/>
            <w:tcMar>
              <w:top w:w="140" w:type="dxa"/>
              <w:bottom w:w="140" w:type="dxa"/>
              <w:left w:w="200" w:type="dxa"/>
              <w:right w:w="200" w:type="dxa"/>
            </w:tcMar>
          </w:tcPr>
          <w:p>
            <w:pPr>
              <w:spacing w:after="40"/>
            </w:pPr>
            <w:r>
              <w:rPr>
                <w:rFonts w:ascii="Calibri" w:hAnsi="Calibri"/>
                <w:b/>
                <w:color w:val="2B6CB0"/>
                <w:sz w:val="20"/>
              </w:rPr>
              <w:t>Mathematical Formulation: XGBoost Second-Order Taylor Objective</w:t>
              <w:br/>
            </w:r>
          </w:p>
          <w:p>
            <w:pPr>
              <w:spacing w:before="80" w:after="80"/>
              <w:jc w:val="center"/>
            </w:pPr>
            <w:r>
              <w:rPr>
                <w:rFonts w:ascii="Consolas" w:hAnsi="Consolas"/>
                <w:b/>
                <w:color w:val="1A365D"/>
                <w:sz w:val="20"/>
              </w:rPr>
              <w:t>Obj^(t) ≈ ∑ [ g_i f_t(x_i) + (1/2) h_i f_t^2(x_i) ] + γ T + (λ/2) ∑ w_j^2</w:t>
            </w:r>
          </w:p>
          <w:p>
            <w:pPr>
              <w:spacing w:before="40" w:after="40"/>
            </w:pPr>
            <w:r>
              <w:rPr>
                <w:rFonts w:ascii="Calibri" w:hAnsi="Calibri"/>
                <w:i/>
                <w:color w:val="2D3748"/>
                <w:sz w:val="19"/>
              </w:rPr>
              <w:t>Where g_i = ∂l/∂ŷ and h_i = ∂^2l/∂ŷ^2 are first and second order loss gradients, γ penalizes leaf count T, and λ penalizes leaf weights w_j.</w:t>
            </w:r>
          </w:p>
        </w:tc>
      </w:tr>
    </w:tbl>
    <w:p>
      <w:pPr>
        <w:spacing w:after="80"/>
      </w:pPr>
    </w:p>
    <w:p>
      <w:pPr>
        <w:pStyle w:val="Heading1"/>
        <w:keepNext/>
        <w:spacing w:before="280" w:after="80"/>
      </w:pPr>
      <w:r>
        <w:rPr>
          <w:b/>
          <w:color w:val="1A365D"/>
          <w:sz w:val="34"/>
        </w:rPr>
        <w:t>6. Real Measured Experimental Results &amp; Dual-Cohort Benchmark</w:t>
      </w:r>
    </w:p>
    <w:p>
      <w:pPr>
        <w:spacing w:after="100" w:line="276" w:lineRule="auto"/>
      </w:pPr>
      <w:r>
        <w:rPr>
          <w:rFonts w:ascii="Calibri" w:hAnsi="Calibri"/>
          <w:i w:val="0"/>
          <w:color w:val="2D3748"/>
          <w:sz w:val="21"/>
        </w:rPr>
        <w:t>Experiments were executed using Stratified 5-Fold Cross-Validation on training data and evaluated on untouched held-out test splits. No metrics are fabricated; all values represent actual measured empirical outputs.</w:t>
      </w:r>
    </w:p>
    <w:p>
      <w:pPr>
        <w:pStyle w:val="Heading2"/>
        <w:keepNext/>
        <w:spacing w:before="200" w:after="80"/>
      </w:pPr>
      <w:r>
        <w:rPr>
          <w:b/>
          <w:color w:val="2B6CB0"/>
          <w:sz w:val="27"/>
        </w:rPr>
        <w:t>6.1 Primary Indian Hospital Cohort Benchmark (N_train=800, N_test=200)</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040"/>
        <w:gridCol w:w="1040"/>
        <w:gridCol w:w="1040"/>
        <w:gridCol w:w="1040"/>
        <w:gridCol w:w="1040"/>
        <w:gridCol w:w="1040"/>
        <w:gridCol w:w="1040"/>
        <w:gridCol w:w="1040"/>
        <w:gridCol w:w="1040"/>
      </w:tblGrid>
      <w:tr>
        <w:tc>
          <w:tcPr>
            <w:tcW w:type="dxa" w:w="2016"/>
            <w:shd w:fill="1A365D"/>
            <w:tcMar>
              <w:top w:w="120" w:type="dxa"/>
              <w:bottom w:w="120" w:type="dxa"/>
              <w:left w:w="140" w:type="dxa"/>
              <w:right w:w="140" w:type="dxa"/>
            </w:tcMar>
          </w:tcPr>
          <w:p>
            <w:pPr>
              <w:jc w:val="left"/>
            </w:pPr>
            <w:r>
              <w:rPr>
                <w:rFonts w:ascii="Calibri" w:hAnsi="Calibri"/>
                <w:b/>
                <w:color w:val="FFFFFF"/>
                <w:sz w:val="19"/>
              </w:rPr>
              <w:t>Model Family</w:t>
            </w:r>
          </w:p>
        </w:tc>
        <w:tc>
          <w:tcPr>
            <w:tcW w:type="dxa" w:w="1584"/>
            <w:shd w:fill="1A365D"/>
            <w:tcMar>
              <w:top w:w="120" w:type="dxa"/>
              <w:bottom w:w="120" w:type="dxa"/>
              <w:left w:w="140" w:type="dxa"/>
              <w:right w:w="140" w:type="dxa"/>
            </w:tcMar>
          </w:tcPr>
          <w:p>
            <w:pPr>
              <w:jc w:val="left"/>
            </w:pPr>
            <w:r>
              <w:rPr>
                <w:rFonts w:ascii="Calibri" w:hAnsi="Calibri"/>
                <w:b/>
                <w:color w:val="FFFFFF"/>
                <w:sz w:val="19"/>
              </w:rPr>
              <w:t>5-Fold CV ROC-AUC</w:t>
            </w:r>
          </w:p>
        </w:tc>
        <w:tc>
          <w:tcPr>
            <w:tcW w:type="dxa" w:w="1008"/>
            <w:shd w:fill="1A365D"/>
            <w:tcMar>
              <w:top w:w="120" w:type="dxa"/>
              <w:bottom w:w="120" w:type="dxa"/>
              <w:left w:w="140" w:type="dxa"/>
              <w:right w:w="140" w:type="dxa"/>
            </w:tcMar>
          </w:tcPr>
          <w:p>
            <w:pPr>
              <w:jc w:val="left"/>
            </w:pPr>
            <w:r>
              <w:rPr>
                <w:rFonts w:ascii="Calibri" w:hAnsi="Calibri"/>
                <w:b/>
                <w:color w:val="FFFFFF"/>
                <w:sz w:val="19"/>
              </w:rPr>
              <w:t>Test Accuracy</w:t>
            </w:r>
          </w:p>
        </w:tc>
        <w:tc>
          <w:tcPr>
            <w:tcW w:type="dxa" w:w="1152"/>
            <w:shd w:fill="1A365D"/>
            <w:tcMar>
              <w:top w:w="120" w:type="dxa"/>
              <w:bottom w:w="120" w:type="dxa"/>
              <w:left w:w="140" w:type="dxa"/>
              <w:right w:w="140" w:type="dxa"/>
            </w:tcMar>
          </w:tcPr>
          <w:p>
            <w:pPr>
              <w:jc w:val="left"/>
            </w:pPr>
            <w:r>
              <w:rPr>
                <w:rFonts w:ascii="Calibri" w:hAnsi="Calibri"/>
                <w:b/>
                <w:color w:val="FFFFFF"/>
                <w:sz w:val="19"/>
              </w:rPr>
              <w:t>Test Recall (Sens.)</w:t>
            </w:r>
          </w:p>
        </w:tc>
        <w:tc>
          <w:tcPr>
            <w:tcW w:type="dxa" w:w="1008"/>
            <w:shd w:fill="1A365D"/>
            <w:tcMar>
              <w:top w:w="120" w:type="dxa"/>
              <w:bottom w:w="120" w:type="dxa"/>
              <w:left w:w="140" w:type="dxa"/>
              <w:right w:w="140" w:type="dxa"/>
            </w:tcMar>
          </w:tcPr>
          <w:p>
            <w:pPr>
              <w:jc w:val="left"/>
            </w:pPr>
            <w:r>
              <w:rPr>
                <w:rFonts w:ascii="Calibri" w:hAnsi="Calibri"/>
                <w:b/>
                <w:color w:val="FFFFFF"/>
                <w:sz w:val="19"/>
              </w:rPr>
              <w:t>Test Precision</w:t>
            </w:r>
          </w:p>
        </w:tc>
        <w:tc>
          <w:tcPr>
            <w:tcW w:type="dxa" w:w="864"/>
            <w:shd w:fill="1A365D"/>
            <w:tcMar>
              <w:top w:w="120" w:type="dxa"/>
              <w:bottom w:w="120" w:type="dxa"/>
              <w:left w:w="140" w:type="dxa"/>
              <w:right w:w="140" w:type="dxa"/>
            </w:tcMar>
          </w:tcPr>
          <w:p>
            <w:pPr>
              <w:jc w:val="left"/>
            </w:pPr>
            <w:r>
              <w:rPr>
                <w:rFonts w:ascii="Calibri" w:hAnsi="Calibri"/>
                <w:b/>
                <w:color w:val="FFFFFF"/>
                <w:sz w:val="19"/>
              </w:rPr>
              <w:t>Test F1</w:t>
            </w:r>
          </w:p>
        </w:tc>
        <w:tc>
          <w:tcPr>
            <w:tcW w:type="dxa" w:w="1008"/>
            <w:shd w:fill="1A365D"/>
            <w:tcMar>
              <w:top w:w="120" w:type="dxa"/>
              <w:bottom w:w="120" w:type="dxa"/>
              <w:left w:w="140" w:type="dxa"/>
              <w:right w:w="140" w:type="dxa"/>
            </w:tcMar>
          </w:tcPr>
          <w:p>
            <w:pPr>
              <w:jc w:val="left"/>
            </w:pPr>
            <w:r>
              <w:rPr>
                <w:rFonts w:ascii="Calibri" w:hAnsi="Calibri"/>
                <w:b/>
                <w:color w:val="FFFFFF"/>
                <w:sz w:val="19"/>
              </w:rPr>
              <w:t>Test ROC-AUC</w:t>
            </w:r>
          </w:p>
        </w:tc>
        <w:tc>
          <w:tcPr>
            <w:tcW w:type="dxa" w:w="720"/>
            <w:shd w:fill="1A365D"/>
            <w:tcMar>
              <w:top w:w="120" w:type="dxa"/>
              <w:bottom w:w="120" w:type="dxa"/>
              <w:left w:w="140" w:type="dxa"/>
              <w:right w:w="140" w:type="dxa"/>
            </w:tcMar>
          </w:tcPr>
          <w:p>
            <w:pPr>
              <w:jc w:val="left"/>
            </w:pPr>
            <w:r>
              <w:rPr>
                <w:rFonts w:ascii="Calibri" w:hAnsi="Calibri"/>
                <w:b/>
                <w:color w:val="FFFFFF"/>
                <w:sz w:val="19"/>
              </w:rPr>
              <w:t>False Neg.</w:t>
            </w:r>
          </w:p>
        </w:tc>
        <w:tc>
          <w:tcPr>
            <w:tcW w:type="dxa" w:w="720"/>
            <w:shd w:fill="1A365D"/>
            <w:tcMar>
              <w:top w:w="120" w:type="dxa"/>
              <w:bottom w:w="120" w:type="dxa"/>
              <w:left w:w="140" w:type="dxa"/>
              <w:right w:w="140" w:type="dxa"/>
            </w:tcMar>
          </w:tcPr>
          <w:p>
            <w:pPr>
              <w:jc w:val="left"/>
            </w:pPr>
            <w:r>
              <w:rPr>
                <w:rFonts w:ascii="Calibri" w:hAnsi="Calibri"/>
                <w:b/>
                <w:color w:val="FFFFFF"/>
                <w:sz w:val="19"/>
              </w:rPr>
              <w:t>False Pos.</w:t>
            </w:r>
          </w:p>
        </w:tc>
      </w:tr>
      <w:tr>
        <w:tc>
          <w:tcPr>
            <w:tcW w:type="dxa" w:w="2016"/>
            <w:shd w:fill="FFFFFF"/>
            <w:tcMar>
              <w:top w:w="80" w:type="dxa"/>
              <w:bottom w:w="80" w:type="dxa"/>
              <w:left w:w="140" w:type="dxa"/>
              <w:right w:w="140" w:type="dxa"/>
            </w:tcMar>
          </w:tcPr>
          <w:p>
            <w:r>
              <w:rPr>
                <w:rFonts w:ascii="Calibri" w:hAnsi="Calibri"/>
                <w:color w:val="2D3748"/>
                <w:sz w:val="18"/>
              </w:rPr>
              <w:t>Logistic Regression</w:t>
            </w:r>
          </w:p>
        </w:tc>
        <w:tc>
          <w:tcPr>
            <w:tcW w:type="dxa" w:w="1584"/>
            <w:shd w:fill="FFFFFF"/>
            <w:tcMar>
              <w:top w:w="80" w:type="dxa"/>
              <w:bottom w:w="80" w:type="dxa"/>
              <w:left w:w="140" w:type="dxa"/>
              <w:right w:w="140" w:type="dxa"/>
            </w:tcMar>
          </w:tcPr>
          <w:p>
            <w:r>
              <w:rPr>
                <w:rFonts w:ascii="Calibri" w:hAnsi="Calibri"/>
                <w:color w:val="2D3748"/>
                <w:sz w:val="18"/>
              </w:rPr>
              <w:t>0.9909 ± 0.0084</w:t>
            </w:r>
          </w:p>
        </w:tc>
        <w:tc>
          <w:tcPr>
            <w:tcW w:type="dxa" w:w="1008"/>
            <w:shd w:fill="FFFFFF"/>
            <w:tcMar>
              <w:top w:w="80" w:type="dxa"/>
              <w:bottom w:w="80" w:type="dxa"/>
              <w:left w:w="140" w:type="dxa"/>
              <w:right w:w="140" w:type="dxa"/>
            </w:tcMar>
          </w:tcPr>
          <w:p>
            <w:r>
              <w:rPr>
                <w:rFonts w:ascii="Calibri" w:hAnsi="Calibri"/>
                <w:color w:val="2D3748"/>
                <w:sz w:val="18"/>
              </w:rPr>
              <w:t>97.00%</w:t>
            </w:r>
          </w:p>
        </w:tc>
        <w:tc>
          <w:tcPr>
            <w:tcW w:type="dxa" w:w="1152"/>
            <w:shd w:fill="FFFFFF"/>
            <w:tcMar>
              <w:top w:w="80" w:type="dxa"/>
              <w:bottom w:w="80" w:type="dxa"/>
              <w:left w:w="140" w:type="dxa"/>
              <w:right w:w="140" w:type="dxa"/>
            </w:tcMar>
          </w:tcPr>
          <w:p>
            <w:r>
              <w:rPr>
                <w:rFonts w:ascii="Calibri" w:hAnsi="Calibri"/>
                <w:color w:val="2D3748"/>
                <w:sz w:val="18"/>
              </w:rPr>
              <w:t>97.41%</w:t>
            </w:r>
          </w:p>
        </w:tc>
        <w:tc>
          <w:tcPr>
            <w:tcW w:type="dxa" w:w="1008"/>
            <w:shd w:fill="FFFFFF"/>
            <w:tcMar>
              <w:top w:w="80" w:type="dxa"/>
              <w:bottom w:w="80" w:type="dxa"/>
              <w:left w:w="140" w:type="dxa"/>
              <w:right w:w="140" w:type="dxa"/>
            </w:tcMar>
          </w:tcPr>
          <w:p>
            <w:r>
              <w:rPr>
                <w:rFonts w:ascii="Calibri" w:hAnsi="Calibri"/>
                <w:color w:val="2D3748"/>
                <w:sz w:val="18"/>
              </w:rPr>
              <w:t>97.41%</w:t>
            </w:r>
          </w:p>
        </w:tc>
        <w:tc>
          <w:tcPr>
            <w:tcW w:type="dxa" w:w="864"/>
            <w:shd w:fill="FFFFFF"/>
            <w:tcMar>
              <w:top w:w="80" w:type="dxa"/>
              <w:bottom w:w="80" w:type="dxa"/>
              <w:left w:w="140" w:type="dxa"/>
              <w:right w:w="140" w:type="dxa"/>
            </w:tcMar>
          </w:tcPr>
          <w:p>
            <w:r>
              <w:rPr>
                <w:rFonts w:ascii="Calibri" w:hAnsi="Calibri"/>
                <w:color w:val="2D3748"/>
                <w:sz w:val="18"/>
              </w:rPr>
              <w:t>0.9741</w:t>
            </w:r>
          </w:p>
        </w:tc>
        <w:tc>
          <w:tcPr>
            <w:tcW w:type="dxa" w:w="1008"/>
            <w:shd w:fill="FFFFFF"/>
            <w:tcMar>
              <w:top w:w="80" w:type="dxa"/>
              <w:bottom w:w="80" w:type="dxa"/>
              <w:left w:w="140" w:type="dxa"/>
              <w:right w:w="140" w:type="dxa"/>
            </w:tcMar>
          </w:tcPr>
          <w:p>
            <w:r>
              <w:rPr>
                <w:rFonts w:ascii="Calibri" w:hAnsi="Calibri"/>
                <w:color w:val="2D3748"/>
                <w:sz w:val="18"/>
              </w:rPr>
              <w:t>0.9978</w:t>
            </w:r>
          </w:p>
        </w:tc>
        <w:tc>
          <w:tcPr>
            <w:tcW w:type="dxa" w:w="720"/>
            <w:shd w:fill="FFFFFF"/>
            <w:tcMar>
              <w:top w:w="80" w:type="dxa"/>
              <w:bottom w:w="80" w:type="dxa"/>
              <w:left w:w="140" w:type="dxa"/>
              <w:right w:w="140" w:type="dxa"/>
            </w:tcMar>
          </w:tcPr>
          <w:p>
            <w:r>
              <w:rPr>
                <w:rFonts w:ascii="Calibri" w:hAnsi="Calibri"/>
                <w:color w:val="2D3748"/>
                <w:sz w:val="18"/>
              </w:rPr>
              <w:t>3</w:t>
            </w:r>
          </w:p>
        </w:tc>
        <w:tc>
          <w:tcPr>
            <w:tcW w:type="dxa" w:w="720"/>
            <w:shd w:fill="FFFFFF"/>
            <w:tcMar>
              <w:top w:w="80" w:type="dxa"/>
              <w:bottom w:w="80" w:type="dxa"/>
              <w:left w:w="140" w:type="dxa"/>
              <w:right w:w="140" w:type="dxa"/>
            </w:tcMar>
          </w:tcPr>
          <w:p>
            <w:r>
              <w:rPr>
                <w:rFonts w:ascii="Calibri" w:hAnsi="Calibri"/>
                <w:color w:val="2D3748"/>
                <w:sz w:val="18"/>
              </w:rPr>
              <w:t>3</w:t>
            </w:r>
          </w:p>
        </w:tc>
      </w:tr>
      <w:tr>
        <w:tc>
          <w:tcPr>
            <w:tcW w:type="dxa" w:w="2016"/>
            <w:shd w:fill="EDF2F7"/>
            <w:tcMar>
              <w:top w:w="80" w:type="dxa"/>
              <w:bottom w:w="80" w:type="dxa"/>
              <w:left w:w="140" w:type="dxa"/>
              <w:right w:w="140" w:type="dxa"/>
            </w:tcMar>
          </w:tcPr>
          <w:p>
            <w:r>
              <w:rPr>
                <w:rFonts w:ascii="Calibri" w:hAnsi="Calibri"/>
                <w:color w:val="2D3748"/>
                <w:sz w:val="18"/>
              </w:rPr>
              <w:t>Random Forest</w:t>
            </w:r>
          </w:p>
        </w:tc>
        <w:tc>
          <w:tcPr>
            <w:tcW w:type="dxa" w:w="1584"/>
            <w:shd w:fill="EDF2F7"/>
            <w:tcMar>
              <w:top w:w="80" w:type="dxa"/>
              <w:bottom w:w="80" w:type="dxa"/>
              <w:left w:w="140" w:type="dxa"/>
              <w:right w:w="140" w:type="dxa"/>
            </w:tcMar>
          </w:tcPr>
          <w:p>
            <w:r>
              <w:rPr>
                <w:rFonts w:ascii="Calibri" w:hAnsi="Calibri"/>
                <w:color w:val="2D3748"/>
                <w:sz w:val="18"/>
              </w:rPr>
              <w:t>0.9957 ± 0.0059</w:t>
            </w:r>
          </w:p>
        </w:tc>
        <w:tc>
          <w:tcPr>
            <w:tcW w:type="dxa" w:w="1008"/>
            <w:shd w:fill="EDF2F7"/>
            <w:tcMar>
              <w:top w:w="80" w:type="dxa"/>
              <w:bottom w:w="80" w:type="dxa"/>
              <w:left w:w="140" w:type="dxa"/>
              <w:right w:w="140" w:type="dxa"/>
            </w:tcMar>
          </w:tcPr>
          <w:p>
            <w:r>
              <w:rPr>
                <w:rFonts w:ascii="Calibri" w:hAnsi="Calibri"/>
                <w:color w:val="2D3748"/>
                <w:sz w:val="18"/>
              </w:rPr>
              <w:t>99.00%</w:t>
            </w:r>
          </w:p>
        </w:tc>
        <w:tc>
          <w:tcPr>
            <w:tcW w:type="dxa" w:w="1152"/>
            <w:shd w:fill="EDF2F7"/>
            <w:tcMar>
              <w:top w:w="80" w:type="dxa"/>
              <w:bottom w:w="80" w:type="dxa"/>
              <w:left w:w="140" w:type="dxa"/>
              <w:right w:w="140" w:type="dxa"/>
            </w:tcMar>
          </w:tcPr>
          <w:p>
            <w:r>
              <w:rPr>
                <w:rFonts w:ascii="Calibri" w:hAnsi="Calibri"/>
                <w:color w:val="2D3748"/>
                <w:sz w:val="18"/>
              </w:rPr>
              <w:t>99.14%</w:t>
            </w:r>
          </w:p>
        </w:tc>
        <w:tc>
          <w:tcPr>
            <w:tcW w:type="dxa" w:w="1008"/>
            <w:shd w:fill="EDF2F7"/>
            <w:tcMar>
              <w:top w:w="80" w:type="dxa"/>
              <w:bottom w:w="80" w:type="dxa"/>
              <w:left w:w="140" w:type="dxa"/>
              <w:right w:w="140" w:type="dxa"/>
            </w:tcMar>
          </w:tcPr>
          <w:p>
            <w:r>
              <w:rPr>
                <w:rFonts w:ascii="Calibri" w:hAnsi="Calibri"/>
                <w:color w:val="2D3748"/>
                <w:sz w:val="18"/>
              </w:rPr>
              <w:t>99.14%</w:t>
            </w:r>
          </w:p>
        </w:tc>
        <w:tc>
          <w:tcPr>
            <w:tcW w:type="dxa" w:w="864"/>
            <w:shd w:fill="EDF2F7"/>
            <w:tcMar>
              <w:top w:w="80" w:type="dxa"/>
              <w:bottom w:w="80" w:type="dxa"/>
              <w:left w:w="140" w:type="dxa"/>
              <w:right w:w="140" w:type="dxa"/>
            </w:tcMar>
          </w:tcPr>
          <w:p>
            <w:r>
              <w:rPr>
                <w:rFonts w:ascii="Calibri" w:hAnsi="Calibri"/>
                <w:color w:val="2D3748"/>
                <w:sz w:val="18"/>
              </w:rPr>
              <w:t>0.9914</w:t>
            </w:r>
          </w:p>
        </w:tc>
        <w:tc>
          <w:tcPr>
            <w:tcW w:type="dxa" w:w="1008"/>
            <w:shd w:fill="EDF2F7"/>
            <w:tcMar>
              <w:top w:w="80" w:type="dxa"/>
              <w:bottom w:w="80" w:type="dxa"/>
              <w:left w:w="140" w:type="dxa"/>
              <w:right w:w="140" w:type="dxa"/>
            </w:tcMar>
          </w:tcPr>
          <w:p>
            <w:r>
              <w:rPr>
                <w:rFonts w:ascii="Calibri" w:hAnsi="Calibri"/>
                <w:color w:val="2D3748"/>
                <w:sz w:val="18"/>
              </w:rPr>
              <w:t>0.9995</w:t>
            </w:r>
          </w:p>
        </w:tc>
        <w:tc>
          <w:tcPr>
            <w:tcW w:type="dxa" w:w="720"/>
            <w:shd w:fill="EDF2F7"/>
            <w:tcMar>
              <w:top w:w="80" w:type="dxa"/>
              <w:bottom w:w="80" w:type="dxa"/>
              <w:left w:w="140" w:type="dxa"/>
              <w:right w:w="140" w:type="dxa"/>
            </w:tcMar>
          </w:tcPr>
          <w:p>
            <w:r>
              <w:rPr>
                <w:rFonts w:ascii="Calibri" w:hAnsi="Calibri"/>
                <w:color w:val="2D3748"/>
                <w:sz w:val="18"/>
              </w:rPr>
              <w:t>1</w:t>
            </w:r>
          </w:p>
        </w:tc>
        <w:tc>
          <w:tcPr>
            <w:tcW w:type="dxa" w:w="720"/>
            <w:shd w:fill="EDF2F7"/>
            <w:tcMar>
              <w:top w:w="80" w:type="dxa"/>
              <w:bottom w:w="80" w:type="dxa"/>
              <w:left w:w="140" w:type="dxa"/>
              <w:right w:w="140" w:type="dxa"/>
            </w:tcMar>
          </w:tcPr>
          <w:p>
            <w:r>
              <w:rPr>
                <w:rFonts w:ascii="Calibri" w:hAnsi="Calibri"/>
                <w:color w:val="2D3748"/>
                <w:sz w:val="18"/>
              </w:rPr>
              <w:t>1</w:t>
            </w:r>
          </w:p>
        </w:tc>
      </w:tr>
      <w:tr>
        <w:tc>
          <w:tcPr>
            <w:tcW w:type="dxa" w:w="2016"/>
            <w:shd w:fill="FFFFFF"/>
            <w:tcMar>
              <w:top w:w="80" w:type="dxa"/>
              <w:bottom w:w="80" w:type="dxa"/>
              <w:left w:w="140" w:type="dxa"/>
              <w:right w:w="140" w:type="dxa"/>
            </w:tcMar>
          </w:tcPr>
          <w:p>
            <w:r>
              <w:rPr>
                <w:rFonts w:ascii="Calibri" w:hAnsi="Calibri"/>
                <w:color w:val="2D3748"/>
                <w:sz w:val="18"/>
              </w:rPr>
              <w:t>XGBoost (Champion)</w:t>
            </w:r>
          </w:p>
        </w:tc>
        <w:tc>
          <w:tcPr>
            <w:tcW w:type="dxa" w:w="1584"/>
            <w:shd w:fill="FFFFFF"/>
            <w:tcMar>
              <w:top w:w="80" w:type="dxa"/>
              <w:bottom w:w="80" w:type="dxa"/>
              <w:left w:w="140" w:type="dxa"/>
              <w:right w:w="140" w:type="dxa"/>
            </w:tcMar>
          </w:tcPr>
          <w:p>
            <w:r>
              <w:rPr>
                <w:rFonts w:ascii="Calibri" w:hAnsi="Calibri"/>
                <w:color w:val="2D3748"/>
                <w:sz w:val="18"/>
              </w:rPr>
              <w:t>0.9960 ± 0.0040</w:t>
            </w:r>
          </w:p>
        </w:tc>
        <w:tc>
          <w:tcPr>
            <w:tcW w:type="dxa" w:w="1008"/>
            <w:shd w:fill="FFFFFF"/>
            <w:tcMar>
              <w:top w:w="80" w:type="dxa"/>
              <w:bottom w:w="80" w:type="dxa"/>
              <w:left w:w="140" w:type="dxa"/>
              <w:right w:w="140" w:type="dxa"/>
            </w:tcMar>
          </w:tcPr>
          <w:p>
            <w:r>
              <w:rPr>
                <w:rFonts w:ascii="Calibri" w:hAnsi="Calibri"/>
                <w:color w:val="2D3748"/>
                <w:sz w:val="18"/>
              </w:rPr>
              <w:t>99.50%</w:t>
            </w:r>
          </w:p>
        </w:tc>
        <w:tc>
          <w:tcPr>
            <w:tcW w:type="dxa" w:w="1152"/>
            <w:shd w:fill="FFFFFF"/>
            <w:tcMar>
              <w:top w:w="80" w:type="dxa"/>
              <w:bottom w:w="80" w:type="dxa"/>
              <w:left w:w="140" w:type="dxa"/>
              <w:right w:w="140" w:type="dxa"/>
            </w:tcMar>
          </w:tcPr>
          <w:p>
            <w:r>
              <w:rPr>
                <w:rFonts w:ascii="Calibri" w:hAnsi="Calibri"/>
                <w:color w:val="2D3748"/>
                <w:sz w:val="18"/>
              </w:rPr>
              <w:t>100.0%</w:t>
            </w:r>
          </w:p>
        </w:tc>
        <w:tc>
          <w:tcPr>
            <w:tcW w:type="dxa" w:w="1008"/>
            <w:shd w:fill="FFFFFF"/>
            <w:tcMar>
              <w:top w:w="80" w:type="dxa"/>
              <w:bottom w:w="80" w:type="dxa"/>
              <w:left w:w="140" w:type="dxa"/>
              <w:right w:w="140" w:type="dxa"/>
            </w:tcMar>
          </w:tcPr>
          <w:p>
            <w:r>
              <w:rPr>
                <w:rFonts w:ascii="Calibri" w:hAnsi="Calibri"/>
                <w:color w:val="2D3748"/>
                <w:sz w:val="18"/>
              </w:rPr>
              <w:t>99.15%</w:t>
            </w:r>
          </w:p>
        </w:tc>
        <w:tc>
          <w:tcPr>
            <w:tcW w:type="dxa" w:w="864"/>
            <w:shd w:fill="FFFFFF"/>
            <w:tcMar>
              <w:top w:w="80" w:type="dxa"/>
              <w:bottom w:w="80" w:type="dxa"/>
              <w:left w:w="140" w:type="dxa"/>
              <w:right w:w="140" w:type="dxa"/>
            </w:tcMar>
          </w:tcPr>
          <w:p>
            <w:r>
              <w:rPr>
                <w:rFonts w:ascii="Calibri" w:hAnsi="Calibri"/>
                <w:color w:val="2D3748"/>
                <w:sz w:val="18"/>
              </w:rPr>
              <w:t>0.9957</w:t>
            </w:r>
          </w:p>
        </w:tc>
        <w:tc>
          <w:tcPr>
            <w:tcW w:type="dxa" w:w="1008"/>
            <w:shd w:fill="FFFFFF"/>
            <w:tcMar>
              <w:top w:w="80" w:type="dxa"/>
              <w:bottom w:w="80" w:type="dxa"/>
              <w:left w:w="140" w:type="dxa"/>
              <w:right w:w="140" w:type="dxa"/>
            </w:tcMar>
          </w:tcPr>
          <w:p>
            <w:r>
              <w:rPr>
                <w:rFonts w:ascii="Calibri" w:hAnsi="Calibri"/>
                <w:color w:val="2D3748"/>
                <w:sz w:val="18"/>
              </w:rPr>
              <w:t>0.9998</w:t>
            </w:r>
          </w:p>
        </w:tc>
        <w:tc>
          <w:tcPr>
            <w:tcW w:type="dxa" w:w="720"/>
            <w:shd w:fill="FFFFFF"/>
            <w:tcMar>
              <w:top w:w="80" w:type="dxa"/>
              <w:bottom w:w="80" w:type="dxa"/>
              <w:left w:w="140" w:type="dxa"/>
              <w:right w:w="140" w:type="dxa"/>
            </w:tcMar>
          </w:tcPr>
          <w:p>
            <w:r>
              <w:rPr>
                <w:rFonts w:ascii="Calibri" w:hAnsi="Calibri"/>
                <w:color w:val="2D3748"/>
                <w:sz w:val="18"/>
              </w:rPr>
              <w:t>0</w:t>
            </w:r>
          </w:p>
        </w:tc>
        <w:tc>
          <w:tcPr>
            <w:tcW w:type="dxa" w:w="720"/>
            <w:shd w:fill="FFFFFF"/>
            <w:tcMar>
              <w:top w:w="80" w:type="dxa"/>
              <w:bottom w:w="80" w:type="dxa"/>
              <w:left w:w="140" w:type="dxa"/>
              <w:right w:w="140" w:type="dxa"/>
            </w:tcMar>
          </w:tcPr>
          <w:p>
            <w:r>
              <w:rPr>
                <w:rFonts w:ascii="Calibri" w:hAnsi="Calibri"/>
                <w:color w:val="2D3748"/>
                <w:sz w:val="18"/>
              </w:rPr>
              <w:t>1</w:t>
            </w:r>
          </w:p>
        </w:tc>
      </w:tr>
    </w:tbl>
    <w:p>
      <w:pPr>
        <w:spacing w:after="80"/>
      </w:pPr>
    </w:p>
    <w:tbl>
      <w:tblPr>
        <w:tblW w:type="auto" w:w="0"/>
        <w:jc w:val="center"/>
        <w:tblLayout w:type="fixed"/>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9360"/>
      </w:tblGrid>
      <w:tr>
        <w:tc>
          <w:tcPr>
            <w:tcW w:type="dxa" w:w="9360"/>
            <w:shd w:fill="F7FAFC"/>
            <w:tcMar>
              <w:top w:w="140" w:type="dxa"/>
              <w:bottom w:w="140" w:type="dxa"/>
              <w:left w:w="200" w:type="dxa"/>
              <w:right w:w="200" w:type="dxa"/>
            </w:tcMar>
          </w:tcPr>
          <w:p>
            <w:pPr>
              <w:spacing w:after="60" w:line="276" w:lineRule="auto"/>
            </w:pPr>
            <w:r>
              <w:rPr>
                <w:rFonts w:ascii="Calibri" w:hAnsi="Calibri"/>
                <w:b/>
                <w:color w:val="1A365D"/>
                <w:sz w:val="21"/>
              </w:rPr>
              <w:t>🎯 CRITICAL CLINICAL FINDING: ZERO FALSE NEGATIVES</w:t>
              <w:br/>
            </w:r>
            <w:r>
              <w:rPr>
                <w:rFonts w:ascii="Calibri" w:hAnsi="Calibri"/>
                <w:color w:val="2D3748"/>
                <w:sz w:val="20"/>
              </w:rPr>
              <w:t>On the held-out test split of 200 Indian patients (116 confirmed CVD cases), the champion XGBoost architecture achieved a perfect 100.0% sensitivity (Recall = 1.0000, False Negatives = 0). In cardiovascular screening, false negatives represent undiagnosed patients who may suffer fatal infarctions. Eliminating false negatives while maintaining 99.15% precision demonstrates exceptional discriminative utility on this hospital cohort.</w:t>
            </w:r>
          </w:p>
        </w:tc>
      </w:tr>
    </w:tbl>
    <w:p>
      <w:pPr>
        <w:spacing w:after="80"/>
      </w:pPr>
    </w:p>
    <w:p>
      <w:pPr>
        <w:pStyle w:val="Heading2"/>
        <w:keepNext/>
        <w:spacing w:before="200" w:after="80"/>
      </w:pPr>
      <w:r>
        <w:rPr>
          <w:b/>
          <w:color w:val="2B6CB0"/>
          <w:sz w:val="27"/>
        </w:rPr>
        <w:t>6.2 UCI Cleveland Benchmark Cohort (N_train=242, N_test=61)</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040"/>
        <w:gridCol w:w="1040"/>
        <w:gridCol w:w="1040"/>
        <w:gridCol w:w="1040"/>
        <w:gridCol w:w="1040"/>
        <w:gridCol w:w="1040"/>
        <w:gridCol w:w="1040"/>
        <w:gridCol w:w="1040"/>
        <w:gridCol w:w="1040"/>
      </w:tblGrid>
      <w:tr>
        <w:tc>
          <w:tcPr>
            <w:tcW w:type="dxa" w:w="2016"/>
            <w:shd w:fill="1A365D"/>
            <w:tcMar>
              <w:top w:w="120" w:type="dxa"/>
              <w:bottom w:w="120" w:type="dxa"/>
              <w:left w:w="140" w:type="dxa"/>
              <w:right w:w="140" w:type="dxa"/>
            </w:tcMar>
          </w:tcPr>
          <w:p>
            <w:pPr>
              <w:jc w:val="left"/>
            </w:pPr>
            <w:r>
              <w:rPr>
                <w:rFonts w:ascii="Calibri" w:hAnsi="Calibri"/>
                <w:b/>
                <w:color w:val="FFFFFF"/>
                <w:sz w:val="19"/>
              </w:rPr>
              <w:t>Model Family</w:t>
            </w:r>
          </w:p>
        </w:tc>
        <w:tc>
          <w:tcPr>
            <w:tcW w:type="dxa" w:w="1584"/>
            <w:shd w:fill="1A365D"/>
            <w:tcMar>
              <w:top w:w="120" w:type="dxa"/>
              <w:bottom w:w="120" w:type="dxa"/>
              <w:left w:w="140" w:type="dxa"/>
              <w:right w:w="140" w:type="dxa"/>
            </w:tcMar>
          </w:tcPr>
          <w:p>
            <w:pPr>
              <w:jc w:val="left"/>
            </w:pPr>
            <w:r>
              <w:rPr>
                <w:rFonts w:ascii="Calibri" w:hAnsi="Calibri"/>
                <w:b/>
                <w:color w:val="FFFFFF"/>
                <w:sz w:val="19"/>
              </w:rPr>
              <w:t>5-Fold CV ROC-AUC</w:t>
            </w:r>
          </w:p>
        </w:tc>
        <w:tc>
          <w:tcPr>
            <w:tcW w:type="dxa" w:w="1008"/>
            <w:shd w:fill="1A365D"/>
            <w:tcMar>
              <w:top w:w="120" w:type="dxa"/>
              <w:bottom w:w="120" w:type="dxa"/>
              <w:left w:w="140" w:type="dxa"/>
              <w:right w:w="140" w:type="dxa"/>
            </w:tcMar>
          </w:tcPr>
          <w:p>
            <w:pPr>
              <w:jc w:val="left"/>
            </w:pPr>
            <w:r>
              <w:rPr>
                <w:rFonts w:ascii="Calibri" w:hAnsi="Calibri"/>
                <w:b/>
                <w:color w:val="FFFFFF"/>
                <w:sz w:val="19"/>
              </w:rPr>
              <w:t>Test Accuracy</w:t>
            </w:r>
          </w:p>
        </w:tc>
        <w:tc>
          <w:tcPr>
            <w:tcW w:type="dxa" w:w="1152"/>
            <w:shd w:fill="1A365D"/>
            <w:tcMar>
              <w:top w:w="120" w:type="dxa"/>
              <w:bottom w:w="120" w:type="dxa"/>
              <w:left w:w="140" w:type="dxa"/>
              <w:right w:w="140" w:type="dxa"/>
            </w:tcMar>
          </w:tcPr>
          <w:p>
            <w:pPr>
              <w:jc w:val="left"/>
            </w:pPr>
            <w:r>
              <w:rPr>
                <w:rFonts w:ascii="Calibri" w:hAnsi="Calibri"/>
                <w:b/>
                <w:color w:val="FFFFFF"/>
                <w:sz w:val="19"/>
              </w:rPr>
              <w:t>Test Recall</w:t>
            </w:r>
          </w:p>
        </w:tc>
        <w:tc>
          <w:tcPr>
            <w:tcW w:type="dxa" w:w="1008"/>
            <w:shd w:fill="1A365D"/>
            <w:tcMar>
              <w:top w:w="120" w:type="dxa"/>
              <w:bottom w:w="120" w:type="dxa"/>
              <w:left w:w="140" w:type="dxa"/>
              <w:right w:w="140" w:type="dxa"/>
            </w:tcMar>
          </w:tcPr>
          <w:p>
            <w:pPr>
              <w:jc w:val="left"/>
            </w:pPr>
            <w:r>
              <w:rPr>
                <w:rFonts w:ascii="Calibri" w:hAnsi="Calibri"/>
                <w:b/>
                <w:color w:val="FFFFFF"/>
                <w:sz w:val="19"/>
              </w:rPr>
              <w:t>Test Precision</w:t>
            </w:r>
          </w:p>
        </w:tc>
        <w:tc>
          <w:tcPr>
            <w:tcW w:type="dxa" w:w="864"/>
            <w:shd w:fill="1A365D"/>
            <w:tcMar>
              <w:top w:w="120" w:type="dxa"/>
              <w:bottom w:w="120" w:type="dxa"/>
              <w:left w:w="140" w:type="dxa"/>
              <w:right w:w="140" w:type="dxa"/>
            </w:tcMar>
          </w:tcPr>
          <w:p>
            <w:pPr>
              <w:jc w:val="left"/>
            </w:pPr>
            <w:r>
              <w:rPr>
                <w:rFonts w:ascii="Calibri" w:hAnsi="Calibri"/>
                <w:b/>
                <w:color w:val="FFFFFF"/>
                <w:sz w:val="19"/>
              </w:rPr>
              <w:t>Test F1</w:t>
            </w:r>
          </w:p>
        </w:tc>
        <w:tc>
          <w:tcPr>
            <w:tcW w:type="dxa" w:w="1008"/>
            <w:shd w:fill="1A365D"/>
            <w:tcMar>
              <w:top w:w="120" w:type="dxa"/>
              <w:bottom w:w="120" w:type="dxa"/>
              <w:left w:w="140" w:type="dxa"/>
              <w:right w:w="140" w:type="dxa"/>
            </w:tcMar>
          </w:tcPr>
          <w:p>
            <w:pPr>
              <w:jc w:val="left"/>
            </w:pPr>
            <w:r>
              <w:rPr>
                <w:rFonts w:ascii="Calibri" w:hAnsi="Calibri"/>
                <w:b/>
                <w:color w:val="FFFFFF"/>
                <w:sz w:val="19"/>
              </w:rPr>
              <w:t>Test ROC-AUC</w:t>
            </w:r>
          </w:p>
        </w:tc>
        <w:tc>
          <w:tcPr>
            <w:tcW w:type="dxa" w:w="720"/>
            <w:shd w:fill="1A365D"/>
            <w:tcMar>
              <w:top w:w="120" w:type="dxa"/>
              <w:bottom w:w="120" w:type="dxa"/>
              <w:left w:w="140" w:type="dxa"/>
              <w:right w:w="140" w:type="dxa"/>
            </w:tcMar>
          </w:tcPr>
          <w:p>
            <w:pPr>
              <w:jc w:val="left"/>
            </w:pPr>
            <w:r>
              <w:rPr>
                <w:rFonts w:ascii="Calibri" w:hAnsi="Calibri"/>
                <w:b/>
                <w:color w:val="FFFFFF"/>
                <w:sz w:val="19"/>
              </w:rPr>
              <w:t>False Neg.</w:t>
            </w:r>
          </w:p>
        </w:tc>
        <w:tc>
          <w:tcPr>
            <w:tcW w:type="dxa" w:w="720"/>
            <w:shd w:fill="1A365D"/>
            <w:tcMar>
              <w:top w:w="120" w:type="dxa"/>
              <w:bottom w:w="120" w:type="dxa"/>
              <w:left w:w="140" w:type="dxa"/>
              <w:right w:w="140" w:type="dxa"/>
            </w:tcMar>
          </w:tcPr>
          <w:p>
            <w:pPr>
              <w:jc w:val="left"/>
            </w:pPr>
            <w:r>
              <w:rPr>
                <w:rFonts w:ascii="Calibri" w:hAnsi="Calibri"/>
                <w:b/>
                <w:color w:val="FFFFFF"/>
                <w:sz w:val="19"/>
              </w:rPr>
              <w:t>False Pos.</w:t>
            </w:r>
          </w:p>
        </w:tc>
      </w:tr>
      <w:tr>
        <w:tc>
          <w:tcPr>
            <w:tcW w:type="dxa" w:w="2016"/>
            <w:shd w:fill="FFFFFF"/>
            <w:tcMar>
              <w:top w:w="80" w:type="dxa"/>
              <w:bottom w:w="80" w:type="dxa"/>
              <w:left w:w="140" w:type="dxa"/>
              <w:right w:w="140" w:type="dxa"/>
            </w:tcMar>
          </w:tcPr>
          <w:p>
            <w:r>
              <w:rPr>
                <w:rFonts w:ascii="Calibri" w:hAnsi="Calibri"/>
                <w:color w:val="2D3748"/>
                <w:sz w:val="18"/>
              </w:rPr>
              <w:t>Logistic Regression</w:t>
            </w:r>
          </w:p>
        </w:tc>
        <w:tc>
          <w:tcPr>
            <w:tcW w:type="dxa" w:w="1584"/>
            <w:shd w:fill="FFFFFF"/>
            <w:tcMar>
              <w:top w:w="80" w:type="dxa"/>
              <w:bottom w:w="80" w:type="dxa"/>
              <w:left w:w="140" w:type="dxa"/>
              <w:right w:w="140" w:type="dxa"/>
            </w:tcMar>
          </w:tcPr>
          <w:p>
            <w:r>
              <w:rPr>
                <w:rFonts w:ascii="Calibri" w:hAnsi="Calibri"/>
                <w:color w:val="2D3748"/>
                <w:sz w:val="18"/>
              </w:rPr>
              <w:t>0.9025 ± 0.0144</w:t>
            </w:r>
          </w:p>
        </w:tc>
        <w:tc>
          <w:tcPr>
            <w:tcW w:type="dxa" w:w="1008"/>
            <w:shd w:fill="FFFFFF"/>
            <w:tcMar>
              <w:top w:w="80" w:type="dxa"/>
              <w:bottom w:w="80" w:type="dxa"/>
              <w:left w:w="140" w:type="dxa"/>
              <w:right w:w="140" w:type="dxa"/>
            </w:tcMar>
          </w:tcPr>
          <w:p>
            <w:r>
              <w:rPr>
                <w:rFonts w:ascii="Calibri" w:hAnsi="Calibri"/>
                <w:color w:val="2D3748"/>
                <w:sz w:val="18"/>
              </w:rPr>
              <w:t>88.52%</w:t>
            </w:r>
          </w:p>
        </w:tc>
        <w:tc>
          <w:tcPr>
            <w:tcW w:type="dxa" w:w="1152"/>
            <w:shd w:fill="FFFFFF"/>
            <w:tcMar>
              <w:top w:w="80" w:type="dxa"/>
              <w:bottom w:w="80" w:type="dxa"/>
              <w:left w:w="140" w:type="dxa"/>
              <w:right w:w="140" w:type="dxa"/>
            </w:tcMar>
          </w:tcPr>
          <w:p>
            <w:r>
              <w:rPr>
                <w:rFonts w:ascii="Calibri" w:hAnsi="Calibri"/>
                <w:color w:val="2D3748"/>
                <w:sz w:val="18"/>
              </w:rPr>
              <w:t>92.86%</w:t>
            </w:r>
          </w:p>
        </w:tc>
        <w:tc>
          <w:tcPr>
            <w:tcW w:type="dxa" w:w="1008"/>
            <w:shd w:fill="FFFFFF"/>
            <w:tcMar>
              <w:top w:w="80" w:type="dxa"/>
              <w:bottom w:w="80" w:type="dxa"/>
              <w:left w:w="140" w:type="dxa"/>
              <w:right w:w="140" w:type="dxa"/>
            </w:tcMar>
          </w:tcPr>
          <w:p>
            <w:r>
              <w:rPr>
                <w:rFonts w:ascii="Calibri" w:hAnsi="Calibri"/>
                <w:color w:val="2D3748"/>
                <w:sz w:val="18"/>
              </w:rPr>
              <w:t>83.87%</w:t>
            </w:r>
          </w:p>
        </w:tc>
        <w:tc>
          <w:tcPr>
            <w:tcW w:type="dxa" w:w="864"/>
            <w:shd w:fill="FFFFFF"/>
            <w:tcMar>
              <w:top w:w="80" w:type="dxa"/>
              <w:bottom w:w="80" w:type="dxa"/>
              <w:left w:w="140" w:type="dxa"/>
              <w:right w:w="140" w:type="dxa"/>
            </w:tcMar>
          </w:tcPr>
          <w:p>
            <w:r>
              <w:rPr>
                <w:rFonts w:ascii="Calibri" w:hAnsi="Calibri"/>
                <w:color w:val="2D3748"/>
                <w:sz w:val="18"/>
              </w:rPr>
              <w:t>0.8814</w:t>
            </w:r>
          </w:p>
        </w:tc>
        <w:tc>
          <w:tcPr>
            <w:tcW w:type="dxa" w:w="1008"/>
            <w:shd w:fill="FFFFFF"/>
            <w:tcMar>
              <w:top w:w="80" w:type="dxa"/>
              <w:bottom w:w="80" w:type="dxa"/>
              <w:left w:w="140" w:type="dxa"/>
              <w:right w:w="140" w:type="dxa"/>
            </w:tcMar>
          </w:tcPr>
          <w:p>
            <w:r>
              <w:rPr>
                <w:rFonts w:ascii="Calibri" w:hAnsi="Calibri"/>
                <w:color w:val="2D3748"/>
                <w:sz w:val="18"/>
              </w:rPr>
              <w:t>0.9665</w:t>
            </w:r>
          </w:p>
        </w:tc>
        <w:tc>
          <w:tcPr>
            <w:tcW w:type="dxa" w:w="720"/>
            <w:shd w:fill="FFFFFF"/>
            <w:tcMar>
              <w:top w:w="80" w:type="dxa"/>
              <w:bottom w:w="80" w:type="dxa"/>
              <w:left w:w="140" w:type="dxa"/>
              <w:right w:w="140" w:type="dxa"/>
            </w:tcMar>
          </w:tcPr>
          <w:p>
            <w:r>
              <w:rPr>
                <w:rFonts w:ascii="Calibri" w:hAnsi="Calibri"/>
                <w:color w:val="2D3748"/>
                <w:sz w:val="18"/>
              </w:rPr>
              <w:t>2</w:t>
            </w:r>
          </w:p>
        </w:tc>
        <w:tc>
          <w:tcPr>
            <w:tcW w:type="dxa" w:w="720"/>
            <w:shd w:fill="FFFFFF"/>
            <w:tcMar>
              <w:top w:w="80" w:type="dxa"/>
              <w:bottom w:w="80" w:type="dxa"/>
              <w:left w:w="140" w:type="dxa"/>
              <w:right w:w="140" w:type="dxa"/>
            </w:tcMar>
          </w:tcPr>
          <w:p>
            <w:r>
              <w:rPr>
                <w:rFonts w:ascii="Calibri" w:hAnsi="Calibri"/>
                <w:color w:val="2D3748"/>
                <w:sz w:val="18"/>
              </w:rPr>
              <w:t>5</w:t>
            </w:r>
          </w:p>
        </w:tc>
      </w:tr>
      <w:tr>
        <w:tc>
          <w:tcPr>
            <w:tcW w:type="dxa" w:w="2016"/>
            <w:shd w:fill="EDF2F7"/>
            <w:tcMar>
              <w:top w:w="80" w:type="dxa"/>
              <w:bottom w:w="80" w:type="dxa"/>
              <w:left w:w="140" w:type="dxa"/>
              <w:right w:w="140" w:type="dxa"/>
            </w:tcMar>
          </w:tcPr>
          <w:p>
            <w:r>
              <w:rPr>
                <w:rFonts w:ascii="Calibri" w:hAnsi="Calibri"/>
                <w:color w:val="2D3748"/>
                <w:sz w:val="18"/>
              </w:rPr>
              <w:t>Random Forest (Champion)</w:t>
            </w:r>
          </w:p>
        </w:tc>
        <w:tc>
          <w:tcPr>
            <w:tcW w:type="dxa" w:w="1584"/>
            <w:shd w:fill="EDF2F7"/>
            <w:tcMar>
              <w:top w:w="80" w:type="dxa"/>
              <w:bottom w:w="80" w:type="dxa"/>
              <w:left w:w="140" w:type="dxa"/>
              <w:right w:w="140" w:type="dxa"/>
            </w:tcMar>
          </w:tcPr>
          <w:p>
            <w:r>
              <w:rPr>
                <w:rFonts w:ascii="Calibri" w:hAnsi="Calibri"/>
                <w:color w:val="2D3748"/>
                <w:sz w:val="18"/>
              </w:rPr>
              <w:t>0.9038 ± 0.0238</w:t>
            </w:r>
          </w:p>
        </w:tc>
        <w:tc>
          <w:tcPr>
            <w:tcW w:type="dxa" w:w="1008"/>
            <w:shd w:fill="EDF2F7"/>
            <w:tcMar>
              <w:top w:w="80" w:type="dxa"/>
              <w:bottom w:w="80" w:type="dxa"/>
              <w:left w:w="140" w:type="dxa"/>
              <w:right w:w="140" w:type="dxa"/>
            </w:tcMar>
          </w:tcPr>
          <w:p>
            <w:r>
              <w:rPr>
                <w:rFonts w:ascii="Calibri" w:hAnsi="Calibri"/>
                <w:color w:val="2D3748"/>
                <w:sz w:val="18"/>
              </w:rPr>
              <w:t>88.52%</w:t>
            </w:r>
          </w:p>
        </w:tc>
        <w:tc>
          <w:tcPr>
            <w:tcW w:type="dxa" w:w="1152"/>
            <w:shd w:fill="EDF2F7"/>
            <w:tcMar>
              <w:top w:w="80" w:type="dxa"/>
              <w:bottom w:w="80" w:type="dxa"/>
              <w:left w:w="140" w:type="dxa"/>
              <w:right w:w="140" w:type="dxa"/>
            </w:tcMar>
          </w:tcPr>
          <w:p>
            <w:r>
              <w:rPr>
                <w:rFonts w:ascii="Calibri" w:hAnsi="Calibri"/>
                <w:color w:val="2D3748"/>
                <w:sz w:val="18"/>
              </w:rPr>
              <w:t>92.86%</w:t>
            </w:r>
          </w:p>
        </w:tc>
        <w:tc>
          <w:tcPr>
            <w:tcW w:type="dxa" w:w="1008"/>
            <w:shd w:fill="EDF2F7"/>
            <w:tcMar>
              <w:top w:w="80" w:type="dxa"/>
              <w:bottom w:w="80" w:type="dxa"/>
              <w:left w:w="140" w:type="dxa"/>
              <w:right w:w="140" w:type="dxa"/>
            </w:tcMar>
          </w:tcPr>
          <w:p>
            <w:r>
              <w:rPr>
                <w:rFonts w:ascii="Calibri" w:hAnsi="Calibri"/>
                <w:color w:val="2D3748"/>
                <w:sz w:val="18"/>
              </w:rPr>
              <w:t>83.87%</w:t>
            </w:r>
          </w:p>
        </w:tc>
        <w:tc>
          <w:tcPr>
            <w:tcW w:type="dxa" w:w="864"/>
            <w:shd w:fill="EDF2F7"/>
            <w:tcMar>
              <w:top w:w="80" w:type="dxa"/>
              <w:bottom w:w="80" w:type="dxa"/>
              <w:left w:w="140" w:type="dxa"/>
              <w:right w:w="140" w:type="dxa"/>
            </w:tcMar>
          </w:tcPr>
          <w:p>
            <w:r>
              <w:rPr>
                <w:rFonts w:ascii="Calibri" w:hAnsi="Calibri"/>
                <w:color w:val="2D3748"/>
                <w:sz w:val="18"/>
              </w:rPr>
              <w:t>0.8814</w:t>
            </w:r>
          </w:p>
        </w:tc>
        <w:tc>
          <w:tcPr>
            <w:tcW w:type="dxa" w:w="1008"/>
            <w:shd w:fill="EDF2F7"/>
            <w:tcMar>
              <w:top w:w="80" w:type="dxa"/>
              <w:bottom w:w="80" w:type="dxa"/>
              <w:left w:w="140" w:type="dxa"/>
              <w:right w:w="140" w:type="dxa"/>
            </w:tcMar>
          </w:tcPr>
          <w:p>
            <w:r>
              <w:rPr>
                <w:rFonts w:ascii="Calibri" w:hAnsi="Calibri"/>
                <w:color w:val="2D3748"/>
                <w:sz w:val="18"/>
              </w:rPr>
              <w:t>0.9502</w:t>
            </w:r>
          </w:p>
        </w:tc>
        <w:tc>
          <w:tcPr>
            <w:tcW w:type="dxa" w:w="720"/>
            <w:shd w:fill="EDF2F7"/>
            <w:tcMar>
              <w:top w:w="80" w:type="dxa"/>
              <w:bottom w:w="80" w:type="dxa"/>
              <w:left w:w="140" w:type="dxa"/>
              <w:right w:w="140" w:type="dxa"/>
            </w:tcMar>
          </w:tcPr>
          <w:p>
            <w:r>
              <w:rPr>
                <w:rFonts w:ascii="Calibri" w:hAnsi="Calibri"/>
                <w:color w:val="2D3748"/>
                <w:sz w:val="18"/>
              </w:rPr>
              <w:t>2</w:t>
            </w:r>
          </w:p>
        </w:tc>
        <w:tc>
          <w:tcPr>
            <w:tcW w:type="dxa" w:w="720"/>
            <w:shd w:fill="EDF2F7"/>
            <w:tcMar>
              <w:top w:w="80" w:type="dxa"/>
              <w:bottom w:w="80" w:type="dxa"/>
              <w:left w:w="140" w:type="dxa"/>
              <w:right w:w="140" w:type="dxa"/>
            </w:tcMar>
          </w:tcPr>
          <w:p>
            <w:r>
              <w:rPr>
                <w:rFonts w:ascii="Calibri" w:hAnsi="Calibri"/>
                <w:color w:val="2D3748"/>
                <w:sz w:val="18"/>
              </w:rPr>
              <w:t>5</w:t>
            </w:r>
          </w:p>
        </w:tc>
      </w:tr>
      <w:tr>
        <w:tc>
          <w:tcPr>
            <w:tcW w:type="dxa" w:w="2016"/>
            <w:shd w:fill="FFFFFF"/>
            <w:tcMar>
              <w:top w:w="80" w:type="dxa"/>
              <w:bottom w:w="80" w:type="dxa"/>
              <w:left w:w="140" w:type="dxa"/>
              <w:right w:w="140" w:type="dxa"/>
            </w:tcMar>
          </w:tcPr>
          <w:p>
            <w:r>
              <w:rPr>
                <w:rFonts w:ascii="Calibri" w:hAnsi="Calibri"/>
                <w:color w:val="2D3748"/>
                <w:sz w:val="18"/>
              </w:rPr>
              <w:t>XGBoost</w:t>
            </w:r>
          </w:p>
        </w:tc>
        <w:tc>
          <w:tcPr>
            <w:tcW w:type="dxa" w:w="1584"/>
            <w:shd w:fill="FFFFFF"/>
            <w:tcMar>
              <w:top w:w="80" w:type="dxa"/>
              <w:bottom w:w="80" w:type="dxa"/>
              <w:left w:w="140" w:type="dxa"/>
              <w:right w:w="140" w:type="dxa"/>
            </w:tcMar>
          </w:tcPr>
          <w:p>
            <w:r>
              <w:rPr>
                <w:rFonts w:ascii="Calibri" w:hAnsi="Calibri"/>
                <w:color w:val="2D3748"/>
                <w:sz w:val="18"/>
              </w:rPr>
              <w:t>0.8901 ± 0.0221</w:t>
            </w:r>
          </w:p>
        </w:tc>
        <w:tc>
          <w:tcPr>
            <w:tcW w:type="dxa" w:w="1008"/>
            <w:shd w:fill="FFFFFF"/>
            <w:tcMar>
              <w:top w:w="80" w:type="dxa"/>
              <w:bottom w:w="80" w:type="dxa"/>
              <w:left w:w="140" w:type="dxa"/>
              <w:right w:w="140" w:type="dxa"/>
            </w:tcMar>
          </w:tcPr>
          <w:p>
            <w:r>
              <w:rPr>
                <w:rFonts w:ascii="Calibri" w:hAnsi="Calibri"/>
                <w:color w:val="2D3748"/>
                <w:sz w:val="18"/>
              </w:rPr>
              <w:t>90.16%</w:t>
            </w:r>
          </w:p>
        </w:tc>
        <w:tc>
          <w:tcPr>
            <w:tcW w:type="dxa" w:w="1152"/>
            <w:shd w:fill="FFFFFF"/>
            <w:tcMar>
              <w:top w:w="80" w:type="dxa"/>
              <w:bottom w:w="80" w:type="dxa"/>
              <w:left w:w="140" w:type="dxa"/>
              <w:right w:w="140" w:type="dxa"/>
            </w:tcMar>
          </w:tcPr>
          <w:p>
            <w:r>
              <w:rPr>
                <w:rFonts w:ascii="Calibri" w:hAnsi="Calibri"/>
                <w:color w:val="2D3748"/>
                <w:sz w:val="18"/>
              </w:rPr>
              <w:t>92.86%</w:t>
            </w:r>
          </w:p>
        </w:tc>
        <w:tc>
          <w:tcPr>
            <w:tcW w:type="dxa" w:w="1008"/>
            <w:shd w:fill="FFFFFF"/>
            <w:tcMar>
              <w:top w:w="80" w:type="dxa"/>
              <w:bottom w:w="80" w:type="dxa"/>
              <w:left w:w="140" w:type="dxa"/>
              <w:right w:w="140" w:type="dxa"/>
            </w:tcMar>
          </w:tcPr>
          <w:p>
            <w:r>
              <w:rPr>
                <w:rFonts w:ascii="Calibri" w:hAnsi="Calibri"/>
                <w:color w:val="2D3748"/>
                <w:sz w:val="18"/>
              </w:rPr>
              <w:t>86.67%</w:t>
            </w:r>
          </w:p>
        </w:tc>
        <w:tc>
          <w:tcPr>
            <w:tcW w:type="dxa" w:w="864"/>
            <w:shd w:fill="FFFFFF"/>
            <w:tcMar>
              <w:top w:w="80" w:type="dxa"/>
              <w:bottom w:w="80" w:type="dxa"/>
              <w:left w:w="140" w:type="dxa"/>
              <w:right w:w="140" w:type="dxa"/>
            </w:tcMar>
          </w:tcPr>
          <w:p>
            <w:r>
              <w:rPr>
                <w:rFonts w:ascii="Calibri" w:hAnsi="Calibri"/>
                <w:color w:val="2D3748"/>
                <w:sz w:val="18"/>
              </w:rPr>
              <w:t>0.8966</w:t>
            </w:r>
          </w:p>
        </w:tc>
        <w:tc>
          <w:tcPr>
            <w:tcW w:type="dxa" w:w="1008"/>
            <w:shd w:fill="FFFFFF"/>
            <w:tcMar>
              <w:top w:w="80" w:type="dxa"/>
              <w:bottom w:w="80" w:type="dxa"/>
              <w:left w:w="140" w:type="dxa"/>
              <w:right w:w="140" w:type="dxa"/>
            </w:tcMar>
          </w:tcPr>
          <w:p>
            <w:r>
              <w:rPr>
                <w:rFonts w:ascii="Calibri" w:hAnsi="Calibri"/>
                <w:color w:val="2D3748"/>
                <w:sz w:val="18"/>
              </w:rPr>
              <w:t>0.9481</w:t>
            </w:r>
          </w:p>
        </w:tc>
        <w:tc>
          <w:tcPr>
            <w:tcW w:type="dxa" w:w="720"/>
            <w:shd w:fill="FFFFFF"/>
            <w:tcMar>
              <w:top w:w="80" w:type="dxa"/>
              <w:bottom w:w="80" w:type="dxa"/>
              <w:left w:w="140" w:type="dxa"/>
              <w:right w:w="140" w:type="dxa"/>
            </w:tcMar>
          </w:tcPr>
          <w:p>
            <w:r>
              <w:rPr>
                <w:rFonts w:ascii="Calibri" w:hAnsi="Calibri"/>
                <w:color w:val="2D3748"/>
                <w:sz w:val="18"/>
              </w:rPr>
              <w:t>2</w:t>
            </w:r>
          </w:p>
        </w:tc>
        <w:tc>
          <w:tcPr>
            <w:tcW w:type="dxa" w:w="720"/>
            <w:shd w:fill="FFFFFF"/>
            <w:tcMar>
              <w:top w:w="80" w:type="dxa"/>
              <w:bottom w:w="80" w:type="dxa"/>
              <w:left w:w="140" w:type="dxa"/>
              <w:right w:w="140" w:type="dxa"/>
            </w:tcMar>
          </w:tcPr>
          <w:p>
            <w:r>
              <w:rPr>
                <w:rFonts w:ascii="Calibri" w:hAnsi="Calibri"/>
                <w:color w:val="2D3748"/>
                <w:sz w:val="18"/>
              </w:rPr>
              <w:t>4</w:t>
            </w:r>
          </w:p>
        </w:tc>
      </w:tr>
    </w:tbl>
    <w:p>
      <w:pPr>
        <w:spacing w:after="80"/>
      </w:pPr>
    </w:p>
    <w:p>
      <w:pPr>
        <w:keepNext/>
        <w:spacing w:before="160" w:after="60"/>
        <w:jc w:val="center"/>
      </w:pPr>
      <w:r>
        <w:drawing>
          <wp:inline xmlns:a="http://schemas.openxmlformats.org/drawingml/2006/main" xmlns:pic="http://schemas.openxmlformats.org/drawingml/2006/picture">
            <wp:extent cx="5303520" cy="1512981"/>
            <wp:docPr id="7" name="Picture 7"/>
            <wp:cNvGraphicFramePr>
              <a:graphicFrameLocks noChangeAspect="1"/>
            </wp:cNvGraphicFramePr>
            <a:graphic>
              <a:graphicData uri="http://schemas.openxmlformats.org/drawingml/2006/picture">
                <pic:pic>
                  <pic:nvPicPr>
                    <pic:cNvPr id="0" name="confusion_matrices_comparison.png"/>
                    <pic:cNvPicPr/>
                  </pic:nvPicPr>
                  <pic:blipFill>
                    <a:blip r:embed="rId17"/>
                    <a:stretch>
                      <a:fillRect/>
                    </a:stretch>
                  </pic:blipFill>
                  <pic:spPr>
                    <a:xfrm>
                      <a:off x="0" y="0"/>
                      <a:ext cx="5303520" cy="1512981"/>
                    </a:xfrm>
                    <a:prstGeom prst="rect"/>
                  </pic:spPr>
                </pic:pic>
              </a:graphicData>
            </a:graphic>
          </wp:inline>
        </w:drawing>
      </w:r>
    </w:p>
    <w:p>
      <w:pPr>
        <w:spacing w:before="0" w:after="160"/>
        <w:jc w:val="center"/>
      </w:pPr>
      <w:r>
        <w:rPr>
          <w:rFonts w:ascii="Calibri" w:hAnsi="Calibri"/>
          <w:i/>
          <w:color w:val="718096"/>
          <w:sz w:val="18"/>
        </w:rPr>
        <w:t>Figure: Confusion Matrix Comparison across Architectures on Indian Cohort (XGBoost achieves 0 FN)</w:t>
      </w:r>
    </w:p>
    <w:p>
      <w:pPr>
        <w:keepNext/>
        <w:spacing w:before="160" w:after="60"/>
        <w:jc w:val="center"/>
      </w:pPr>
      <w:r>
        <w:drawing>
          <wp:inline xmlns:a="http://schemas.openxmlformats.org/drawingml/2006/main" xmlns:pic="http://schemas.openxmlformats.org/drawingml/2006/picture">
            <wp:extent cx="5303520" cy="4545874"/>
            <wp:docPr id="8" name="Picture 8"/>
            <wp:cNvGraphicFramePr>
              <a:graphicFrameLocks noChangeAspect="1"/>
            </wp:cNvGraphicFramePr>
            <a:graphic>
              <a:graphicData uri="http://schemas.openxmlformats.org/drawingml/2006/picture">
                <pic:pic>
                  <pic:nvPicPr>
                    <pic:cNvPr id="0" name="roc_curves_comparison.png"/>
                    <pic:cNvPicPr/>
                  </pic:nvPicPr>
                  <pic:blipFill>
                    <a:blip r:embed="rId18"/>
                    <a:stretch>
                      <a:fillRect/>
                    </a:stretch>
                  </pic:blipFill>
                  <pic:spPr>
                    <a:xfrm>
                      <a:off x="0" y="0"/>
                      <a:ext cx="5303520" cy="4545874"/>
                    </a:xfrm>
                    <a:prstGeom prst="rect"/>
                  </pic:spPr>
                </pic:pic>
              </a:graphicData>
            </a:graphic>
          </wp:inline>
        </w:drawing>
      </w:r>
    </w:p>
    <w:p>
      <w:pPr>
        <w:spacing w:before="0" w:after="160"/>
        <w:jc w:val="center"/>
      </w:pPr>
      <w:r>
        <w:rPr>
          <w:rFonts w:ascii="Calibri" w:hAnsi="Calibri"/>
          <w:i/>
          <w:color w:val="718096"/>
          <w:sz w:val="18"/>
        </w:rPr>
        <w:t>Figure: Receiver Operating Characteristic (ROC) Curves for Indian Cohort</w:t>
      </w:r>
    </w:p>
    <w:p>
      <w:pPr>
        <w:keepNext/>
        <w:spacing w:before="160" w:after="60"/>
        <w:jc w:val="center"/>
      </w:pPr>
      <w:r>
        <w:drawing>
          <wp:inline xmlns:a="http://schemas.openxmlformats.org/drawingml/2006/main" xmlns:pic="http://schemas.openxmlformats.org/drawingml/2006/picture">
            <wp:extent cx="5303520" cy="4545874"/>
            <wp:docPr id="9" name="Picture 9"/>
            <wp:cNvGraphicFramePr>
              <a:graphicFrameLocks noChangeAspect="1"/>
            </wp:cNvGraphicFramePr>
            <a:graphic>
              <a:graphicData uri="http://schemas.openxmlformats.org/drawingml/2006/picture">
                <pic:pic>
                  <pic:nvPicPr>
                    <pic:cNvPr id="0" name="precision_recall_curves_comparison.png"/>
                    <pic:cNvPicPr/>
                  </pic:nvPicPr>
                  <pic:blipFill>
                    <a:blip r:embed="rId19"/>
                    <a:stretch>
                      <a:fillRect/>
                    </a:stretch>
                  </pic:blipFill>
                  <pic:spPr>
                    <a:xfrm>
                      <a:off x="0" y="0"/>
                      <a:ext cx="5303520" cy="4545874"/>
                    </a:xfrm>
                    <a:prstGeom prst="rect"/>
                  </pic:spPr>
                </pic:pic>
              </a:graphicData>
            </a:graphic>
          </wp:inline>
        </w:drawing>
      </w:r>
    </w:p>
    <w:p>
      <w:pPr>
        <w:spacing w:before="0" w:after="160"/>
        <w:jc w:val="center"/>
      </w:pPr>
      <w:r>
        <w:rPr>
          <w:rFonts w:ascii="Calibri" w:hAnsi="Calibri"/>
          <w:i/>
          <w:color w:val="718096"/>
          <w:sz w:val="18"/>
        </w:rPr>
        <w:t>Figure: Precision-Recall Curves Demonstrating High AUPRC</w:t>
      </w:r>
    </w:p>
    <w:p>
      <w:pPr>
        <w:keepNext/>
        <w:spacing w:before="160" w:after="60"/>
        <w:jc w:val="center"/>
      </w:pPr>
      <w:r>
        <w:drawing>
          <wp:inline xmlns:a="http://schemas.openxmlformats.org/drawingml/2006/main" xmlns:pic="http://schemas.openxmlformats.org/drawingml/2006/picture">
            <wp:extent cx="5303520" cy="2916936"/>
            <wp:docPr id="10" name="Picture 10"/>
            <wp:cNvGraphicFramePr>
              <a:graphicFrameLocks noChangeAspect="1"/>
            </wp:cNvGraphicFramePr>
            <a:graphic>
              <a:graphicData uri="http://schemas.openxmlformats.org/drawingml/2006/picture">
                <pic:pic>
                  <pic:nvPicPr>
                    <pic:cNvPr id="0" name="models_metrics_comparison.png"/>
                    <pic:cNvPicPr/>
                  </pic:nvPicPr>
                  <pic:blipFill>
                    <a:blip r:embed="rId20"/>
                    <a:stretch>
                      <a:fillRect/>
                    </a:stretch>
                  </pic:blipFill>
                  <pic:spPr>
                    <a:xfrm>
                      <a:off x="0" y="0"/>
                      <a:ext cx="5303520" cy="2916936"/>
                    </a:xfrm>
                    <a:prstGeom prst="rect"/>
                  </pic:spPr>
                </pic:pic>
              </a:graphicData>
            </a:graphic>
          </wp:inline>
        </w:drawing>
      </w:r>
    </w:p>
    <w:p>
      <w:pPr>
        <w:spacing w:before="0" w:after="160"/>
        <w:jc w:val="center"/>
      </w:pPr>
      <w:r>
        <w:rPr>
          <w:rFonts w:ascii="Calibri" w:hAnsi="Calibri"/>
          <w:i/>
          <w:color w:val="718096"/>
          <w:sz w:val="18"/>
        </w:rPr>
        <w:t>Figure: Multi-Metric Bar Chart Comparison across Algorithms</w:t>
      </w:r>
    </w:p>
    <w:p>
      <w:pPr>
        <w:pStyle w:val="Heading1"/>
        <w:keepNext/>
        <w:spacing w:before="280" w:after="80"/>
      </w:pPr>
      <w:r>
        <w:rPr>
          <w:b/>
          <w:color w:val="1A365D"/>
          <w:sz w:val="34"/>
        </w:rPr>
        <w:t>7. Game-Theoretic SHAP Feature Attribution Analysis</w:t>
      </w:r>
    </w:p>
    <w:p>
      <w:pPr>
        <w:spacing w:after="100" w:line="276" w:lineRule="auto"/>
      </w:pPr>
      <w:r>
        <w:rPr>
          <w:rFonts w:ascii="Calibri" w:hAnsi="Calibri"/>
          <w:i w:val="0"/>
          <w:color w:val="2D3748"/>
          <w:sz w:val="21"/>
        </w:rPr>
        <w:t>CardioSense incorporates Shapley Additive exPlanations (SHAP) grounded in cooperative game theory. Unlike heuristic tree feature importance (Gini impurity decrease), which is biased toward high-cardinality features, Shapley values satisfy efficiency, symmetry, dummy player, and additivity axioms.</w:t>
      </w:r>
    </w:p>
    <w:tbl>
      <w:tblPr>
        <w:tblW w:type="auto" w:w="0"/>
        <w:jc w:val="center"/>
        <w:tblLayout w:type="fixed"/>
        <w:tblLook w:firstColumn="1" w:firstRow="1" w:lastColumn="0" w:lastRow="0" w:noHBand="0" w:noVBand="1" w:val="04A0"/>
        <w:tblBorders>
          <w:top w:val="single" w:sz="8" w:space="0" w:color="2B6CB0"/>
          <w:bottom w:val="single" w:sz="8" w:space="0" w:color="2B6CB0"/>
          <w:left w:val="none"/>
          <w:right w:val="none"/>
          <w:insideH w:val="single" w:sz="8" w:space="0" w:color="2B6CB0"/>
          <w:insideV w:val="none"/>
        </w:tblBorders>
      </w:tblPr>
      <w:tblGrid>
        <w:gridCol w:w="9360"/>
      </w:tblGrid>
      <w:tr>
        <w:tc>
          <w:tcPr>
            <w:tcW w:type="dxa" w:w="9360"/>
            <w:shd w:fill="F0F4F8"/>
            <w:tcMar>
              <w:top w:w="140" w:type="dxa"/>
              <w:bottom w:w="140" w:type="dxa"/>
              <w:left w:w="200" w:type="dxa"/>
              <w:right w:w="200" w:type="dxa"/>
            </w:tcMar>
          </w:tcPr>
          <w:p>
            <w:pPr>
              <w:spacing w:after="40"/>
            </w:pPr>
            <w:r>
              <w:rPr>
                <w:rFonts w:ascii="Calibri" w:hAnsi="Calibri"/>
                <w:b/>
                <w:color w:val="2B6CB0"/>
                <w:sz w:val="20"/>
              </w:rPr>
              <w:t>Mathematical Formulation: Shapley Value Formulation</w:t>
              <w:br/>
            </w:r>
          </w:p>
          <w:p>
            <w:pPr>
              <w:spacing w:before="80" w:after="80"/>
              <w:jc w:val="center"/>
            </w:pPr>
            <w:r>
              <w:rPr>
                <w:rFonts w:ascii="Consolas" w:hAnsi="Consolas"/>
                <w:b/>
                <w:color w:val="1A365D"/>
                <w:sz w:val="20"/>
              </w:rPr>
              <w:t>ϕ_i(v) = ∑_(S ⊆ N \ {i}) [ |S|! (|N| - |S| - 1)! / |N|! ] * [ v(S ∪ {i}) - v(S) ]</w:t>
            </w:r>
          </w:p>
          <w:p>
            <w:pPr>
              <w:spacing w:before="40" w:after="40"/>
            </w:pPr>
            <w:r>
              <w:rPr>
                <w:rFonts w:ascii="Calibri" w:hAnsi="Calibri"/>
                <w:i/>
                <w:color w:val="2D3748"/>
                <w:sz w:val="19"/>
              </w:rPr>
              <w:t>Computing the marginal contribution of clinical feature i averaged over all possible feature coalitions S.</w:t>
            </w:r>
          </w:p>
        </w:tc>
      </w:tr>
    </w:tbl>
    <w:p>
      <w:pPr>
        <w:spacing w:after="80"/>
      </w:pPr>
    </w:p>
    <w:p>
      <w:pPr>
        <w:keepNext/>
        <w:spacing w:before="160" w:after="60"/>
        <w:jc w:val="center"/>
      </w:pPr>
      <w:r>
        <w:drawing>
          <wp:inline xmlns:a="http://schemas.openxmlformats.org/drawingml/2006/main" xmlns:pic="http://schemas.openxmlformats.org/drawingml/2006/picture">
            <wp:extent cx="5303520" cy="4262085"/>
            <wp:docPr id="11" name="Picture 11"/>
            <wp:cNvGraphicFramePr>
              <a:graphicFrameLocks noChangeAspect="1"/>
            </wp:cNvGraphicFramePr>
            <a:graphic>
              <a:graphicData uri="http://schemas.openxmlformats.org/drawingml/2006/picture">
                <pic:pic>
                  <pic:nvPicPr>
                    <pic:cNvPr id="0" name="shap_summary_plot.png"/>
                    <pic:cNvPicPr/>
                  </pic:nvPicPr>
                  <pic:blipFill>
                    <a:blip r:embed="rId21"/>
                    <a:stretch>
                      <a:fillRect/>
                    </a:stretch>
                  </pic:blipFill>
                  <pic:spPr>
                    <a:xfrm>
                      <a:off x="0" y="0"/>
                      <a:ext cx="5303520" cy="4262085"/>
                    </a:xfrm>
                    <a:prstGeom prst="rect"/>
                  </pic:spPr>
                </pic:pic>
              </a:graphicData>
            </a:graphic>
          </wp:inline>
        </w:drawing>
      </w:r>
    </w:p>
    <w:p>
      <w:pPr>
        <w:spacing w:before="0" w:after="160"/>
        <w:jc w:val="center"/>
      </w:pPr>
      <w:r>
        <w:rPr>
          <w:rFonts w:ascii="Calibri" w:hAnsi="Calibri"/>
          <w:i/>
          <w:color w:val="718096"/>
          <w:sz w:val="18"/>
        </w:rPr>
        <w:t>Figure: SHAP Beeswarm Summary Plot: Feature Distributions and Directional Impact on Disease Risk</w:t>
      </w:r>
    </w:p>
    <w:p>
      <w:pPr>
        <w:keepNext/>
        <w:spacing w:before="160" w:after="60"/>
        <w:jc w:val="center"/>
      </w:pPr>
      <w:r>
        <w:drawing>
          <wp:inline xmlns:a="http://schemas.openxmlformats.org/drawingml/2006/main" xmlns:pic="http://schemas.openxmlformats.org/drawingml/2006/picture">
            <wp:extent cx="5303520" cy="3637599"/>
            <wp:docPr id="12" name="Picture 12"/>
            <wp:cNvGraphicFramePr>
              <a:graphicFrameLocks noChangeAspect="1"/>
            </wp:cNvGraphicFramePr>
            <a:graphic>
              <a:graphicData uri="http://schemas.openxmlformats.org/drawingml/2006/picture">
                <pic:pic>
                  <pic:nvPicPr>
                    <pic:cNvPr id="0" name="shap_feature_importance_bar.png"/>
                    <pic:cNvPicPr/>
                  </pic:nvPicPr>
                  <pic:blipFill>
                    <a:blip r:embed="rId22"/>
                    <a:stretch>
                      <a:fillRect/>
                    </a:stretch>
                  </pic:blipFill>
                  <pic:spPr>
                    <a:xfrm>
                      <a:off x="0" y="0"/>
                      <a:ext cx="5303520" cy="3637599"/>
                    </a:xfrm>
                    <a:prstGeom prst="rect"/>
                  </pic:spPr>
                </pic:pic>
              </a:graphicData>
            </a:graphic>
          </wp:inline>
        </w:drawing>
      </w:r>
    </w:p>
    <w:p>
      <w:pPr>
        <w:spacing w:before="0" w:after="160"/>
        <w:jc w:val="center"/>
      </w:pPr>
      <w:r>
        <w:rPr>
          <w:rFonts w:ascii="Calibri" w:hAnsi="Calibri"/>
          <w:i/>
          <w:color w:val="718096"/>
          <w:sz w:val="18"/>
        </w:rPr>
        <w:t>Figure: Mean Absolute SHAP Feature Importance Ranking for Indian Hospital Cohort</w:t>
      </w:r>
    </w:p>
    <w:p>
      <w:pPr>
        <w:keepNext/>
        <w:spacing w:before="160" w:after="60"/>
        <w:jc w:val="center"/>
      </w:pPr>
      <w:r>
        <w:drawing>
          <wp:inline xmlns:a="http://schemas.openxmlformats.org/drawingml/2006/main" xmlns:pic="http://schemas.openxmlformats.org/drawingml/2006/picture">
            <wp:extent cx="5303520" cy="3585915"/>
            <wp:docPr id="13" name="Picture 13"/>
            <wp:cNvGraphicFramePr>
              <a:graphicFrameLocks noChangeAspect="1"/>
            </wp:cNvGraphicFramePr>
            <a:graphic>
              <a:graphicData uri="http://schemas.openxmlformats.org/drawingml/2006/picture">
                <pic:pic>
                  <pic:nvPicPr>
                    <pic:cNvPr id="0" name="shap_local_correct.png"/>
                    <pic:cNvPicPr/>
                  </pic:nvPicPr>
                  <pic:blipFill>
                    <a:blip r:embed="rId23"/>
                    <a:stretch>
                      <a:fillRect/>
                    </a:stretch>
                  </pic:blipFill>
                  <pic:spPr>
                    <a:xfrm>
                      <a:off x="0" y="0"/>
                      <a:ext cx="5303520" cy="3585915"/>
                    </a:xfrm>
                    <a:prstGeom prst="rect"/>
                  </pic:spPr>
                </pic:pic>
              </a:graphicData>
            </a:graphic>
          </wp:inline>
        </w:drawing>
      </w:r>
    </w:p>
    <w:p>
      <w:pPr>
        <w:spacing w:before="0" w:after="160"/>
        <w:jc w:val="center"/>
      </w:pPr>
      <w:r>
        <w:rPr>
          <w:rFonts w:ascii="Calibri" w:hAnsi="Calibri"/>
          <w:i/>
          <w:color w:val="718096"/>
          <w:sz w:val="18"/>
        </w:rPr>
        <w:t>Figure: Local Patient Waterfall Explanation: Correctly Classified High-Risk Cardiac Patient</w:t>
      </w:r>
    </w:p>
    <w:p>
      <w:pPr>
        <w:pStyle w:val="Heading2"/>
        <w:keepNext/>
        <w:spacing w:before="200" w:after="80"/>
      </w:pPr>
      <w:r>
        <w:rPr>
          <w:b/>
          <w:color w:val="2B6CB0"/>
          <w:sz w:val="27"/>
        </w:rPr>
        <w:t>7.1 Top Clinical Attribution Rankings (Indian Cohort)</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c>
          <w:tcPr>
            <w:tcW w:type="dxa" w:w="864"/>
            <w:shd w:fill="1A365D"/>
            <w:tcMar>
              <w:top w:w="120" w:type="dxa"/>
              <w:bottom w:w="120" w:type="dxa"/>
              <w:left w:w="140" w:type="dxa"/>
              <w:right w:w="140" w:type="dxa"/>
            </w:tcMar>
          </w:tcPr>
          <w:p>
            <w:pPr>
              <w:jc w:val="left"/>
            </w:pPr>
            <w:r>
              <w:rPr>
                <w:rFonts w:ascii="Calibri" w:hAnsi="Calibri"/>
                <w:b/>
                <w:color w:val="FFFFFF"/>
                <w:sz w:val="19"/>
              </w:rPr>
              <w:t>Rank</w:t>
            </w:r>
          </w:p>
        </w:tc>
        <w:tc>
          <w:tcPr>
            <w:tcW w:type="dxa" w:w="2592"/>
            <w:shd w:fill="1A365D"/>
            <w:tcMar>
              <w:top w:w="120" w:type="dxa"/>
              <w:bottom w:w="120" w:type="dxa"/>
              <w:left w:w="140" w:type="dxa"/>
              <w:right w:w="140" w:type="dxa"/>
            </w:tcMar>
          </w:tcPr>
          <w:p>
            <w:pPr>
              <w:jc w:val="left"/>
            </w:pPr>
            <w:r>
              <w:rPr>
                <w:rFonts w:ascii="Calibri" w:hAnsi="Calibri"/>
                <w:b/>
                <w:color w:val="FFFFFF"/>
                <w:sz w:val="19"/>
              </w:rPr>
              <w:t>Predictor Feature</w:t>
            </w:r>
          </w:p>
        </w:tc>
        <w:tc>
          <w:tcPr>
            <w:tcW w:type="dxa" w:w="1584"/>
            <w:shd w:fill="1A365D"/>
            <w:tcMar>
              <w:top w:w="120" w:type="dxa"/>
              <w:bottom w:w="120" w:type="dxa"/>
              <w:left w:w="140" w:type="dxa"/>
              <w:right w:w="140" w:type="dxa"/>
            </w:tcMar>
          </w:tcPr>
          <w:p>
            <w:pPr>
              <w:jc w:val="left"/>
            </w:pPr>
            <w:r>
              <w:rPr>
                <w:rFonts w:ascii="Calibri" w:hAnsi="Calibri"/>
                <w:b/>
                <w:color w:val="FFFFFF"/>
                <w:sz w:val="19"/>
              </w:rPr>
              <w:t>Mean |SHAP Value|</w:t>
            </w:r>
          </w:p>
        </w:tc>
        <w:tc>
          <w:tcPr>
            <w:tcW w:type="dxa" w:w="4320"/>
            <w:shd w:fill="1A365D"/>
            <w:tcMar>
              <w:top w:w="120" w:type="dxa"/>
              <w:bottom w:w="120" w:type="dxa"/>
              <w:left w:w="140" w:type="dxa"/>
              <w:right w:w="140" w:type="dxa"/>
            </w:tcMar>
          </w:tcPr>
          <w:p>
            <w:pPr>
              <w:jc w:val="left"/>
            </w:pPr>
            <w:r>
              <w:rPr>
                <w:rFonts w:ascii="Calibri" w:hAnsi="Calibri"/>
                <w:b/>
                <w:color w:val="FFFFFF"/>
                <w:sz w:val="19"/>
              </w:rPr>
              <w:t>Clinical Interpretation &amp; Directional Effect</w:t>
            </w:r>
          </w:p>
        </w:tc>
      </w:tr>
      <w:tr>
        <w:tc>
          <w:tcPr>
            <w:tcW w:type="dxa" w:w="864"/>
            <w:shd w:fill="FFFFFF"/>
            <w:tcMar>
              <w:top w:w="80" w:type="dxa"/>
              <w:bottom w:w="80" w:type="dxa"/>
              <w:left w:w="140" w:type="dxa"/>
              <w:right w:w="140" w:type="dxa"/>
            </w:tcMar>
          </w:tcPr>
          <w:p>
            <w:r>
              <w:rPr>
                <w:rFonts w:ascii="Calibri" w:hAnsi="Calibri"/>
                <w:color w:val="2D3748"/>
                <w:sz w:val="18"/>
              </w:rPr>
              <w:t>1</w:t>
            </w:r>
          </w:p>
        </w:tc>
        <w:tc>
          <w:tcPr>
            <w:tcW w:type="dxa" w:w="2592"/>
            <w:shd w:fill="FFFFFF"/>
            <w:tcMar>
              <w:top w:w="80" w:type="dxa"/>
              <w:bottom w:w="80" w:type="dxa"/>
              <w:left w:w="140" w:type="dxa"/>
              <w:right w:w="140" w:type="dxa"/>
            </w:tcMar>
          </w:tcPr>
          <w:p>
            <w:r>
              <w:rPr>
                <w:rFonts w:ascii="Calibri" w:hAnsi="Calibri"/>
                <w:color w:val="2D3748"/>
                <w:sz w:val="18"/>
              </w:rPr>
              <w:t>chestpain (Chest Pain Type)</w:t>
            </w:r>
          </w:p>
        </w:tc>
        <w:tc>
          <w:tcPr>
            <w:tcW w:type="dxa" w:w="1584"/>
            <w:shd w:fill="FFFFFF"/>
            <w:tcMar>
              <w:top w:w="80" w:type="dxa"/>
              <w:bottom w:w="80" w:type="dxa"/>
              <w:left w:w="140" w:type="dxa"/>
              <w:right w:w="140" w:type="dxa"/>
            </w:tcMar>
          </w:tcPr>
          <w:p>
            <w:r>
              <w:rPr>
                <w:rFonts w:ascii="Calibri" w:hAnsi="Calibri"/>
                <w:color w:val="2D3748"/>
                <w:sz w:val="18"/>
              </w:rPr>
              <w:t>1.341</w:t>
            </w:r>
          </w:p>
        </w:tc>
        <w:tc>
          <w:tcPr>
            <w:tcW w:type="dxa" w:w="4320"/>
            <w:shd w:fill="FFFFFF"/>
            <w:tcMar>
              <w:top w:w="80" w:type="dxa"/>
              <w:bottom w:w="80" w:type="dxa"/>
              <w:left w:w="140" w:type="dxa"/>
              <w:right w:w="140" w:type="dxa"/>
            </w:tcMar>
          </w:tcPr>
          <w:p>
            <w:r>
              <w:rPr>
                <w:rFonts w:ascii="Calibri" w:hAnsi="Calibri"/>
                <w:color w:val="2D3748"/>
                <w:sz w:val="18"/>
              </w:rPr>
              <w:t>Highest predictive contribution; asymptomatic presentation or severe typical angina strongly shifts probability toward CAD presence.</w:t>
            </w:r>
          </w:p>
        </w:tc>
      </w:tr>
      <w:tr>
        <w:tc>
          <w:tcPr>
            <w:tcW w:type="dxa" w:w="864"/>
            <w:shd w:fill="EDF2F7"/>
            <w:tcMar>
              <w:top w:w="80" w:type="dxa"/>
              <w:bottom w:w="80" w:type="dxa"/>
              <w:left w:w="140" w:type="dxa"/>
              <w:right w:w="140" w:type="dxa"/>
            </w:tcMar>
          </w:tcPr>
          <w:p>
            <w:r>
              <w:rPr>
                <w:rFonts w:ascii="Calibri" w:hAnsi="Calibri"/>
                <w:color w:val="2D3748"/>
                <w:sz w:val="18"/>
              </w:rPr>
              <w:t>2</w:t>
            </w:r>
          </w:p>
        </w:tc>
        <w:tc>
          <w:tcPr>
            <w:tcW w:type="dxa" w:w="2592"/>
            <w:shd w:fill="EDF2F7"/>
            <w:tcMar>
              <w:top w:w="80" w:type="dxa"/>
              <w:bottom w:w="80" w:type="dxa"/>
              <w:left w:w="140" w:type="dxa"/>
              <w:right w:w="140" w:type="dxa"/>
            </w:tcMar>
          </w:tcPr>
          <w:p>
            <w:r>
              <w:rPr>
                <w:rFonts w:ascii="Calibri" w:hAnsi="Calibri"/>
                <w:color w:val="2D3748"/>
                <w:sz w:val="18"/>
              </w:rPr>
              <w:t>oldpeak (ST Depression)</w:t>
            </w:r>
          </w:p>
        </w:tc>
        <w:tc>
          <w:tcPr>
            <w:tcW w:type="dxa" w:w="1584"/>
            <w:shd w:fill="EDF2F7"/>
            <w:tcMar>
              <w:top w:w="80" w:type="dxa"/>
              <w:bottom w:w="80" w:type="dxa"/>
              <w:left w:w="140" w:type="dxa"/>
              <w:right w:w="140" w:type="dxa"/>
            </w:tcMar>
          </w:tcPr>
          <w:p>
            <w:r>
              <w:rPr>
                <w:rFonts w:ascii="Calibri" w:hAnsi="Calibri"/>
                <w:color w:val="2D3748"/>
                <w:sz w:val="18"/>
              </w:rPr>
              <w:t>0.985</w:t>
            </w:r>
          </w:p>
        </w:tc>
        <w:tc>
          <w:tcPr>
            <w:tcW w:type="dxa" w:w="4320"/>
            <w:shd w:fill="EDF2F7"/>
            <w:tcMar>
              <w:top w:w="80" w:type="dxa"/>
              <w:bottom w:w="80" w:type="dxa"/>
              <w:left w:w="140" w:type="dxa"/>
              <w:right w:w="140" w:type="dxa"/>
            </w:tcMar>
          </w:tcPr>
          <w:p>
            <w:r>
              <w:rPr>
                <w:rFonts w:ascii="Calibri" w:hAnsi="Calibri"/>
                <w:color w:val="2D3748"/>
                <w:sz w:val="18"/>
              </w:rPr>
              <w:t>Exercise-induced ST depression reflects severe subendocardial ischemia; higher oldpeak dramatically elevates risk.</w:t>
            </w:r>
          </w:p>
        </w:tc>
      </w:tr>
      <w:tr>
        <w:tc>
          <w:tcPr>
            <w:tcW w:type="dxa" w:w="864"/>
            <w:shd w:fill="FFFFFF"/>
            <w:tcMar>
              <w:top w:w="80" w:type="dxa"/>
              <w:bottom w:w="80" w:type="dxa"/>
              <w:left w:w="140" w:type="dxa"/>
              <w:right w:w="140" w:type="dxa"/>
            </w:tcMar>
          </w:tcPr>
          <w:p>
            <w:r>
              <w:rPr>
                <w:rFonts w:ascii="Calibri" w:hAnsi="Calibri"/>
                <w:color w:val="2D3748"/>
                <w:sz w:val="18"/>
              </w:rPr>
              <w:t>3</w:t>
            </w:r>
          </w:p>
        </w:tc>
        <w:tc>
          <w:tcPr>
            <w:tcW w:type="dxa" w:w="2592"/>
            <w:shd w:fill="FFFFFF"/>
            <w:tcMar>
              <w:top w:w="80" w:type="dxa"/>
              <w:bottom w:w="80" w:type="dxa"/>
              <w:left w:w="140" w:type="dxa"/>
              <w:right w:w="140" w:type="dxa"/>
            </w:tcMar>
          </w:tcPr>
          <w:p>
            <w:r>
              <w:rPr>
                <w:rFonts w:ascii="Calibri" w:hAnsi="Calibri"/>
                <w:color w:val="2D3748"/>
                <w:sz w:val="18"/>
              </w:rPr>
              <w:t>noofmajorvessels (Vessels Colored)</w:t>
            </w:r>
          </w:p>
        </w:tc>
        <w:tc>
          <w:tcPr>
            <w:tcW w:type="dxa" w:w="1584"/>
            <w:shd w:fill="FFFFFF"/>
            <w:tcMar>
              <w:top w:w="80" w:type="dxa"/>
              <w:bottom w:w="80" w:type="dxa"/>
              <w:left w:w="140" w:type="dxa"/>
              <w:right w:w="140" w:type="dxa"/>
            </w:tcMar>
          </w:tcPr>
          <w:p>
            <w:r>
              <w:rPr>
                <w:rFonts w:ascii="Calibri" w:hAnsi="Calibri"/>
                <w:color w:val="2D3748"/>
                <w:sz w:val="18"/>
              </w:rPr>
              <w:t>0.762</w:t>
            </w:r>
          </w:p>
        </w:tc>
        <w:tc>
          <w:tcPr>
            <w:tcW w:type="dxa" w:w="4320"/>
            <w:shd w:fill="FFFFFF"/>
            <w:tcMar>
              <w:top w:w="80" w:type="dxa"/>
              <w:bottom w:w="80" w:type="dxa"/>
              <w:left w:w="140" w:type="dxa"/>
              <w:right w:w="140" w:type="dxa"/>
            </w:tcMar>
          </w:tcPr>
          <w:p>
            <w:r>
              <w:rPr>
                <w:rFonts w:ascii="Calibri" w:hAnsi="Calibri"/>
                <w:color w:val="2D3748"/>
                <w:sz w:val="18"/>
              </w:rPr>
              <w:t>Fluoroscopy-detected vessel narrowing directly corresponds to multi-vessel CAD.</w:t>
            </w:r>
          </w:p>
        </w:tc>
      </w:tr>
      <w:tr>
        <w:tc>
          <w:tcPr>
            <w:tcW w:type="dxa" w:w="864"/>
            <w:shd w:fill="EDF2F7"/>
            <w:tcMar>
              <w:top w:w="80" w:type="dxa"/>
              <w:bottom w:w="80" w:type="dxa"/>
              <w:left w:w="140" w:type="dxa"/>
              <w:right w:w="140" w:type="dxa"/>
            </w:tcMar>
          </w:tcPr>
          <w:p>
            <w:r>
              <w:rPr>
                <w:rFonts w:ascii="Calibri" w:hAnsi="Calibri"/>
                <w:color w:val="2D3748"/>
                <w:sz w:val="18"/>
              </w:rPr>
              <w:t>4</w:t>
            </w:r>
          </w:p>
        </w:tc>
        <w:tc>
          <w:tcPr>
            <w:tcW w:type="dxa" w:w="2592"/>
            <w:shd w:fill="EDF2F7"/>
            <w:tcMar>
              <w:top w:w="80" w:type="dxa"/>
              <w:bottom w:w="80" w:type="dxa"/>
              <w:left w:w="140" w:type="dxa"/>
              <w:right w:w="140" w:type="dxa"/>
            </w:tcMar>
          </w:tcPr>
          <w:p>
            <w:r>
              <w:rPr>
                <w:rFonts w:ascii="Calibri" w:hAnsi="Calibri"/>
                <w:color w:val="2D3748"/>
                <w:sz w:val="18"/>
              </w:rPr>
              <w:t>maxheartrate (Peak Exercise HR)</w:t>
            </w:r>
          </w:p>
        </w:tc>
        <w:tc>
          <w:tcPr>
            <w:tcW w:type="dxa" w:w="1584"/>
            <w:shd w:fill="EDF2F7"/>
            <w:tcMar>
              <w:top w:w="80" w:type="dxa"/>
              <w:bottom w:w="80" w:type="dxa"/>
              <w:left w:w="140" w:type="dxa"/>
              <w:right w:w="140" w:type="dxa"/>
            </w:tcMar>
          </w:tcPr>
          <w:p>
            <w:r>
              <w:rPr>
                <w:rFonts w:ascii="Calibri" w:hAnsi="Calibri"/>
                <w:color w:val="2D3748"/>
                <w:sz w:val="18"/>
              </w:rPr>
              <w:t>0.612</w:t>
            </w:r>
          </w:p>
        </w:tc>
        <w:tc>
          <w:tcPr>
            <w:tcW w:type="dxa" w:w="4320"/>
            <w:shd w:fill="EDF2F7"/>
            <w:tcMar>
              <w:top w:w="80" w:type="dxa"/>
              <w:bottom w:w="80" w:type="dxa"/>
              <w:left w:w="140" w:type="dxa"/>
              <w:right w:w="140" w:type="dxa"/>
            </w:tcMar>
          </w:tcPr>
          <w:p>
            <w:r>
              <w:rPr>
                <w:rFonts w:ascii="Calibri" w:hAnsi="Calibri"/>
                <w:color w:val="2D3748"/>
                <w:sz w:val="18"/>
              </w:rPr>
              <w:t>Chronotropic incompetence (inability to reach expected peak HR) strongly correlates with cardiac dysfunction.</w:t>
            </w:r>
          </w:p>
        </w:tc>
      </w:tr>
      <w:tr>
        <w:tc>
          <w:tcPr>
            <w:tcW w:type="dxa" w:w="864"/>
            <w:shd w:fill="FFFFFF"/>
            <w:tcMar>
              <w:top w:w="80" w:type="dxa"/>
              <w:bottom w:w="80" w:type="dxa"/>
              <w:left w:w="140" w:type="dxa"/>
              <w:right w:w="140" w:type="dxa"/>
            </w:tcMar>
          </w:tcPr>
          <w:p>
            <w:r>
              <w:rPr>
                <w:rFonts w:ascii="Calibri" w:hAnsi="Calibri"/>
                <w:color w:val="2D3748"/>
                <w:sz w:val="18"/>
              </w:rPr>
              <w:t>5</w:t>
            </w:r>
          </w:p>
        </w:tc>
        <w:tc>
          <w:tcPr>
            <w:tcW w:type="dxa" w:w="2592"/>
            <w:shd w:fill="FFFFFF"/>
            <w:tcMar>
              <w:top w:w="80" w:type="dxa"/>
              <w:bottom w:w="80" w:type="dxa"/>
              <w:left w:w="140" w:type="dxa"/>
              <w:right w:w="140" w:type="dxa"/>
            </w:tcMar>
          </w:tcPr>
          <w:p>
            <w:r>
              <w:rPr>
                <w:rFonts w:ascii="Calibri" w:hAnsi="Calibri"/>
                <w:color w:val="2D3748"/>
                <w:sz w:val="18"/>
              </w:rPr>
              <w:t>exerciseangia (Exercise Angina)</w:t>
            </w:r>
          </w:p>
        </w:tc>
        <w:tc>
          <w:tcPr>
            <w:tcW w:type="dxa" w:w="1584"/>
            <w:shd w:fill="FFFFFF"/>
            <w:tcMar>
              <w:top w:w="80" w:type="dxa"/>
              <w:bottom w:w="80" w:type="dxa"/>
              <w:left w:w="140" w:type="dxa"/>
              <w:right w:w="140" w:type="dxa"/>
            </w:tcMar>
          </w:tcPr>
          <w:p>
            <w:r>
              <w:rPr>
                <w:rFonts w:ascii="Calibri" w:hAnsi="Calibri"/>
                <w:color w:val="2D3748"/>
                <w:sz w:val="18"/>
              </w:rPr>
              <w:t>0.448</w:t>
            </w:r>
          </w:p>
        </w:tc>
        <w:tc>
          <w:tcPr>
            <w:tcW w:type="dxa" w:w="4320"/>
            <w:shd w:fill="FFFFFF"/>
            <w:tcMar>
              <w:top w:w="80" w:type="dxa"/>
              <w:bottom w:w="80" w:type="dxa"/>
              <w:left w:w="140" w:type="dxa"/>
              <w:right w:w="140" w:type="dxa"/>
            </w:tcMar>
          </w:tcPr>
          <w:p>
            <w:r>
              <w:rPr>
                <w:rFonts w:ascii="Calibri" w:hAnsi="Calibri"/>
                <w:color w:val="2D3748"/>
                <w:sz w:val="18"/>
              </w:rPr>
              <w:t>Angina provoked by exertion confirms hemodynamic inadequacy under cardiac workload.</w:t>
            </w:r>
          </w:p>
        </w:tc>
      </w:tr>
    </w:tbl>
    <w:p>
      <w:pPr>
        <w:spacing w:after="80"/>
      </w:pPr>
    </w:p>
    <w:p>
      <w:pPr>
        <w:pStyle w:val="Heading1"/>
        <w:keepNext/>
        <w:spacing w:before="280" w:after="80"/>
      </w:pPr>
      <w:r>
        <w:rPr>
          <w:b/>
          <w:color w:val="1A365D"/>
          <w:sz w:val="34"/>
        </w:rPr>
        <w:t>8. Clinical Error Diagnostics &amp; Misclassification Analysis</w:t>
      </w:r>
    </w:p>
    <w:p>
      <w:pPr>
        <w:spacing w:after="100" w:line="276" w:lineRule="auto"/>
      </w:pPr>
      <w:r>
        <w:rPr>
          <w:rFonts w:ascii="Calibri" w:hAnsi="Calibri"/>
          <w:i w:val="0"/>
          <w:color w:val="2D3748"/>
          <w:sz w:val="21"/>
        </w:rPr>
        <w:t>Rigorous data science requires auditing model errors. On the Indian hospital test set (N=200), the champion XGBoost model produced exactly 1 misclassification out of 200 cases (0 False Negatives, 1 False Positive).</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c>
          <w:tcPr>
            <w:tcW w:type="dxa" w:w="2160"/>
            <w:shd w:fill="1A365D"/>
            <w:tcMar>
              <w:top w:w="120" w:type="dxa"/>
              <w:bottom w:w="120" w:type="dxa"/>
              <w:left w:w="140" w:type="dxa"/>
              <w:right w:w="140" w:type="dxa"/>
            </w:tcMar>
          </w:tcPr>
          <w:p>
            <w:pPr>
              <w:jc w:val="left"/>
            </w:pPr>
            <w:r>
              <w:rPr>
                <w:rFonts w:ascii="Calibri" w:hAnsi="Calibri"/>
                <w:b/>
                <w:color w:val="FFFFFF"/>
                <w:sz w:val="19"/>
              </w:rPr>
              <w:t>Metric / Case</w:t>
            </w:r>
          </w:p>
        </w:tc>
        <w:tc>
          <w:tcPr>
            <w:tcW w:type="dxa" w:w="1728"/>
            <w:shd w:fill="1A365D"/>
            <w:tcMar>
              <w:top w:w="120" w:type="dxa"/>
              <w:bottom w:w="120" w:type="dxa"/>
              <w:left w:w="140" w:type="dxa"/>
              <w:right w:w="140" w:type="dxa"/>
            </w:tcMar>
          </w:tcPr>
          <w:p>
            <w:pPr>
              <w:jc w:val="left"/>
            </w:pPr>
            <w:r>
              <w:rPr>
                <w:rFonts w:ascii="Calibri" w:hAnsi="Calibri"/>
                <w:b/>
                <w:color w:val="FFFFFF"/>
                <w:sz w:val="19"/>
              </w:rPr>
              <w:t>Observed Count</w:t>
            </w:r>
          </w:p>
        </w:tc>
        <w:tc>
          <w:tcPr>
            <w:tcW w:type="dxa" w:w="1872"/>
            <w:shd w:fill="1A365D"/>
            <w:tcMar>
              <w:top w:w="120" w:type="dxa"/>
              <w:bottom w:w="120" w:type="dxa"/>
              <w:left w:w="140" w:type="dxa"/>
              <w:right w:w="140" w:type="dxa"/>
            </w:tcMar>
          </w:tcPr>
          <w:p>
            <w:pPr>
              <w:jc w:val="left"/>
            </w:pPr>
            <w:r>
              <w:rPr>
                <w:rFonts w:ascii="Calibri" w:hAnsi="Calibri"/>
                <w:b/>
                <w:color w:val="FFFFFF"/>
                <w:sz w:val="19"/>
              </w:rPr>
              <w:t>Clinical Risk Level</w:t>
            </w:r>
          </w:p>
        </w:tc>
        <w:tc>
          <w:tcPr>
            <w:tcW w:type="dxa" w:w="3600"/>
            <w:shd w:fill="1A365D"/>
            <w:tcMar>
              <w:top w:w="120" w:type="dxa"/>
              <w:bottom w:w="120" w:type="dxa"/>
              <w:left w:w="140" w:type="dxa"/>
              <w:right w:w="140" w:type="dxa"/>
            </w:tcMar>
          </w:tcPr>
          <w:p>
            <w:pPr>
              <w:jc w:val="left"/>
            </w:pPr>
            <w:r>
              <w:rPr>
                <w:rFonts w:ascii="Calibri" w:hAnsi="Calibri"/>
                <w:b/>
                <w:color w:val="FFFFFF"/>
                <w:sz w:val="19"/>
              </w:rPr>
              <w:t>Diagnostic Remediation Strategy</w:t>
            </w:r>
          </w:p>
        </w:tc>
      </w:tr>
      <w:tr>
        <w:tc>
          <w:tcPr>
            <w:tcW w:type="dxa" w:w="2160"/>
            <w:shd w:fill="FFFFFF"/>
            <w:tcMar>
              <w:top w:w="80" w:type="dxa"/>
              <w:bottom w:w="80" w:type="dxa"/>
              <w:left w:w="140" w:type="dxa"/>
              <w:right w:w="140" w:type="dxa"/>
            </w:tcMar>
          </w:tcPr>
          <w:p>
            <w:r>
              <w:rPr>
                <w:rFonts w:ascii="Calibri" w:hAnsi="Calibri"/>
                <w:color w:val="2D3748"/>
                <w:sz w:val="18"/>
              </w:rPr>
              <w:t>False Negatives (FN)</w:t>
            </w:r>
          </w:p>
        </w:tc>
        <w:tc>
          <w:tcPr>
            <w:tcW w:type="dxa" w:w="1728"/>
            <w:shd w:fill="FFFFFF"/>
            <w:tcMar>
              <w:top w:w="80" w:type="dxa"/>
              <w:bottom w:w="80" w:type="dxa"/>
              <w:left w:w="140" w:type="dxa"/>
              <w:right w:w="140" w:type="dxa"/>
            </w:tcMar>
          </w:tcPr>
          <w:p>
            <w:r>
              <w:rPr>
                <w:rFonts w:ascii="Calibri" w:hAnsi="Calibri"/>
                <w:color w:val="2D3748"/>
                <w:sz w:val="18"/>
              </w:rPr>
              <w:t>0 / 116 CVD Cases</w:t>
            </w:r>
          </w:p>
        </w:tc>
        <w:tc>
          <w:tcPr>
            <w:tcW w:type="dxa" w:w="1872"/>
            <w:shd w:fill="FFFFFF"/>
            <w:tcMar>
              <w:top w:w="80" w:type="dxa"/>
              <w:bottom w:w="80" w:type="dxa"/>
              <w:left w:w="140" w:type="dxa"/>
              <w:right w:w="140" w:type="dxa"/>
            </w:tcMar>
          </w:tcPr>
          <w:p>
            <w:r>
              <w:rPr>
                <w:rFonts w:ascii="Calibri" w:hAnsi="Calibri"/>
                <w:color w:val="2D3748"/>
                <w:sz w:val="18"/>
              </w:rPr>
              <w:t>Zero Clinical Danger</w:t>
            </w:r>
          </w:p>
        </w:tc>
        <w:tc>
          <w:tcPr>
            <w:tcW w:type="dxa" w:w="3600"/>
            <w:shd w:fill="FFFFFF"/>
            <w:tcMar>
              <w:top w:w="80" w:type="dxa"/>
              <w:bottom w:w="80" w:type="dxa"/>
              <w:left w:w="140" w:type="dxa"/>
              <w:right w:w="140" w:type="dxa"/>
            </w:tcMar>
          </w:tcPr>
          <w:p>
            <w:r>
              <w:rPr>
                <w:rFonts w:ascii="Calibri" w:hAnsi="Calibri"/>
                <w:color w:val="2D3748"/>
                <w:sz w:val="18"/>
              </w:rPr>
              <w:t>No diseased patients missed; exceptional safety profile for primary triage.</w:t>
            </w:r>
          </w:p>
        </w:tc>
      </w:tr>
      <w:tr>
        <w:tc>
          <w:tcPr>
            <w:tcW w:type="dxa" w:w="2160"/>
            <w:shd w:fill="EDF2F7"/>
            <w:tcMar>
              <w:top w:w="80" w:type="dxa"/>
              <w:bottom w:w="80" w:type="dxa"/>
              <w:left w:w="140" w:type="dxa"/>
              <w:right w:w="140" w:type="dxa"/>
            </w:tcMar>
          </w:tcPr>
          <w:p>
            <w:r>
              <w:rPr>
                <w:rFonts w:ascii="Calibri" w:hAnsi="Calibri"/>
                <w:color w:val="2D3748"/>
                <w:sz w:val="18"/>
              </w:rPr>
              <w:t>False Positives (FP)</w:t>
            </w:r>
          </w:p>
        </w:tc>
        <w:tc>
          <w:tcPr>
            <w:tcW w:type="dxa" w:w="1728"/>
            <w:shd w:fill="EDF2F7"/>
            <w:tcMar>
              <w:top w:w="80" w:type="dxa"/>
              <w:bottom w:w="80" w:type="dxa"/>
              <w:left w:w="140" w:type="dxa"/>
              <w:right w:w="140" w:type="dxa"/>
            </w:tcMar>
          </w:tcPr>
          <w:p>
            <w:r>
              <w:rPr>
                <w:rFonts w:ascii="Calibri" w:hAnsi="Calibri"/>
                <w:color w:val="2D3748"/>
                <w:sz w:val="18"/>
              </w:rPr>
              <w:t>1 / 84 Healthy Cases</w:t>
            </w:r>
          </w:p>
        </w:tc>
        <w:tc>
          <w:tcPr>
            <w:tcW w:type="dxa" w:w="1872"/>
            <w:shd w:fill="EDF2F7"/>
            <w:tcMar>
              <w:top w:w="80" w:type="dxa"/>
              <w:bottom w:w="80" w:type="dxa"/>
              <w:left w:w="140" w:type="dxa"/>
              <w:right w:w="140" w:type="dxa"/>
            </w:tcMar>
          </w:tcPr>
          <w:p>
            <w:r>
              <w:rPr>
                <w:rFonts w:ascii="Calibri" w:hAnsi="Calibri"/>
                <w:color w:val="2D3748"/>
                <w:sz w:val="18"/>
              </w:rPr>
              <w:t>Low Impact (False Alarm)</w:t>
            </w:r>
          </w:p>
        </w:tc>
        <w:tc>
          <w:tcPr>
            <w:tcW w:type="dxa" w:w="3600"/>
            <w:shd w:fill="EDF2F7"/>
            <w:tcMar>
              <w:top w:w="80" w:type="dxa"/>
              <w:bottom w:w="80" w:type="dxa"/>
              <w:left w:w="140" w:type="dxa"/>
              <w:right w:w="140" w:type="dxa"/>
            </w:tcMar>
          </w:tcPr>
          <w:p>
            <w:r>
              <w:rPr>
                <w:rFonts w:ascii="Calibri" w:hAnsi="Calibri"/>
                <w:color w:val="2D3748"/>
                <w:sz w:val="18"/>
              </w:rPr>
              <w:t>One healthy patient referred for secondary non-invasive testing (Echo/Stress test).</w:t>
            </w:r>
          </w:p>
        </w:tc>
      </w:tr>
      <w:tr>
        <w:tc>
          <w:tcPr>
            <w:tcW w:type="dxa" w:w="2160"/>
            <w:shd w:fill="FFFFFF"/>
            <w:tcMar>
              <w:top w:w="80" w:type="dxa"/>
              <w:bottom w:w="80" w:type="dxa"/>
              <w:left w:w="140" w:type="dxa"/>
              <w:right w:w="140" w:type="dxa"/>
            </w:tcMar>
          </w:tcPr>
          <w:p>
            <w:r>
              <w:rPr>
                <w:rFonts w:ascii="Calibri" w:hAnsi="Calibri"/>
                <w:color w:val="2D3748"/>
                <w:sz w:val="18"/>
              </w:rPr>
              <w:t>Sensitivity (Recall)</w:t>
            </w:r>
          </w:p>
        </w:tc>
        <w:tc>
          <w:tcPr>
            <w:tcW w:type="dxa" w:w="1728"/>
            <w:shd w:fill="FFFFFF"/>
            <w:tcMar>
              <w:top w:w="80" w:type="dxa"/>
              <w:bottom w:w="80" w:type="dxa"/>
              <w:left w:w="140" w:type="dxa"/>
              <w:right w:w="140" w:type="dxa"/>
            </w:tcMar>
          </w:tcPr>
          <w:p>
            <w:r>
              <w:rPr>
                <w:rFonts w:ascii="Calibri" w:hAnsi="Calibri"/>
                <w:color w:val="2D3748"/>
                <w:sz w:val="18"/>
              </w:rPr>
              <w:t>100.0%</w:t>
            </w:r>
          </w:p>
        </w:tc>
        <w:tc>
          <w:tcPr>
            <w:tcW w:type="dxa" w:w="1872"/>
            <w:shd w:fill="FFFFFF"/>
            <w:tcMar>
              <w:top w:w="80" w:type="dxa"/>
              <w:bottom w:w="80" w:type="dxa"/>
              <w:left w:w="140" w:type="dxa"/>
              <w:right w:w="140" w:type="dxa"/>
            </w:tcMar>
          </w:tcPr>
          <w:p>
            <w:r>
              <w:rPr>
                <w:rFonts w:ascii="Calibri" w:hAnsi="Calibri"/>
                <w:color w:val="2D3748"/>
                <w:sz w:val="18"/>
              </w:rPr>
              <w:t>Gold Standard</w:t>
            </w:r>
          </w:p>
        </w:tc>
        <w:tc>
          <w:tcPr>
            <w:tcW w:type="dxa" w:w="3600"/>
            <w:shd w:fill="FFFFFF"/>
            <w:tcMar>
              <w:top w:w="80" w:type="dxa"/>
              <w:bottom w:w="80" w:type="dxa"/>
              <w:left w:w="140" w:type="dxa"/>
              <w:right w:w="140" w:type="dxa"/>
            </w:tcMar>
          </w:tcPr>
          <w:p>
            <w:r>
              <w:rPr>
                <w:rFonts w:ascii="Calibri" w:hAnsi="Calibri"/>
                <w:color w:val="2D3748"/>
                <w:sz w:val="18"/>
              </w:rPr>
              <w:t>Meets strict requirements for high-stakes medical screening tools.</w:t>
            </w:r>
          </w:p>
        </w:tc>
      </w:tr>
      <w:tr>
        <w:tc>
          <w:tcPr>
            <w:tcW w:type="dxa" w:w="2160"/>
            <w:shd w:fill="EDF2F7"/>
            <w:tcMar>
              <w:top w:w="80" w:type="dxa"/>
              <w:bottom w:w="80" w:type="dxa"/>
              <w:left w:w="140" w:type="dxa"/>
              <w:right w:w="140" w:type="dxa"/>
            </w:tcMar>
          </w:tcPr>
          <w:p>
            <w:r>
              <w:rPr>
                <w:rFonts w:ascii="Calibri" w:hAnsi="Calibri"/>
                <w:color w:val="2D3748"/>
                <w:sz w:val="18"/>
              </w:rPr>
              <w:t>Specificity</w:t>
            </w:r>
          </w:p>
        </w:tc>
        <w:tc>
          <w:tcPr>
            <w:tcW w:type="dxa" w:w="1728"/>
            <w:shd w:fill="EDF2F7"/>
            <w:tcMar>
              <w:top w:w="80" w:type="dxa"/>
              <w:bottom w:w="80" w:type="dxa"/>
              <w:left w:w="140" w:type="dxa"/>
              <w:right w:w="140" w:type="dxa"/>
            </w:tcMar>
          </w:tcPr>
          <w:p>
            <w:r>
              <w:rPr>
                <w:rFonts w:ascii="Calibri" w:hAnsi="Calibri"/>
                <w:color w:val="2D3748"/>
                <w:sz w:val="18"/>
              </w:rPr>
              <w:t>98.81%</w:t>
            </w:r>
          </w:p>
        </w:tc>
        <w:tc>
          <w:tcPr>
            <w:tcW w:type="dxa" w:w="1872"/>
            <w:shd w:fill="EDF2F7"/>
            <w:tcMar>
              <w:top w:w="80" w:type="dxa"/>
              <w:bottom w:w="80" w:type="dxa"/>
              <w:left w:w="140" w:type="dxa"/>
              <w:right w:w="140" w:type="dxa"/>
            </w:tcMar>
          </w:tcPr>
          <w:p>
            <w:r>
              <w:rPr>
                <w:rFonts w:ascii="Calibri" w:hAnsi="Calibri"/>
                <w:color w:val="2D3748"/>
                <w:sz w:val="18"/>
              </w:rPr>
              <w:t>High Precision</w:t>
            </w:r>
          </w:p>
        </w:tc>
        <w:tc>
          <w:tcPr>
            <w:tcW w:type="dxa" w:w="3600"/>
            <w:shd w:fill="EDF2F7"/>
            <w:tcMar>
              <w:top w:w="80" w:type="dxa"/>
              <w:bottom w:w="80" w:type="dxa"/>
              <w:left w:w="140" w:type="dxa"/>
              <w:right w:w="140" w:type="dxa"/>
            </w:tcMar>
          </w:tcPr>
          <w:p>
            <w:r>
              <w:rPr>
                <w:rFonts w:ascii="Calibri" w:hAnsi="Calibri"/>
                <w:color w:val="2D3748"/>
                <w:sz w:val="18"/>
              </w:rPr>
              <w:t>Minimal patient anxiety and near-zero unnecessary catheterization referrals.</w:t>
            </w:r>
          </w:p>
        </w:tc>
      </w:tr>
    </w:tbl>
    <w:p>
      <w:pPr>
        <w:spacing w:after="80"/>
      </w:pPr>
    </w:p>
    <w:p>
      <w:pPr>
        <w:pStyle w:val="Heading1"/>
        <w:keepNext/>
        <w:spacing w:before="280" w:after="80"/>
      </w:pPr>
      <w:r>
        <w:rPr>
          <w:b/>
          <w:color w:val="1A365D"/>
          <w:sz w:val="34"/>
        </w:rPr>
        <w:t>9. Production MLOps, System Architecture &amp; User Interfaces</w:t>
      </w:r>
    </w:p>
    <w:p>
      <w:pPr>
        <w:spacing w:after="100" w:line="276" w:lineRule="auto"/>
      </w:pPr>
      <w:r>
        <w:rPr>
          <w:rFonts w:ascii="Calibri" w:hAnsi="Calibri"/>
          <w:i w:val="0"/>
          <w:color w:val="2D3748"/>
          <w:sz w:val="21"/>
        </w:rPr>
        <w:t>CardioSense features a modular production architecture supporting dual-cohort inference without code duplication:</w:t>
      </w:r>
    </w:p>
    <w:p>
      <w:pPr>
        <w:spacing w:after="60" w:line="276" w:lineRule="auto"/>
      </w:pPr>
      <w:r>
        <w:rPr>
          <w:rFonts w:ascii="Calibri" w:hAnsi="Calibri"/>
          <w:b/>
          <w:color w:val="2D3748"/>
          <w:sz w:val="21"/>
        </w:rPr>
        <w:t xml:space="preserve">• FastAPI Backend: </w:t>
      </w:r>
      <w:r>
        <w:rPr>
          <w:rFonts w:ascii="Calibri" w:hAnsi="Calibri"/>
          <w:i w:val="0"/>
          <w:color w:val="2D3748"/>
          <w:sz w:val="21"/>
        </w:rPr>
        <w:t>Exposes dedicated endpoints /predict/india (12 features) and /predict/uci (13 features), alongside a dynamic /predict endpoint that automatically validates payloads against the appropriate Pydantic schema.</w:t>
      </w:r>
    </w:p>
    <w:p>
      <w:pPr>
        <w:spacing w:after="60" w:line="276" w:lineRule="auto"/>
      </w:pPr>
      <w:r>
        <w:rPr>
          <w:rFonts w:ascii="Calibri" w:hAnsi="Calibri"/>
          <w:b/>
          <w:color w:val="2D3748"/>
          <w:sz w:val="21"/>
        </w:rPr>
        <w:t xml:space="preserve">• Strict Schema Validation: </w:t>
      </w:r>
      <w:r>
        <w:rPr>
          <w:rFonts w:ascii="Calibri" w:hAnsi="Calibri"/>
          <w:i w:val="0"/>
          <w:color w:val="2D3748"/>
          <w:sz w:val="21"/>
        </w:rPr>
        <w:t>Pydantic models reject physiological impossibilities (e.g., negative age, systolic BP outside 80-250 mm Hg) with HTTP 422 Unprocessable Entity.</w:t>
      </w:r>
    </w:p>
    <w:p>
      <w:pPr>
        <w:spacing w:after="60" w:line="276" w:lineRule="auto"/>
      </w:pPr>
      <w:r>
        <w:rPr>
          <w:rFonts w:ascii="Calibri" w:hAnsi="Calibri"/>
          <w:b/>
          <w:color w:val="2D3748"/>
          <w:sz w:val="21"/>
        </w:rPr>
        <w:t xml:space="preserve">• Multi-Model Lifespan Loading: </w:t>
      </w:r>
      <w:r>
        <w:rPr>
          <w:rFonts w:ascii="Calibri" w:hAnsi="Calibri"/>
          <w:i w:val="0"/>
          <w:color w:val="2D3748"/>
          <w:sz w:val="21"/>
        </w:rPr>
        <w:t>On application startup, pre-trained pipelines for both cohorts are deserialized into memory without re-training.</w:t>
      </w:r>
    </w:p>
    <w:p>
      <w:pPr>
        <w:spacing w:after="60" w:line="276" w:lineRule="auto"/>
      </w:pPr>
      <w:r>
        <w:rPr>
          <w:rFonts w:ascii="Calibri" w:hAnsi="Calibri"/>
          <w:b/>
          <w:color w:val="2D3748"/>
          <w:sz w:val="21"/>
        </w:rPr>
        <w:t xml:space="preserve">• Minimalistic Soft Pastel Streamlit UI: </w:t>
      </w:r>
      <w:r>
        <w:rPr>
          <w:rFonts w:ascii="Calibri" w:hAnsi="Calibri"/>
          <w:i w:val="0"/>
          <w:color w:val="2D3748"/>
          <w:sz w:val="21"/>
        </w:rPr>
        <w:t>app/streamlit_app.py provides an interactive clinical dashboard using the curated palette (ivory #FAF8F5, sage #E8ECE9, mint #D8E2DC, lavender #E8E5EE, peach #FDE2D2, forest green #2D5A27 accents).</w:t>
      </w:r>
    </w:p>
    <w:p>
      <w:pPr>
        <w:spacing w:after="60" w:line="276" w:lineRule="auto"/>
      </w:pPr>
      <w:r>
        <w:rPr>
          <w:rFonts w:ascii="Calibri" w:hAnsi="Calibri"/>
          <w:b/>
          <w:color w:val="2D3748"/>
          <w:sz w:val="21"/>
        </w:rPr>
        <w:t xml:space="preserve">• Fullstack Next.js Portal: </w:t>
      </w:r>
      <w:r>
        <w:rPr>
          <w:rFonts w:ascii="Calibri" w:hAnsi="Calibri"/>
          <w:i w:val="0"/>
          <w:color w:val="2D3748"/>
          <w:sz w:val="21"/>
        </w:rPr>
        <w:t>frontend/ provides an interactive React research portal showcasing real-time API health, EDA charts, benchmark switchers, and patient simulation.</w:t>
      </w:r>
    </w:p>
    <w:p>
      <w:pPr>
        <w:pStyle w:val="Heading1"/>
        <w:keepNext/>
        <w:spacing w:before="280" w:after="80"/>
      </w:pPr>
      <w:r>
        <w:rPr>
          <w:b/>
          <w:color w:val="1A365D"/>
          <w:sz w:val="34"/>
        </w:rPr>
        <w:t>10. Scientific Limitations &amp; Ethical Governance</w:t>
      </w:r>
    </w:p>
    <w:p>
      <w:pPr>
        <w:spacing w:after="80" w:line="276" w:lineRule="auto"/>
      </w:pPr>
      <w:r>
        <w:rPr>
          <w:rFonts w:ascii="Calibri" w:hAnsi="Calibri"/>
          <w:b/>
          <w:color w:val="2D3748"/>
          <w:sz w:val="21"/>
        </w:rPr>
        <w:t xml:space="preserve">• Single-Center Hospital Inpatient Sample: </w:t>
      </w:r>
      <w:r>
        <w:rPr>
          <w:rFonts w:ascii="Calibri" w:hAnsi="Calibri"/>
          <w:i w:val="0"/>
          <w:color w:val="2D3748"/>
          <w:sz w:val="21"/>
        </w:rPr>
        <w:t>The Indian cohort represents patients referred to a tertiary care hospital for cardiac evaluation, yielding a baseline disease prevalence (58.0%) higher than routine community screening.</w:t>
      </w:r>
    </w:p>
    <w:p>
      <w:pPr>
        <w:spacing w:after="80" w:line="276" w:lineRule="auto"/>
      </w:pPr>
      <w:r>
        <w:rPr>
          <w:rFonts w:ascii="Calibri" w:hAnsi="Calibri"/>
          <w:b/>
          <w:color w:val="2D3748"/>
          <w:sz w:val="21"/>
        </w:rPr>
        <w:t xml:space="preserve">• Geographic Generalizability across India: </w:t>
      </w:r>
      <w:r>
        <w:rPr>
          <w:rFonts w:ascii="Calibri" w:hAnsi="Calibri"/>
          <w:i w:val="0"/>
          <w:color w:val="2D3748"/>
          <w:sz w:val="21"/>
        </w:rPr>
        <w:t>India is genetically and socio-economically diverse. As demonstrated by ICMR-INDIAB, cardiovascular prevalence varies markedly between northern and southern states. Multi-center validation is required before generalized deployment.</w:t>
      </w:r>
    </w:p>
    <w:p>
      <w:pPr>
        <w:spacing w:after="80" w:line="276" w:lineRule="auto"/>
      </w:pPr>
      <w:r>
        <w:rPr>
          <w:rFonts w:ascii="Calibri" w:hAnsi="Calibri"/>
          <w:b/>
          <w:color w:val="2D3748"/>
          <w:sz w:val="21"/>
        </w:rPr>
        <w:t xml:space="preserve">• Surrogate vs. Definitive Angiography: </w:t>
      </w:r>
      <w:r>
        <w:rPr>
          <w:rFonts w:ascii="Calibri" w:hAnsi="Calibri"/>
          <w:i w:val="0"/>
          <w:color w:val="2D3748"/>
          <w:sz w:val="21"/>
        </w:rPr>
        <w:t>Machine learning outputs provide statistical risk estimates, not anatomical visualization. Clinicians must not use predictions to cancel angiography when clinical suspicion is high.</w:t>
      </w:r>
    </w:p>
    <w:p>
      <w:pPr>
        <w:spacing w:after="80" w:line="276" w:lineRule="auto"/>
      </w:pPr>
      <w:r>
        <w:rPr>
          <w:rFonts w:ascii="Calibri" w:hAnsi="Calibri"/>
          <w:b/>
          <w:color w:val="2D3748"/>
          <w:sz w:val="21"/>
        </w:rPr>
        <w:t xml:space="preserve">• Absence of Modern Biomarkers: </w:t>
      </w:r>
      <w:r>
        <w:rPr>
          <w:rFonts w:ascii="Calibri" w:hAnsi="Calibri"/>
          <w:i w:val="0"/>
          <w:color w:val="2D3748"/>
          <w:sz w:val="21"/>
        </w:rPr>
        <w:t>Neither dataset includes high-sensitivity cardiac troponin I/T (hs-cTn), coronary computed tomography angiography (CCTA), or coronary artery calcium (CAC) scoring.</w:t>
      </w:r>
    </w:p>
    <w:p>
      <w:pPr>
        <w:pStyle w:val="Heading1"/>
        <w:keepNext/>
        <w:spacing w:before="280" w:after="80"/>
      </w:pPr>
      <w:r>
        <w:rPr>
          <w:b/>
          <w:color w:val="1A365D"/>
          <w:sz w:val="34"/>
        </w:rPr>
        <w:t>11. Primary Academic References</w:t>
      </w:r>
    </w:p>
    <w:p>
      <w:pPr>
        <w:spacing w:after="60" w:line="276" w:lineRule="auto"/>
      </w:pPr>
      <w:r>
        <w:rPr>
          <w:rFonts w:ascii="Calibri" w:hAnsi="Calibri"/>
          <w:color w:val="2D3748"/>
          <w:sz w:val="19"/>
        </w:rPr>
        <w:t>1. Doppala, K., &amp; Bhattacharyya, D. (2020). Cardiovascular Disease Dataset. Mendeley Data, V1, DOI: 10.17632/dzz48mvjht.1.</w:t>
      </w:r>
    </w:p>
    <w:p>
      <w:pPr>
        <w:spacing w:after="60" w:line="276" w:lineRule="auto"/>
      </w:pPr>
      <w:r>
        <w:rPr>
          <w:rFonts w:ascii="Calibri" w:hAnsi="Calibri"/>
          <w:color w:val="2D3748"/>
          <w:sz w:val="19"/>
        </w:rPr>
        <w:t>2. Anjana, R. M., et al. (ICMR-INDIAB Collaborative Study Group). (2023). Metabolic non-communicable disease health report in India. The Lancet Diabetes &amp; Endocrinology, 11(7), 474–489.</w:t>
      </w:r>
    </w:p>
    <w:p>
      <w:pPr>
        <w:spacing w:after="60" w:line="276" w:lineRule="auto"/>
      </w:pPr>
      <w:r>
        <w:rPr>
          <w:rFonts w:ascii="Calibri" w:hAnsi="Calibri"/>
          <w:color w:val="2D3748"/>
          <w:sz w:val="19"/>
        </w:rPr>
        <w:t>3. Janosi, A., Steinbrunn, W., Pfisterer, M., &amp; Detrano, R. (1988). Heart Disease Database. Cleveland Clinic Foundation. UCI Machine Learning Repository.</w:t>
      </w:r>
    </w:p>
    <w:p>
      <w:pPr>
        <w:spacing w:after="60" w:line="276" w:lineRule="auto"/>
      </w:pPr>
      <w:r>
        <w:rPr>
          <w:rFonts w:ascii="Calibri" w:hAnsi="Calibri"/>
          <w:color w:val="2D3748"/>
          <w:sz w:val="19"/>
        </w:rPr>
        <w:t>4. Lundberg, S. M., &amp; Lee, S. I. (2017). A unified approach to interpreting model predictions. Advances in Neural Information Processing Systems (NeurIPS 2017), 30, 4765–4774.</w:t>
      </w:r>
    </w:p>
    <w:p>
      <w:pPr>
        <w:spacing w:after="60" w:line="276" w:lineRule="auto"/>
      </w:pPr>
      <w:r>
        <w:rPr>
          <w:rFonts w:ascii="Calibri" w:hAnsi="Calibri"/>
          <w:color w:val="2D3748"/>
          <w:sz w:val="19"/>
        </w:rPr>
        <w:t>5. Chen, T., &amp; Guestrin, C. (2016). XGBoost: A scalable tree boosting system. Proceedings of the 22nd ACM SIGKDD International Conference on Knowledge Discovery and Data Mining, 785–794.</w:t>
      </w:r>
    </w:p>
    <w:p>
      <w:pPr>
        <w:spacing w:after="60" w:line="276" w:lineRule="auto"/>
      </w:pPr>
      <w:r>
        <w:rPr>
          <w:rFonts w:ascii="Calibri" w:hAnsi="Calibri"/>
          <w:color w:val="2D3748"/>
          <w:sz w:val="19"/>
        </w:rPr>
        <w:t>6. Breiman, L. (2001). Random forests. Machine Learning, 45(1), 5–32.</w:t>
      </w:r>
    </w:p>
    <w:p>
      <w:pPr>
        <w:spacing w:after="60" w:line="276" w:lineRule="auto"/>
      </w:pPr>
      <w:r>
        <w:rPr>
          <w:rFonts w:ascii="Calibri" w:hAnsi="Calibri"/>
          <w:color w:val="2D3748"/>
          <w:sz w:val="19"/>
        </w:rPr>
        <w:t>7. World Health Organization (WHO). (2024). Cardiovascular Diseases Fact Sheet. Geneva: WHO.</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718096"/>
        <w:sz w:val="17"/>
      </w:rPr>
      <w:t>CardioSense Academic &amp; Scientific Report | Confidential &amp; Educational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CardioSense: India-Focused Cardiovascular Disease ML Specification &amp; Research Monograph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