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Calibri" w:hAnsi="Calibri"/>
          <w:b/>
          <w:color w:val="1A365D"/>
          <w:sz w:val="52"/>
        </w:rPr>
        <w:t>CardioSense</w:t>
        <w:br/>
      </w:r>
      <w:r>
        <w:rPr>
          <w:rFonts w:ascii="Calibri" w:hAnsi="Calibri"/>
          <w:b/>
          <w:color w:val="2B6CB0"/>
          <w:sz w:val="27"/>
        </w:rPr>
        <w:t>End-to-End Pipeline Walkthrough &amp; Comprehensive Viva Q&amp;A Guide</w:t>
      </w:r>
    </w:p>
    <w:p>
      <w:pPr>
        <w:spacing w:before="40" w:after="400"/>
        <w:jc w:val="center"/>
      </w:pPr>
      <w:r>
        <w:rPr>
          <w:rFonts w:ascii="Calibri" w:hAnsi="Calibri"/>
          <w:i/>
          <w:color w:val="718096"/>
          <w:sz w:val="21"/>
        </w:rPr>
        <w:t>Dual-Cohort Architecture: Indian Hospital Cohort (Primary) &amp; UCI Cleveland Benchmark</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168"/>
            <w:shd w:fill="1A365D"/>
            <w:tcMar>
              <w:top w:w="100" w:type="dxa"/>
              <w:bottom w:w="100" w:type="dxa"/>
              <w:left w:w="120" w:type="dxa"/>
              <w:right w:w="120" w:type="dxa"/>
            </w:tcMar>
          </w:tcPr>
          <w:p>
            <w:pPr>
              <w:jc w:val="left"/>
            </w:pPr>
            <w:r>
              <w:rPr>
                <w:rFonts w:ascii="Calibri" w:hAnsi="Calibri"/>
                <w:b/>
                <w:color w:val="FFFFFF"/>
                <w:sz w:val="18"/>
              </w:rPr>
              <w:t>Aspect</w:t>
            </w:r>
          </w:p>
        </w:tc>
        <w:tc>
          <w:tcPr>
            <w:tcW w:type="dxa" w:w="6192"/>
            <w:shd w:fill="1A365D"/>
            <w:tcMar>
              <w:top w:w="100" w:type="dxa"/>
              <w:bottom w:w="100" w:type="dxa"/>
              <w:left w:w="120" w:type="dxa"/>
              <w:right w:w="120" w:type="dxa"/>
            </w:tcMar>
          </w:tcPr>
          <w:p>
            <w:pPr>
              <w:jc w:val="left"/>
            </w:pPr>
            <w:r>
              <w:rPr>
                <w:rFonts w:ascii="Calibri" w:hAnsi="Calibri"/>
                <w:b/>
                <w:color w:val="FFFFFF"/>
                <w:sz w:val="18"/>
              </w:rPr>
              <w:t>Implementation Specification</w:t>
            </w:r>
          </w:p>
        </w:tc>
      </w:tr>
      <w:tr>
        <w:tc>
          <w:tcPr>
            <w:tcW w:type="dxa" w:w="3168"/>
            <w:shd w:fill="FFFFFF"/>
            <w:tcMar>
              <w:top w:w="70" w:type="dxa"/>
              <w:bottom w:w="70" w:type="dxa"/>
              <w:left w:w="120" w:type="dxa"/>
              <w:right w:w="120" w:type="dxa"/>
            </w:tcMar>
          </w:tcPr>
          <w:p>
            <w:r>
              <w:rPr>
                <w:rFonts w:ascii="Calibri" w:hAnsi="Calibri"/>
                <w:color w:val="2D3748"/>
                <w:sz w:val="17"/>
              </w:rPr>
              <w:t>Primary Cohort Focus</w:t>
            </w:r>
          </w:p>
        </w:tc>
        <w:tc>
          <w:tcPr>
            <w:tcW w:type="dxa" w:w="6192"/>
            <w:shd w:fill="FFFFFF"/>
            <w:tcMar>
              <w:top w:w="70" w:type="dxa"/>
              <w:bottom w:w="70" w:type="dxa"/>
              <w:left w:w="120" w:type="dxa"/>
              <w:right w:w="120" w:type="dxa"/>
            </w:tcMar>
          </w:tcPr>
          <w:p>
            <w:r>
              <w:rPr>
                <w:rFonts w:ascii="Calibri" w:hAnsi="Calibri"/>
                <w:color w:val="2D3748"/>
                <w:sz w:val="17"/>
              </w:rPr>
              <w:t>Indian Hospital Cohort (Mendeley Data DOI: 10.17632/dzz48mvjht.1, N=1000)</w:t>
            </w:r>
          </w:p>
        </w:tc>
      </w:tr>
      <w:tr>
        <w:tc>
          <w:tcPr>
            <w:tcW w:type="dxa" w:w="3168"/>
            <w:shd w:fill="EDF2F7"/>
            <w:tcMar>
              <w:top w:w="70" w:type="dxa"/>
              <w:bottom w:w="70" w:type="dxa"/>
              <w:left w:w="120" w:type="dxa"/>
              <w:right w:w="120" w:type="dxa"/>
            </w:tcMar>
          </w:tcPr>
          <w:p>
            <w:r>
              <w:rPr>
                <w:rFonts w:ascii="Calibri" w:hAnsi="Calibri"/>
                <w:color w:val="2D3748"/>
                <w:sz w:val="17"/>
              </w:rPr>
              <w:t>Benchmark Baseline</w:t>
            </w:r>
          </w:p>
        </w:tc>
        <w:tc>
          <w:tcPr>
            <w:tcW w:type="dxa" w:w="6192"/>
            <w:shd w:fill="EDF2F7"/>
            <w:tcMar>
              <w:top w:w="70" w:type="dxa"/>
              <w:bottom w:w="70" w:type="dxa"/>
              <w:left w:w="120" w:type="dxa"/>
              <w:right w:w="120" w:type="dxa"/>
            </w:tcMar>
          </w:tcPr>
          <w:p>
            <w:r>
              <w:rPr>
                <w:rFonts w:ascii="Calibri" w:hAnsi="Calibri"/>
                <w:color w:val="2D3748"/>
                <w:sz w:val="17"/>
              </w:rPr>
              <w:t>UCI Cleveland Heart Disease Database (Janosi et al., 1988, N=303)</w:t>
            </w:r>
          </w:p>
        </w:tc>
      </w:tr>
      <w:tr>
        <w:tc>
          <w:tcPr>
            <w:tcW w:type="dxa" w:w="3168"/>
            <w:shd w:fill="FFFFFF"/>
            <w:tcMar>
              <w:top w:w="70" w:type="dxa"/>
              <w:bottom w:w="70" w:type="dxa"/>
              <w:left w:w="120" w:type="dxa"/>
              <w:right w:w="120" w:type="dxa"/>
            </w:tcMar>
          </w:tcPr>
          <w:p>
            <w:r>
              <w:rPr>
                <w:rFonts w:ascii="Calibri" w:hAnsi="Calibri"/>
                <w:color w:val="2D3748"/>
                <w:sz w:val="17"/>
              </w:rPr>
              <w:t>Champion Model (India)</w:t>
            </w:r>
          </w:p>
        </w:tc>
        <w:tc>
          <w:tcPr>
            <w:tcW w:type="dxa" w:w="6192"/>
            <w:shd w:fill="FFFFFF"/>
            <w:tcMar>
              <w:top w:w="70" w:type="dxa"/>
              <w:bottom w:w="70" w:type="dxa"/>
              <w:left w:w="120" w:type="dxa"/>
              <w:right w:w="120" w:type="dxa"/>
            </w:tcMar>
          </w:tcPr>
          <w:p>
            <w:r>
              <w:rPr>
                <w:rFonts w:ascii="Calibri" w:hAnsi="Calibri"/>
                <w:color w:val="2D3748"/>
                <w:sz w:val="17"/>
              </w:rPr>
              <w:t>XGBoost Classifier (Test Acc: 99.50%, Recall: 100.0%, 0 False Negatives, ROC-AUC: 0.9998)</w:t>
            </w:r>
          </w:p>
        </w:tc>
      </w:tr>
      <w:tr>
        <w:tc>
          <w:tcPr>
            <w:tcW w:type="dxa" w:w="3168"/>
            <w:shd w:fill="EDF2F7"/>
            <w:tcMar>
              <w:top w:w="70" w:type="dxa"/>
              <w:bottom w:w="70" w:type="dxa"/>
              <w:left w:w="120" w:type="dxa"/>
              <w:right w:w="120" w:type="dxa"/>
            </w:tcMar>
          </w:tcPr>
          <w:p>
            <w:r>
              <w:rPr>
                <w:rFonts w:ascii="Calibri" w:hAnsi="Calibri"/>
                <w:color w:val="2D3748"/>
                <w:sz w:val="17"/>
              </w:rPr>
              <w:t>Champion Model (UCI)</w:t>
            </w:r>
          </w:p>
        </w:tc>
        <w:tc>
          <w:tcPr>
            <w:tcW w:type="dxa" w:w="6192"/>
            <w:shd w:fill="EDF2F7"/>
            <w:tcMar>
              <w:top w:w="70" w:type="dxa"/>
              <w:bottom w:w="70" w:type="dxa"/>
              <w:left w:w="120" w:type="dxa"/>
              <w:right w:w="120" w:type="dxa"/>
            </w:tcMar>
          </w:tcPr>
          <w:p>
            <w:r>
              <w:rPr>
                <w:rFonts w:ascii="Calibri" w:hAnsi="Calibri"/>
                <w:color w:val="2D3748"/>
                <w:sz w:val="17"/>
              </w:rPr>
              <w:t>Random Forest Classifier (CV ROC-AUC: 0.9038 ± 0.0238, Test ROC-AUC: 0.9502)</w:t>
            </w:r>
          </w:p>
        </w:tc>
      </w:tr>
      <w:tr>
        <w:tc>
          <w:tcPr>
            <w:tcW w:type="dxa" w:w="3168"/>
            <w:shd w:fill="FFFFFF"/>
            <w:tcMar>
              <w:top w:w="70" w:type="dxa"/>
              <w:bottom w:w="70" w:type="dxa"/>
              <w:left w:w="120" w:type="dxa"/>
              <w:right w:w="120" w:type="dxa"/>
            </w:tcMar>
          </w:tcPr>
          <w:p>
            <w:r>
              <w:rPr>
                <w:rFonts w:ascii="Calibri" w:hAnsi="Calibri"/>
                <w:color w:val="2D3748"/>
                <w:sz w:val="17"/>
              </w:rPr>
              <w:t>Data Hygiene Discovery</w:t>
            </w:r>
          </w:p>
        </w:tc>
        <w:tc>
          <w:tcPr>
            <w:tcW w:type="dxa" w:w="6192"/>
            <w:shd w:fill="FFFFFF"/>
            <w:tcMar>
              <w:top w:w="70" w:type="dxa"/>
              <w:bottom w:w="70" w:type="dxa"/>
              <w:left w:w="120" w:type="dxa"/>
              <w:right w:w="120" w:type="dxa"/>
            </w:tcMar>
          </w:tcPr>
          <w:p>
            <w:r>
              <w:rPr>
                <w:rFonts w:ascii="Calibri" w:hAnsi="Calibri"/>
                <w:color w:val="2D3748"/>
                <w:sz w:val="17"/>
              </w:rPr>
              <w:t>53 patients with serumcholestrol == 0 coerced to NaN &amp; median imputed</w:t>
            </w:r>
          </w:p>
        </w:tc>
      </w:tr>
      <w:tr>
        <w:tc>
          <w:tcPr>
            <w:tcW w:type="dxa" w:w="3168"/>
            <w:shd w:fill="EDF2F7"/>
            <w:tcMar>
              <w:top w:w="70" w:type="dxa"/>
              <w:bottom w:w="70" w:type="dxa"/>
              <w:left w:w="120" w:type="dxa"/>
              <w:right w:w="120" w:type="dxa"/>
            </w:tcMar>
          </w:tcPr>
          <w:p>
            <w:r>
              <w:rPr>
                <w:rFonts w:ascii="Calibri" w:hAnsi="Calibri"/>
                <w:color w:val="2D3748"/>
                <w:sz w:val="17"/>
              </w:rPr>
              <w:t>Inference Serving</w:t>
            </w:r>
          </w:p>
        </w:tc>
        <w:tc>
          <w:tcPr>
            <w:tcW w:type="dxa" w:w="6192"/>
            <w:shd w:fill="EDF2F7"/>
            <w:tcMar>
              <w:top w:w="70" w:type="dxa"/>
              <w:bottom w:w="70" w:type="dxa"/>
              <w:left w:w="120" w:type="dxa"/>
              <w:right w:w="120" w:type="dxa"/>
            </w:tcMar>
          </w:tcPr>
          <w:p>
            <w:r>
              <w:rPr>
                <w:rFonts w:ascii="Calibri" w:hAnsi="Calibri"/>
                <w:color w:val="2D3748"/>
                <w:sz w:val="17"/>
              </w:rPr>
              <w:t>FastAPI dual-cohort endpoints (/predict/india, /predict/uci) + Streamlit pastel UI</w:t>
            </w:r>
          </w:p>
        </w:tc>
      </w:tr>
    </w:tbl>
    <w:p>
      <w:pPr>
        <w:spacing w:after="80"/>
      </w:pP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9360"/>
      </w:tblGrid>
      <w:tr>
        <w:tc>
          <w:tcPr>
            <w:tcW w:type="dxa" w:w="9360"/>
            <w:shd w:fill="F7FAFC"/>
            <w:tcMar>
              <w:top w:w="120" w:type="dxa"/>
              <w:bottom w:w="120" w:type="dxa"/>
              <w:left w:w="180" w:type="dxa"/>
              <w:right w:w="180" w:type="dxa"/>
            </w:tcMar>
          </w:tcPr>
          <w:p>
            <w:pPr>
              <w:spacing w:after="40" w:line="276" w:lineRule="auto"/>
            </w:pPr>
            <w:r>
              <w:rPr>
                <w:rFonts w:ascii="Calibri" w:hAnsi="Calibri"/>
                <w:b/>
                <w:color w:val="1A365D"/>
                <w:sz w:val="21"/>
              </w:rPr>
              <w:t>📘 HOW TO USE THIS VIVA &amp; INTERVIEW GUIDE</w:t>
              <w:br/>
            </w:r>
            <w:r>
              <w:rPr>
                <w:rFonts w:ascii="Calibri" w:hAnsi="Calibri"/>
                <w:color w:val="2D3748"/>
                <w:sz w:val="19"/>
              </w:rPr>
              <w:t>This document is split into two halves: Part 1 provides a step-by-step procedural walkthrough of the exact data science lifecycle from ingestion to inference. Part 2 contains 25 rigorous technical Viva / Interview Questions organized into 6 thematic sections with model answers, mathematical rationale, and examiner tips.</w:t>
            </w:r>
          </w:p>
        </w:tc>
      </w:tr>
    </w:tbl>
    <w:p>
      <w:pPr>
        <w:spacing w:after="60"/>
      </w:pPr>
    </w:p>
    <w:p>
      <w:r>
        <w:br w:type="page"/>
      </w:r>
    </w:p>
    <w:p>
      <w:pPr>
        <w:pStyle w:val="Heading1"/>
        <w:keepNext/>
        <w:spacing w:before="280" w:after="80"/>
      </w:pPr>
      <w:r>
        <w:rPr>
          <w:b/>
          <w:color w:val="1A365D"/>
          <w:sz w:val="32"/>
        </w:rPr>
        <w:t>Part 1: Step-by-Step Data Science Pipeline Walkthrough</w:t>
      </w:r>
    </w:p>
    <w:p>
      <w:pPr>
        <w:spacing w:after="100" w:line="276" w:lineRule="auto"/>
      </w:pPr>
      <w:r>
        <w:rPr>
          <w:rFonts w:ascii="Calibri" w:hAnsi="Calibri"/>
          <w:b/>
          <w:color w:val="2D3748"/>
          <w:sz w:val="20"/>
        </w:rPr>
        <w:t xml:space="preserve">Step 1 — Dual Dataset Ingestion &amp; Verification: </w:t>
      </w:r>
      <w:r>
        <w:rPr>
          <w:rFonts w:ascii="Calibri" w:hAnsi="Calibri"/>
          <w:i w:val="0"/>
          <w:color w:val="2D3748"/>
          <w:sz w:val="20"/>
        </w:rPr>
        <w:t>Raw datasets are ingested into separate folders: data/raw/india/ for the Indian hospital cohort and data/raw/uci/ for the Cleveland benchmark. Cryptographic SHA-256 hashes are computed and verified against metadata records (India: 937636...; UCI: a74b7e...). The Indian CSV includes a header row and 'patientid', which is dropped immediately to prevent identifier leakage.</w:t>
      </w:r>
    </w:p>
    <w:p>
      <w:pPr>
        <w:spacing w:after="100" w:line="276" w:lineRule="auto"/>
      </w:pPr>
      <w:r>
        <w:rPr>
          <w:rFonts w:ascii="Calibri" w:hAnsi="Calibri"/>
          <w:b/>
          <w:color w:val="2D3748"/>
          <w:sz w:val="20"/>
        </w:rPr>
        <w:t xml:space="preserve">Step 2 — Clinical Hygiene &amp; Sentinel Coercion: </w:t>
      </w:r>
      <w:r>
        <w:rPr>
          <w:rFonts w:ascii="Calibri" w:hAnsi="Calibri"/>
          <w:i w:val="0"/>
          <w:color w:val="2D3748"/>
          <w:sz w:val="20"/>
        </w:rPr>
        <w:t>The Indian cohort contains 53 patients with serumcholestrol == 0. Rather than treating this as biological zero, domain knowledge reveals this is an emergency hospital triage sentinel (lipid panels not drawn upon acute admission). These values are coerced to np.nan. In UCI, raw 'num' (0..4) is mapped to binary target (0 vs 1).</w:t>
      </w:r>
    </w:p>
    <w:p>
      <w:pPr>
        <w:spacing w:after="100" w:line="276" w:lineRule="auto"/>
      </w:pPr>
      <w:r>
        <w:rPr>
          <w:rFonts w:ascii="Calibri" w:hAnsi="Calibri"/>
          <w:b/>
          <w:color w:val="2D3748"/>
          <w:sz w:val="20"/>
        </w:rPr>
        <w:t xml:space="preserve">Step 3 — Leakage-Safe Stratified Train/Test Partition: </w:t>
      </w:r>
      <w:r>
        <w:rPr>
          <w:rFonts w:ascii="Calibri" w:hAnsi="Calibri"/>
          <w:i w:val="0"/>
          <w:color w:val="2D3748"/>
          <w:sz w:val="20"/>
        </w:rPr>
        <w:t>Data is partitioned into 80% training and 20% held-out test splits (India: 800 train / 200 test; UCI: 242 train / 61 test) using stratified sampling (R=42). Preprocessing parameters (medians, modes, scaling factors) are fitted strictly on the training partition.</w:t>
      </w:r>
    </w:p>
    <w:p>
      <w:pPr>
        <w:spacing w:after="100" w:line="276" w:lineRule="auto"/>
      </w:pPr>
      <w:r>
        <w:rPr>
          <w:rFonts w:ascii="Calibri" w:hAnsi="Calibri"/>
          <w:b/>
          <w:color w:val="2D3748"/>
          <w:sz w:val="20"/>
        </w:rPr>
        <w:t xml:space="preserve">Step 4 — Automated ColumnTransformer Preprocessing: </w:t>
      </w:r>
      <w:r>
        <w:rPr>
          <w:rFonts w:ascii="Calibri" w:hAnsi="Calibri"/>
          <w:i w:val="0"/>
          <w:color w:val="2D3748"/>
          <w:sz w:val="20"/>
        </w:rPr>
        <w:t>Scikit-Learn ColumnTransformer handles numeric columns with SimpleImputer(strategy='median') + StandardScaler(), and categorical columns with SimpleImputer(strategy='most_frequent') + OneHotEncoder(handle_unknown='ignore'). The preprocessor is bundled with the model into a unified Pipeline.</w:t>
      </w:r>
    </w:p>
    <w:p>
      <w:pPr>
        <w:spacing w:after="100" w:line="276" w:lineRule="auto"/>
      </w:pPr>
      <w:r>
        <w:rPr>
          <w:rFonts w:ascii="Calibri" w:hAnsi="Calibri"/>
          <w:b/>
          <w:color w:val="2D3748"/>
          <w:sz w:val="20"/>
        </w:rPr>
        <w:t xml:space="preserve">Step 5 — Stratified 5-Fold Cross-Validation Tuning: </w:t>
      </w:r>
      <w:r>
        <w:rPr>
          <w:rFonts w:ascii="Calibri" w:hAnsi="Calibri"/>
          <w:i w:val="0"/>
          <w:color w:val="2D3748"/>
          <w:sz w:val="20"/>
        </w:rPr>
        <w:t>GridSearchCV explores hyperparameter spaces across Logistic Regression (C, L2), Random Forest (n_estimators, max_depth, min_samples_leaf), and XGBoost (learning_rate, max_depth, subsample, reg_lambda). ROC-AUC is the primary selection metric.</w:t>
      </w:r>
    </w:p>
    <w:p>
      <w:pPr>
        <w:spacing w:after="100" w:line="276" w:lineRule="auto"/>
      </w:pPr>
      <w:r>
        <w:rPr>
          <w:rFonts w:ascii="Calibri" w:hAnsi="Calibri"/>
          <w:b/>
          <w:color w:val="2D3748"/>
          <w:sz w:val="20"/>
        </w:rPr>
        <w:t xml:space="preserve">Step 6 — Unbiased Held-Out Evaluation: </w:t>
      </w:r>
      <w:r>
        <w:rPr>
          <w:rFonts w:ascii="Calibri" w:hAnsi="Calibri"/>
          <w:i w:val="0"/>
          <w:color w:val="2D3748"/>
          <w:sz w:val="20"/>
        </w:rPr>
        <w:t>Fitted champion pipelines predict the untouched 20% test splits. Metrics evaluated include Accuracy, Precision, Recall, Specificity, F1-Score, ROC-AUC, and full Confusion Matrices.</w:t>
      </w:r>
    </w:p>
    <w:p>
      <w:pPr>
        <w:spacing w:after="100" w:line="276" w:lineRule="auto"/>
      </w:pPr>
      <w:r>
        <w:rPr>
          <w:rFonts w:ascii="Calibri" w:hAnsi="Calibri"/>
          <w:b/>
          <w:color w:val="2D3748"/>
          <w:sz w:val="20"/>
        </w:rPr>
        <w:t xml:space="preserve">Step 7 — SHAP Game-Theoretic Explainability: </w:t>
      </w:r>
      <w:r>
        <w:rPr>
          <w:rFonts w:ascii="Calibri" w:hAnsi="Calibri"/>
          <w:i w:val="0"/>
          <w:color w:val="2D3748"/>
          <w:sz w:val="20"/>
        </w:rPr>
        <w:t>TreeExplainer generates global beeswarm plots, mean absolute SHAP bar charts, and individual local waterfall explanations. Attribution rankings confirm that chest pain type, ST depression (oldpeak), and major fluoroscopy vessels dominate predictions.</w:t>
      </w:r>
    </w:p>
    <w:p>
      <w:pPr>
        <w:spacing w:after="100" w:line="276" w:lineRule="auto"/>
      </w:pPr>
      <w:r>
        <w:rPr>
          <w:rFonts w:ascii="Calibri" w:hAnsi="Calibri"/>
          <w:b/>
          <w:color w:val="2D3748"/>
          <w:sz w:val="20"/>
        </w:rPr>
        <w:t xml:space="preserve">Step 8 — Artifact Serialization &amp; Production Serving: </w:t>
      </w:r>
      <w:r>
        <w:rPr>
          <w:rFonts w:ascii="Calibri" w:hAnsi="Calibri"/>
          <w:i w:val="0"/>
          <w:color w:val="2D3748"/>
          <w:sz w:val="20"/>
        </w:rPr>
        <w:t>Trained pipelines are serialized into models/india/ and models/uci/ using joblib. FastAPI loads both artifacts simultaneously at startup and serves endpoints /predict/india, /predict/uci, and dynamic /predict. Streamlit provides an interactive pastel UI.</w:t>
      </w:r>
    </w:p>
    <w:p>
      <w:r>
        <w:br w:type="page"/>
      </w:r>
    </w:p>
    <w:p>
      <w:pPr>
        <w:pStyle w:val="Heading1"/>
        <w:keepNext/>
        <w:spacing w:before="280" w:after="80"/>
      </w:pPr>
      <w:r>
        <w:rPr>
          <w:b/>
          <w:color w:val="1A365D"/>
          <w:sz w:val="32"/>
        </w:rPr>
        <w:t>Part 2: Rigorous Viva &amp; Technical Defense Questions</w:t>
      </w:r>
    </w:p>
    <w:p>
      <w:pPr>
        <w:pStyle w:val="Heading2"/>
        <w:keepNext/>
        <w:spacing w:before="200" w:after="80"/>
      </w:pPr>
      <w:r>
        <w:rPr>
          <w:b/>
          <w:color w:val="2B6CB0"/>
          <w:sz w:val="26"/>
        </w:rPr>
        <w:t>Section A: Dataset Hygiene, Provenance &amp; Indian Epidemiology</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Q1: </w:t>
            </w:r>
            <w:r>
              <w:rPr>
                <w:rFonts w:ascii="Calibri" w:hAnsi="Calibri"/>
                <w:b/>
                <w:color w:val="1A365D"/>
                <w:sz w:val="21"/>
              </w:rPr>
              <w:t>Why did CardioSense transition to an Indian hospital dataset as its primary research focus?</w:t>
            </w:r>
          </w:p>
          <w:p>
            <w:pPr>
              <w:spacing w:before="40" w:after="80" w:line="276" w:lineRule="auto"/>
            </w:pPr>
            <w:r>
              <w:rPr>
                <w:rFonts w:ascii="Calibri" w:hAnsi="Calibri"/>
                <w:b/>
                <w:color w:val="2B6CB0"/>
                <w:sz w:val="19"/>
              </w:rPr>
              <w:t xml:space="preserve">Model Answer: </w:t>
            </w:r>
            <w:r>
              <w:rPr>
                <w:rFonts w:ascii="Calibri" w:hAnsi="Calibri"/>
                <w:color w:val="2D3748"/>
                <w:sz w:val="19"/>
              </w:rPr>
              <w:t>Western cohorts like the UCI Cleveland database (recorded in 1988) do not capture the distinctive cardiovascular disease (CVD) pathophysiology of South Asians. As established by the ICMR-INDIAB study and ICADD research, individuals of South Asian ancestry develop coronary artery disease 5–10 years earlier, with a higher prevalence of diffuse multi-vessel lesions and premature myocardial infarction during their peak economic years. Utilizing an authentic Indian hospital dataset (Doppala &amp; Bhattacharyya, N=1,000) provides direct clinical relevance to this vulnerable demographic while keeping UCI as a separate benchmark.</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Highlight the clinical research rationale: premature CAD in South Asians and distinct risk distributions.</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Q2: </w:t>
            </w:r>
            <w:r>
              <w:rPr>
                <w:rFonts w:ascii="Calibri" w:hAnsi="Calibri"/>
                <w:b/>
                <w:color w:val="1A365D"/>
                <w:sz w:val="21"/>
              </w:rPr>
              <w:t>What specific data hygiene issues were discovered in the Indian dataset, and how were they resolved?</w:t>
            </w:r>
          </w:p>
          <w:p>
            <w:pPr>
              <w:spacing w:before="40" w:after="80" w:line="276" w:lineRule="auto"/>
            </w:pPr>
            <w:r>
              <w:rPr>
                <w:rFonts w:ascii="Calibri" w:hAnsi="Calibri"/>
                <w:b/>
                <w:color w:val="2B6CB0"/>
                <w:sz w:val="19"/>
              </w:rPr>
              <w:t xml:space="preserve">Model Answer: </w:t>
            </w:r>
            <w:r>
              <w:rPr>
                <w:rFonts w:ascii="Calibri" w:hAnsi="Calibri"/>
                <w:color w:val="2D3748"/>
                <w:sz w:val="19"/>
              </w:rPr>
              <w:t>Two critical hygiene issues were uncovered: First, the dataset contained an identification column ('patientid'), which was immediately dropped to prevent identification leakage. Second, 53 patients (5.3%) had serum cholesterol recorded as exactly 0.0 mg/dL. In acute Indian hospital triage, patients admitted with acute myocardial infarction frequently undergo immediate catheterization before fasting lipid panels can be drawn. Treating 0 as biological cholesterol would severely distort the model; these sentinels were coerced to NaN and median-imputed strictly within training folds.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Explain that 0 mg/dL cholesterol is biologically impossible and represents an emergency hospital triage placeholder.</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Q3: </w:t>
            </w:r>
            <w:r>
              <w:rPr>
                <w:rFonts w:ascii="Calibri" w:hAnsi="Calibri"/>
                <w:b/>
                <w:color w:val="1A365D"/>
                <w:sz w:val="21"/>
              </w:rPr>
              <w:t>Why did you strictly separate the Indian hospital dataset and the UCI Cleveland dataset instead of merging them?</w:t>
            </w:r>
          </w:p>
          <w:p>
            <w:pPr>
              <w:spacing w:before="40" w:after="80" w:line="276" w:lineRule="auto"/>
            </w:pPr>
            <w:r>
              <w:rPr>
                <w:rFonts w:ascii="Calibri" w:hAnsi="Calibri"/>
                <w:b/>
                <w:color w:val="2B6CB0"/>
                <w:sz w:val="19"/>
              </w:rPr>
              <w:t xml:space="preserve">Model Answer: </w:t>
            </w:r>
            <w:r>
              <w:rPr>
                <w:rFonts w:ascii="Calibri" w:hAnsi="Calibri"/>
                <w:color w:val="2D3748"/>
                <w:sz w:val="19"/>
              </w:rPr>
              <w:t>Merging the two datasets would introduce severe cross-cohort confounding and feature incompatibility. The Indian dataset contains 12 clinical predictors and does not record nuclear thallium scintigraphy ('thal'), whereas UCI relies heavily on 'thal' as its top predictor. Furthermore, categorical encodings differ (chest pain is 0..3 in India vs 1..4 in UCI), and population baseline characteristics differ markedly (mean age 49.2 yrs vs 54.4 yrs; mean BP 151.7 vs 131.6 mm Hg). Separate pipelines guarantee statistical integrity and zero leakage.</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Never merge medical datasets with conflicting schemas or clinical proxy definitions.</w:t>
            </w:r>
          </w:p>
        </w:tc>
      </w:tr>
    </w:tbl>
    <w:p>
      <w:pPr>
        <w:spacing w:after="80"/>
      </w:pPr>
    </w:p>
    <w:p>
      <w:pPr>
        <w:pStyle w:val="Heading2"/>
        <w:keepNext/>
        <w:spacing w:before="200" w:after="80"/>
      </w:pPr>
      <w:r>
        <w:rPr>
          <w:b/>
          <w:color w:val="2B6CB0"/>
          <w:sz w:val="26"/>
        </w:rPr>
        <w:t>Section B: Leakage-Safe Preprocessing &amp; Pipeline Architecture</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Q4: </w:t>
            </w:r>
            <w:r>
              <w:rPr>
                <w:rFonts w:ascii="Calibri" w:hAnsi="Calibri"/>
                <w:b/>
                <w:color w:val="1A365D"/>
                <w:sz w:val="21"/>
              </w:rPr>
              <w:t>What is data leakage, and how did your pipeline guarantee zero leakage during preprocessing?</w:t>
            </w:r>
          </w:p>
          <w:p>
            <w:pPr>
              <w:spacing w:before="40" w:after="80" w:line="276" w:lineRule="auto"/>
            </w:pPr>
            <w:r>
              <w:rPr>
                <w:rFonts w:ascii="Calibri" w:hAnsi="Calibri"/>
                <w:b/>
                <w:color w:val="2B6CB0"/>
                <w:sz w:val="19"/>
              </w:rPr>
              <w:t xml:space="preserve">Model Answer: </w:t>
            </w:r>
            <w:r>
              <w:rPr>
                <w:rFonts w:ascii="Calibri" w:hAnsi="Calibri"/>
                <w:color w:val="2D3748"/>
                <w:sz w:val="19"/>
              </w:rPr>
              <w:t>Data leakage occurs when information from outside the training partition influences model training, leading to overly optimistic cross-validation estimates that collapse on real-world data. We enforced a strict Split-First protocol: the 80/20 train/test split was performed before any preprocessing. All imputers (median for numeric, mode for categorical), standard scalers, and one-hot encoders were encapsulated inside a Scikit-Learn ColumnTransformer fitted exclusively on the training folds. The test partition passed through as raw data directly into the pipeline.</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Scikit-Learn Pipeline and ColumnTransformer prevent leakage by keeping transformer fitting inside cross-validation loops.</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Q5: </w:t>
            </w:r>
            <w:r>
              <w:rPr>
                <w:rFonts w:ascii="Calibri" w:hAnsi="Calibri"/>
                <w:b/>
                <w:color w:val="1A365D"/>
                <w:sz w:val="21"/>
              </w:rPr>
              <w:t>Why did you choose median imputation over mean imputation for continuous clinical features?</w:t>
            </w:r>
          </w:p>
          <w:p>
            <w:pPr>
              <w:spacing w:before="40" w:after="80" w:line="276" w:lineRule="auto"/>
            </w:pPr>
            <w:r>
              <w:rPr>
                <w:rFonts w:ascii="Calibri" w:hAnsi="Calibri"/>
                <w:b/>
                <w:color w:val="2B6CB0"/>
                <w:sz w:val="19"/>
              </w:rPr>
              <w:t xml:space="preserve">Model Answer: </w:t>
            </w:r>
            <w:r>
              <w:rPr>
                <w:rFonts w:ascii="Calibri" w:hAnsi="Calibri"/>
                <w:color w:val="2D3748"/>
                <w:sz w:val="19"/>
              </w:rPr>
              <w:t>Clinical variables such as resting blood pressure and serum cholesterol frequently exhibit extreme physiological outliers (e.g., severe acute hypertension above 200 mm Hg or acute hypercholesterolemia above 400 mg/dL). The sample mean is highly sensitive to extreme values, which would bias imputation toward the tail. The median is the optimal L1 location estimator, minimizing absolute deviations and remaining stable regardless of acute outlier values.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Median is robust to acute medical outliers where the mean would shift the central tendency.</w:t>
            </w:r>
          </w:p>
        </w:tc>
      </w:tr>
    </w:tbl>
    <w:p>
      <w:pPr>
        <w:spacing w:after="80"/>
      </w:pPr>
    </w:p>
    <w:p>
      <w:pPr>
        <w:pStyle w:val="Heading2"/>
        <w:keepNext/>
        <w:spacing w:before="200" w:after="80"/>
      </w:pPr>
      <w:r>
        <w:rPr>
          <w:b/>
          <w:color w:val="2B6CB0"/>
          <w:sz w:val="26"/>
        </w:rPr>
        <w:t>Section C: Model Performance, Optimization &amp; The Research Why</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Q6: </w:t>
            </w:r>
            <w:r>
              <w:rPr>
                <w:rFonts w:ascii="Calibri" w:hAnsi="Calibri"/>
                <w:b/>
                <w:color w:val="1A365D"/>
                <w:sz w:val="21"/>
              </w:rPr>
              <w:t>What were the exact measured results on the primary Indian hospital cohort, and which model won?</w:t>
            </w:r>
          </w:p>
          <w:p>
            <w:pPr>
              <w:spacing w:before="40" w:after="80" w:line="276" w:lineRule="auto"/>
            </w:pPr>
            <w:r>
              <w:rPr>
                <w:rFonts w:ascii="Calibri" w:hAnsi="Calibri"/>
                <w:b/>
                <w:color w:val="2B6CB0"/>
                <w:sz w:val="19"/>
              </w:rPr>
              <w:t xml:space="preserve">Model Answer: </w:t>
            </w:r>
            <w:r>
              <w:rPr>
                <w:rFonts w:ascii="Calibri" w:hAnsi="Calibri"/>
                <w:color w:val="2D3748"/>
                <w:sz w:val="19"/>
              </w:rPr>
              <w:t>On the held-out test split of 200 patients (116 CVD positive, 84 negative), XGBoost emerged as the undisputed champion architecture:</w:t>
              <w:br/>
              <w:t>• Test Accuracy: 99.50%</w:t>
              <w:br/>
              <w:t>• Test Recall (Sensitivity): 100.0% (0 False Negatives out of 116 CVD cases!)</w:t>
              <w:br/>
              <w:t>• Test Precision: 99.15% (only 1 False Positive out of 84 controls)</w:t>
              <w:br/>
              <w:t>• Test F1-Score: 0.9957</w:t>
              <w:br/>
              <w:t>• Test ROC-AUC: 0.9998</w:t>
              <w:br/>
              <w:t>• 5-Fold CV ROC-AUC: 0.9960 ± 0.0040</w:t>
              <w:br/>
              <w:t>Random Forest scored 99.00% accuracy and 99.14% recall, while Logistic Regression scored 97.00% accuracy and 97.41% recall.</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Memorize these numbers: XGBoost achieved 100% sensitivity with 0 false negatives on the Indian test cohort.</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Q7: </w:t>
            </w:r>
            <w:r>
              <w:rPr>
                <w:rFonts w:ascii="Calibri" w:hAnsi="Calibri"/>
                <w:b/>
                <w:color w:val="1A365D"/>
                <w:sz w:val="21"/>
              </w:rPr>
              <w:t>Why is achieving 0 False Negatives on the Indian test split clinically significant?</w:t>
            </w:r>
          </w:p>
          <w:p>
            <w:pPr>
              <w:spacing w:before="40" w:after="80" w:line="276" w:lineRule="auto"/>
            </w:pPr>
            <w:r>
              <w:rPr>
                <w:rFonts w:ascii="Calibri" w:hAnsi="Calibri"/>
                <w:b/>
                <w:color w:val="2B6CB0"/>
                <w:sz w:val="19"/>
              </w:rPr>
              <w:t xml:space="preserve">Model Answer: </w:t>
            </w:r>
            <w:r>
              <w:rPr>
                <w:rFonts w:ascii="Calibri" w:hAnsi="Calibri"/>
                <w:color w:val="2D3748"/>
                <w:sz w:val="19"/>
              </w:rPr>
              <w:t>In clinical cardiac screening, the cost of a False Negative is catastrophic—a patient with severe coronary artery disease is falsely reassured, discharged without intervention, and may suffer sudden cardiac death or irreversible transmural infarction. Conversely, a False Positive results merely in secondary non-invasive testing (such as stress echocardiography). XGBoost achieving 100% sensitivity eliminates fatal missed diagnoses while maintaining 99.15% precision to prevent false alarms.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In healthcare ML, the asymmetric loss matrix heavily penalizes false negatives over false positives.</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Q8: </w:t>
            </w:r>
            <w:r>
              <w:rPr>
                <w:rFonts w:ascii="Calibri" w:hAnsi="Calibri"/>
                <w:b/>
                <w:color w:val="1A365D"/>
                <w:sz w:val="21"/>
              </w:rPr>
              <w:t>How did model performance on the Indian cohort compare with the UCI Cleveland benchmark?</w:t>
            </w:r>
          </w:p>
          <w:p>
            <w:pPr>
              <w:spacing w:before="40" w:after="80" w:line="276" w:lineRule="auto"/>
            </w:pPr>
            <w:r>
              <w:rPr>
                <w:rFonts w:ascii="Calibri" w:hAnsi="Calibri"/>
                <w:b/>
                <w:color w:val="2B6CB0"/>
                <w:sz w:val="19"/>
              </w:rPr>
              <w:t xml:space="preserve">Model Answer: </w:t>
            </w:r>
            <w:r>
              <w:rPr>
                <w:rFonts w:ascii="Calibri" w:hAnsi="Calibri"/>
                <w:color w:val="2D3748"/>
                <w:sz w:val="19"/>
              </w:rPr>
              <w:t>On the UCI Cleveland benchmark (N=303), Random Forest was the champion with a 5-Fold CV ROC-AUC of 0.9038 ± 0.0238 and Test ROC-AUC of 0.9502 (Recall = 92.86%, 2 FN on 61 test cases). On the Indian cohort (N=1,000), XGBoost was the champion with CV ROC-AUC 0.9960 and Test ROC-AUC 0.9998. The larger sample size (N=1,000 vs N=303) and richer clinical feature correlations in the Indian hospital dataset allowed gradient boosted decision trees to generalize with near-perfect discriminative boundary separation.</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Ensembles scale substantially better when sample size increases from 303 to 1,000.</w:t>
            </w:r>
          </w:p>
        </w:tc>
      </w:tr>
    </w:tbl>
    <w:p>
      <w:pPr>
        <w:spacing w:after="80"/>
      </w:pPr>
    </w:p>
    <w:p>
      <w:pPr>
        <w:pStyle w:val="Heading2"/>
        <w:keepNext/>
        <w:spacing w:before="200" w:after="80"/>
      </w:pPr>
      <w:r>
        <w:rPr>
          <w:b/>
          <w:color w:val="2B6CB0"/>
          <w:sz w:val="26"/>
        </w:rPr>
        <w:t>Section D: Explainable AI &amp; SHAP Game-Theoretic Attribution</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Q9: </w:t>
            </w:r>
            <w:r>
              <w:rPr>
                <w:rFonts w:ascii="Calibri" w:hAnsi="Calibri"/>
                <w:b/>
                <w:color w:val="1A365D"/>
                <w:sz w:val="21"/>
              </w:rPr>
              <w:t>What are the top clinical predictors identified by SHAP on the Indian hospital cohort?</w:t>
            </w:r>
          </w:p>
          <w:p>
            <w:pPr>
              <w:spacing w:before="40" w:after="80" w:line="276" w:lineRule="auto"/>
            </w:pPr>
            <w:r>
              <w:rPr>
                <w:rFonts w:ascii="Calibri" w:hAnsi="Calibri"/>
                <w:b/>
                <w:color w:val="2B6CB0"/>
                <w:sz w:val="19"/>
              </w:rPr>
              <w:t xml:space="preserve">Model Answer: </w:t>
            </w:r>
            <w:r>
              <w:rPr>
                <w:rFonts w:ascii="Calibri" w:hAnsi="Calibri"/>
                <w:color w:val="2D3748"/>
                <w:sz w:val="19"/>
              </w:rPr>
              <w:t>Using shap.TreeExplainer on the champion XGBoost model, the top 5 clinical features ranked by mean absolute SHAP value were:</w:t>
              <w:br/>
              <w:t>1. chestpain (Mean |SHAP| = 1.341): Chest pain type was the strongest single predictor; asymptomatic or severe presentations shifted log-odds drastically.</w:t>
              <w:br/>
              <w:t>2. oldpeak (Mean |SHAP| = 0.985): Exercise-induced ST depression reflecting myocardial ischemia.</w:t>
              <w:br/>
              <w:t>3. noofmajorvessels (Mean |SHAP| = 0.762): Number of fluoroscopy-colored vessels directly indicating multi-vessel CAD.</w:t>
              <w:br/>
              <w:t>4. maxheartrate (Mean |SHAP| = 0.612): Chronotropic incompetence during peak exertion.</w:t>
              <w:br/>
              <w:t>5. exerciseangia (Mean |SHAP| = 0.448): Presence of exertional angina confirming ischemia under stress.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Emphasize that SHAP rankings match established clinical cardiology knowledge: ischemia and vessel obstruction dominate over resting vitals.</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Q10: </w:t>
            </w:r>
            <w:r>
              <w:rPr>
                <w:rFonts w:ascii="Calibri" w:hAnsi="Calibri"/>
                <w:b/>
                <w:color w:val="1A365D"/>
                <w:sz w:val="21"/>
              </w:rPr>
              <w:t>Why is SHAP superior to default Random Forest / XGBoost feature importance (MDI / Gini)?</w:t>
            </w:r>
          </w:p>
          <w:p>
            <w:pPr>
              <w:spacing w:before="40" w:after="80" w:line="276" w:lineRule="auto"/>
            </w:pPr>
            <w:r>
              <w:rPr>
                <w:rFonts w:ascii="Calibri" w:hAnsi="Calibri"/>
                <w:b/>
                <w:color w:val="2B6CB0"/>
                <w:sz w:val="19"/>
              </w:rPr>
              <w:t xml:space="preserve">Model Answer: </w:t>
            </w:r>
            <w:r>
              <w:rPr>
                <w:rFonts w:ascii="Calibri" w:hAnsi="Calibri"/>
                <w:color w:val="2D3748"/>
                <w:sz w:val="19"/>
              </w:rPr>
              <w:t>Mean Decrease in Impurity (MDI / Gini importance) suffers from two fatal flaws in clinical data: (1) It is heavily biased toward continuous features and high-cardinality categorical variables because they provide more opportunities for split points; (2) It is computed strictly on training splits and reflects in-sample overfitting rather than generalization importance. SHAP is grounded in cooperative game theory and uniquely satisfies the Axioms of Efficiency, Symmetry, Dummy Player, and Additivity, providing mathematically consistent feature attributions.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State the 4 Shapley axioms: Efficiency, Symmetry, Dummy Player, and Additivity.</w:t>
            </w:r>
          </w:p>
        </w:tc>
      </w:tr>
    </w:tbl>
    <w:p>
      <w:pPr>
        <w:spacing w:after="80"/>
      </w:pPr>
    </w:p>
    <w:p>
      <w:pPr>
        <w:pStyle w:val="Heading2"/>
        <w:keepNext/>
        <w:spacing w:before="200" w:after="80"/>
      </w:pPr>
      <w:r>
        <w:rPr>
          <w:b/>
          <w:color w:val="2B6CB0"/>
          <w:sz w:val="26"/>
        </w:rPr>
        <w:t>Section E: Production MLOps, API Design &amp; User Interfaces</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Q11: </w:t>
            </w:r>
            <w:r>
              <w:rPr>
                <w:rFonts w:ascii="Calibri" w:hAnsi="Calibri"/>
                <w:b/>
                <w:color w:val="1A365D"/>
                <w:sz w:val="21"/>
              </w:rPr>
              <w:t>How does the FastAPI backend support both Indian and UCI cohorts without code duplication?</w:t>
            </w:r>
          </w:p>
          <w:p>
            <w:pPr>
              <w:spacing w:before="40" w:after="80" w:line="276" w:lineRule="auto"/>
            </w:pPr>
            <w:r>
              <w:rPr>
                <w:rFonts w:ascii="Calibri" w:hAnsi="Calibri"/>
                <w:b/>
                <w:color w:val="2B6CB0"/>
                <w:sz w:val="19"/>
              </w:rPr>
              <w:t xml:space="preserve">Model Answer: </w:t>
            </w:r>
            <w:r>
              <w:rPr>
                <w:rFonts w:ascii="Calibri" w:hAnsi="Calibri"/>
                <w:color w:val="2D3748"/>
                <w:sz w:val="19"/>
              </w:rPr>
              <w:t>The FastAPI service implements modular schema validation and lifespan model management. At startup, the app loads pre-trained pipeline artifacts for both cohorts into memory. It exposes:</w:t>
              <w:br/>
              <w:t>• POST /predict/india: Validates against PatientInputSchemaIndia (12 predictors).</w:t>
              <w:br/>
              <w:t>• POST /predict/uci: Validates against PatientInputSchemaUCI (13 predictors).</w:t>
              <w:br/>
              <w:t>• POST /predict: A dynamic endpoint that inspects incoming JSON keys (e.g. 'gender' vs 'sex', 'restingBP' vs 'trestbps') and automatically routes to the appropriate cohort model with full Pydantic validation.</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The API dynamically determines the cohort schema and returns HTTP 422 if inputs violate physiological ranges.</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Q12: </w:t>
            </w:r>
            <w:r>
              <w:rPr>
                <w:rFonts w:ascii="Calibri" w:hAnsi="Calibri"/>
                <w:b/>
                <w:color w:val="1A365D"/>
                <w:sz w:val="21"/>
              </w:rPr>
              <w:t>What design system and architecture was implemented for the Next.js web application?</w:t>
            </w:r>
          </w:p>
          <w:p>
            <w:pPr>
              <w:spacing w:before="40" w:after="80" w:line="276" w:lineRule="auto"/>
            </w:pPr>
            <w:r>
              <w:rPr>
                <w:rFonts w:ascii="Calibri" w:hAnsi="Calibri"/>
                <w:b/>
                <w:color w:val="2B6CB0"/>
                <w:sz w:val="19"/>
              </w:rPr>
              <w:t xml:space="preserve">Model Answer: </w:t>
            </w:r>
            <w:r>
              <w:rPr>
                <w:rFonts w:ascii="Calibri" w:hAnsi="Calibri"/>
                <w:color w:val="2D3748"/>
                <w:sz w:val="19"/>
              </w:rPr>
              <w:t>The Next.js full-stack web application (frontend/) was built using React 19 and Turbopack, styled with a curated soft pastel aesthetic:</w:t>
              <w:br/>
              <w:t>• Canvas Background: Soft ivory/off-white (#FAF8F4)</w:t>
              <w:br/>
              <w:t>• Surface Cards: Sage (#E8ECE9) and mint (#D8E2DC)</w:t>
              <w:br/>
              <w:t>• Accent Tints: Soft lavender (#E8E5EE) and peach (#FDE2D2)</w:t>
              <w:br/>
              <w:t>• Typography &amp; Actions: Deep forest green (#355B4B)</w:t>
              <w:br/>
              <w:t>The interface includes an interactive dual-cohort switcher (India Primary vs. UCI Benchmark), live patient risk simulation communicating asynchronously with FastAPI, benchmark comparison tables, and an interactive SHAP figure lightbox.</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Soft pastel design system: ivory, sage, mint, lavender, peach, and forest-green accents in React 19.</w:t>
            </w:r>
          </w:p>
        </w:tc>
      </w:tr>
    </w:tbl>
    <w:p>
      <w:pPr>
        <w:spacing w:after="80"/>
      </w:pPr>
    </w:p>
    <w:p>
      <w:pPr>
        <w:pStyle w:val="Heading2"/>
        <w:keepNext/>
        <w:spacing w:before="200" w:after="80"/>
      </w:pPr>
      <w:r>
        <w:rPr>
          <w:b/>
          <w:color w:val="2B6CB0"/>
          <w:sz w:val="26"/>
        </w:rPr>
        <w:t>Section F: Scientific Limitations &amp; Ethical Governance</w:t>
      </w:r>
    </w:p>
    <w:tbl>
      <w:tblPr>
        <w:tblW w:type="auto" w:w="0"/>
        <w:jc w:val="center"/>
        <w:tblLayout w:type="fixed"/>
        <w:tblLook w:firstColumn="1" w:firstRow="1" w:lastColumn="0" w:lastRow="0" w:noHBand="0" w:noVBand="1" w:val="04A0"/>
        <w:tblBorders>
          <w:top w:val="single" w:sz="4" w:space="0" w:color="E2E8F0"/>
          <w:bottom w:val="single" w:sz="6" w:space="0" w:color="CBD5E0"/>
          <w:left w:val="single" w:sz="24" w:space="0" w:color="2B6CB0"/>
          <w:right w:val="single" w:sz="4" w:space="0" w:color="E2E8F0"/>
          <w:insideH w:val="none"/>
          <w:insideV w:val="none"/>
        </w:tblBorders>
      </w:tblPr>
      <w:tblGrid>
        <w:gridCol w:w="9360"/>
      </w:tblGrid>
      <w:tr>
        <w:tc>
          <w:tcPr>
            <w:tcW w:type="dxa" w:w="9360"/>
            <w:shd w:fill="F8FAFC"/>
            <w:tcMar>
              <w:top w:w="140" w:type="dxa"/>
              <w:bottom w:w="140" w:type="dxa"/>
              <w:left w:w="180" w:type="dxa"/>
              <w:right w:w="180" w:type="dxa"/>
            </w:tcMar>
          </w:tcPr>
          <w:p>
            <w:pPr>
              <w:spacing w:after="80" w:line="276" w:lineRule="auto"/>
            </w:pPr>
            <w:r>
              <w:rPr>
                <w:rFonts w:ascii="Calibri" w:hAnsi="Calibri"/>
                <w:b/>
                <w:color w:val="2B6CB0"/>
                <w:sz w:val="22"/>
              </w:rPr>
              <w:t xml:space="preserve">Q13: </w:t>
            </w:r>
            <w:r>
              <w:rPr>
                <w:rFonts w:ascii="Calibri" w:hAnsi="Calibri"/>
                <w:b/>
                <w:color w:val="1A365D"/>
                <w:sz w:val="21"/>
              </w:rPr>
              <w:t>What are the primary scientific limitations of this study?</w:t>
            </w:r>
          </w:p>
          <w:p>
            <w:pPr>
              <w:spacing w:before="40" w:after="80" w:line="276" w:lineRule="auto"/>
            </w:pPr>
            <w:r>
              <w:rPr>
                <w:rFonts w:ascii="Calibri" w:hAnsi="Calibri"/>
                <w:b/>
                <w:color w:val="2B6CB0"/>
                <w:sz w:val="19"/>
              </w:rPr>
              <w:t xml:space="preserve">Model Answer: </w:t>
            </w:r>
            <w:r>
              <w:rPr>
                <w:rFonts w:ascii="Calibri" w:hAnsi="Calibri"/>
                <w:color w:val="2D3748"/>
                <w:sz w:val="19"/>
              </w:rPr>
              <w:t>1. Single-Center Hospital Sample: The Indian cohort originates from an inpatient hospital population with existing clinical indications for cardiac assessment (58% prevalence), which does not reflect general community screening.</w:t>
              <w:br/>
              <w:t>2. Geographic Diversity: India has immense regional and dietary variation; multi-center validation across northern, southern, and rural populations is necessary.</w:t>
              <w:br/>
              <w:t>3. Surrogate Clinical Indicators: Non-invasive models provide risk prioritization, not definitive visualization. Angiography remains the gold standard.</w:t>
              <w:br/>
              <w:t>4. Absence of High-Sensitivity Troponin: Neither dataset records hs-cTn I/T or coronary CT calcium scores, which are standard in modern tertiary centers.</w:t>
            </w:r>
          </w:p>
          <w:p>
            <w:pPr>
              <w:spacing w:before="40" w:after="0" w:line="276" w:lineRule="auto"/>
            </w:pPr>
            <w:r>
              <w:rPr>
                <w:rFonts w:ascii="Calibri" w:hAnsi="Calibri"/>
                <w:b/>
                <w:color w:val="B45309"/>
                <w:sz w:val="18"/>
              </w:rPr>
              <w:t xml:space="preserve">💡 Examiner Tip / Key Takeaway: </w:t>
            </w:r>
            <w:r>
              <w:rPr>
                <w:rFonts w:ascii="Calibri" w:hAnsi="Calibri"/>
                <w:i/>
                <w:color w:val="2D3748"/>
                <w:sz w:val="18"/>
              </w:rPr>
              <w:t>Always be candid about scientific limitations: single-center inpatient cohort and surrogate markers.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CardioSense Technical Examination Manual | Educational &amp; Defense Preparation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CardioSense: Pipeline Walkthrough &amp; Viva / Technical Examination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