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201F1D" w14:textId="77777777" w:rsidR="00A82D3C" w:rsidRDefault="00000000">
      <w:pPr>
        <w:pBdr>
          <w:top w:val="nil"/>
          <w:left w:val="nil"/>
          <w:bottom w:val="nil"/>
          <w:right w:val="nil"/>
          <w:between w:val="nil"/>
        </w:pBdr>
        <w:spacing w:after="0" w:line="240" w:lineRule="auto"/>
        <w:ind w:left="-709"/>
        <w:jc w:val="center"/>
        <w:rPr>
          <w:rFonts w:ascii="Century Schoolbook" w:eastAsia="Century Schoolbook" w:hAnsi="Century Schoolbook" w:cs="Century Schoolbook"/>
          <w:b/>
          <w:bCs/>
          <w:color w:val="000000"/>
          <w:sz w:val="24"/>
          <w:szCs w:val="24"/>
        </w:rPr>
      </w:pPr>
      <w:bookmarkStart w:id="0" w:name="_heading=h.korkcy76i01k" w:colFirst="0" w:colLast="0"/>
      <w:bookmarkEnd w:id="0"/>
      <w:r>
        <w:rPr>
          <w:noProof/>
          <w:color w:val="000000"/>
        </w:rPr>
        <w:drawing>
          <wp:inline distT="0" distB="0" distL="0" distR="0" wp14:anchorId="5985A362" wp14:editId="76D9CA41">
            <wp:extent cx="6946900" cy="105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946900" cy="1054100"/>
                    </a:xfrm>
                    <a:prstGeom prst="rect">
                      <a:avLst/>
                    </a:prstGeom>
                    <a:ln/>
                  </pic:spPr>
                </pic:pic>
              </a:graphicData>
            </a:graphic>
          </wp:inline>
        </w:drawing>
      </w:r>
    </w:p>
    <w:p w14:paraId="2F5647BF" w14:textId="77777777" w:rsidR="00A82D3C" w:rsidRDefault="00A82D3C">
      <w:pPr>
        <w:pBdr>
          <w:top w:val="nil"/>
          <w:left w:val="nil"/>
          <w:bottom w:val="nil"/>
          <w:right w:val="nil"/>
          <w:between w:val="nil"/>
        </w:pBdr>
        <w:spacing w:after="0" w:line="240" w:lineRule="auto"/>
        <w:jc w:val="center"/>
        <w:rPr>
          <w:rFonts w:ascii="Century Schoolbook" w:eastAsia="Century Schoolbook" w:hAnsi="Century Schoolbook" w:cs="Century Schoolbook"/>
          <w:b/>
          <w:bCs/>
          <w:color w:val="000000"/>
          <w:sz w:val="24"/>
          <w:szCs w:val="24"/>
        </w:rPr>
      </w:pPr>
    </w:p>
    <w:p w14:paraId="1C0B244F" w14:textId="77777777" w:rsidR="00A82D3C" w:rsidRDefault="00000000">
      <w:pPr>
        <w:spacing w:line="480" w:lineRule="auto"/>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sz w:val="32"/>
          <w:szCs w:val="32"/>
        </w:rPr>
        <w:t>DEPARTMENT OF COMPUTER SCIENCE AND ENGINEERING (AI &amp; ML)</w:t>
      </w:r>
    </w:p>
    <w:p w14:paraId="727CADD5" w14:textId="77777777" w:rsidR="00A82D3C" w:rsidRDefault="00000000">
      <w:pPr>
        <w:spacing w:after="120" w:line="480" w:lineRule="auto"/>
        <w:jc w:val="center"/>
        <w:rPr>
          <w:color w:val="FF0000"/>
          <w:sz w:val="24"/>
          <w:szCs w:val="24"/>
        </w:rPr>
      </w:pPr>
      <w:r>
        <w:rPr>
          <w:sz w:val="24"/>
          <w:szCs w:val="24"/>
        </w:rPr>
        <w:t>LEGALDOC AI: A PRIVACY-FIRST HYBRID RETRIEVAL-AUGMENTED GENERATION SYSTEM FOR LEGAL DOCUMENT ANALYSIS AND COMPLIANCE AUDITING</w:t>
      </w:r>
      <w:r>
        <w:rPr>
          <w:color w:val="FF0000"/>
          <w:sz w:val="24"/>
          <w:szCs w:val="24"/>
        </w:rPr>
        <w:t xml:space="preserve"> </w:t>
      </w:r>
    </w:p>
    <w:p w14:paraId="3425BAFE"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ARTIFICIAL INTELLIGENCE AND MACHINE LEARNING – AI244AI</w:t>
      </w:r>
    </w:p>
    <w:p w14:paraId="26836A6E"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LAB SEE REPORT</w:t>
      </w:r>
    </w:p>
    <w:p w14:paraId="1A96D4BB" w14:textId="77777777" w:rsidR="00A82D3C" w:rsidRDefault="00A82D3C">
      <w:pPr>
        <w:spacing w:line="240" w:lineRule="auto"/>
        <w:rPr>
          <w:rFonts w:ascii="Times New Roman" w:eastAsia="Times New Roman" w:hAnsi="Times New Roman" w:cs="Times New Roman"/>
          <w:b/>
          <w:bCs/>
          <w:sz w:val="28"/>
          <w:szCs w:val="28"/>
        </w:rPr>
      </w:pPr>
    </w:p>
    <w:p w14:paraId="276BCA73"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Submitted by</w:t>
      </w:r>
    </w:p>
    <w:tbl>
      <w:tblPr>
        <w:tblStyle w:val="a"/>
        <w:tblW w:w="539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697"/>
        <w:gridCol w:w="2697"/>
      </w:tblGrid>
      <w:tr w:rsidR="00A82D3C" w14:paraId="0EAB7A03" w14:textId="77777777">
        <w:trPr>
          <w:trHeight w:val="241"/>
          <w:jc w:val="center"/>
        </w:trPr>
        <w:tc>
          <w:tcPr>
            <w:tcW w:w="2697" w:type="dxa"/>
          </w:tcPr>
          <w:p w14:paraId="6D426050" w14:textId="77777777" w:rsidR="00A82D3C" w:rsidRDefault="00000000">
            <w:pPr>
              <w:spacing w:after="0" w:line="480" w:lineRule="auto"/>
              <w:jc w:val="center"/>
              <w:rPr>
                <w:rFonts w:ascii="Times New Roman" w:eastAsia="Times New Roman" w:hAnsi="Times New Roman" w:cs="Times New Roman"/>
                <w:color w:val="FF0000"/>
                <w:sz w:val="24"/>
                <w:szCs w:val="24"/>
              </w:rPr>
            </w:pPr>
            <w:bookmarkStart w:id="1" w:name="_heading=h.gjdgxs" w:colFirst="0" w:colLast="0"/>
            <w:bookmarkEnd w:id="1"/>
            <w:r>
              <w:rPr>
                <w:rFonts w:ascii="Times New Roman" w:eastAsia="Times New Roman" w:hAnsi="Times New Roman" w:cs="Times New Roman"/>
                <w:b/>
                <w:bCs/>
                <w:color w:val="FF0000"/>
                <w:sz w:val="24"/>
                <w:szCs w:val="24"/>
                <w:highlight w:val="yellow"/>
              </w:rPr>
              <w:t>Student 1</w:t>
            </w:r>
          </w:p>
        </w:tc>
        <w:tc>
          <w:tcPr>
            <w:tcW w:w="2697" w:type="dxa"/>
          </w:tcPr>
          <w:p w14:paraId="2675C24B"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4E31C294" w14:textId="77777777">
        <w:trPr>
          <w:trHeight w:val="241"/>
          <w:jc w:val="center"/>
        </w:trPr>
        <w:tc>
          <w:tcPr>
            <w:tcW w:w="2697" w:type="dxa"/>
          </w:tcPr>
          <w:p w14:paraId="6374727F"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2</w:t>
            </w:r>
          </w:p>
        </w:tc>
        <w:tc>
          <w:tcPr>
            <w:tcW w:w="2697" w:type="dxa"/>
          </w:tcPr>
          <w:p w14:paraId="05594ED4"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53ECE3D2" w14:textId="77777777">
        <w:trPr>
          <w:trHeight w:val="241"/>
          <w:jc w:val="center"/>
        </w:trPr>
        <w:tc>
          <w:tcPr>
            <w:tcW w:w="2697" w:type="dxa"/>
          </w:tcPr>
          <w:p w14:paraId="66027E02"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3</w:t>
            </w:r>
          </w:p>
        </w:tc>
        <w:tc>
          <w:tcPr>
            <w:tcW w:w="2697" w:type="dxa"/>
          </w:tcPr>
          <w:p w14:paraId="08A8EF31"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r w:rsidR="00A82D3C" w14:paraId="040939FF" w14:textId="77777777">
        <w:trPr>
          <w:trHeight w:val="241"/>
          <w:jc w:val="center"/>
        </w:trPr>
        <w:tc>
          <w:tcPr>
            <w:tcW w:w="2697" w:type="dxa"/>
          </w:tcPr>
          <w:p w14:paraId="41ECD1E5"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 xml:space="preserve">Student </w:t>
            </w:r>
            <w:r>
              <w:rPr>
                <w:rFonts w:ascii="Times New Roman" w:eastAsia="Times New Roman" w:hAnsi="Times New Roman" w:cs="Times New Roman"/>
                <w:b/>
                <w:bCs/>
                <w:color w:val="FF0000"/>
                <w:sz w:val="24"/>
                <w:szCs w:val="24"/>
              </w:rPr>
              <w:t>4</w:t>
            </w:r>
          </w:p>
        </w:tc>
        <w:tc>
          <w:tcPr>
            <w:tcW w:w="2697" w:type="dxa"/>
          </w:tcPr>
          <w:p w14:paraId="353D1988" w14:textId="77777777" w:rsidR="00A82D3C" w:rsidRDefault="00000000">
            <w:pPr>
              <w:spacing w:after="0"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highlight w:val="yellow"/>
              </w:rPr>
              <w:t>USN</w:t>
            </w:r>
          </w:p>
        </w:tc>
      </w:tr>
    </w:tbl>
    <w:p w14:paraId="710298F7"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tbl>
      <w:tblPr>
        <w:tblStyle w:val="a0"/>
        <w:tblW w:w="9350" w:type="dxa"/>
        <w:tblInd w:w="108" w:type="dxa"/>
        <w:tblLayout w:type="fixed"/>
        <w:tblLook w:val="0400" w:firstRow="0" w:lastRow="0" w:firstColumn="0" w:lastColumn="0" w:noHBand="0" w:noVBand="1"/>
      </w:tblPr>
      <w:tblGrid>
        <w:gridCol w:w="9350"/>
      </w:tblGrid>
      <w:tr w:rsidR="00A82D3C" w14:paraId="7C17E443" w14:textId="77777777">
        <w:tc>
          <w:tcPr>
            <w:tcW w:w="9350" w:type="dxa"/>
          </w:tcPr>
          <w:p w14:paraId="0BB337D1" w14:textId="77777777" w:rsidR="00A82D3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Incharge</w:t>
            </w:r>
          </w:p>
          <w:p w14:paraId="7570F89B" w14:textId="77777777" w:rsidR="00A82D3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p w14:paraId="09FE4E8B" w14:textId="77777777" w:rsidR="00A82D3C" w:rsidRDefault="00A82D3C">
            <w:pPr>
              <w:rPr>
                <w:rFonts w:ascii="Times New Roman" w:eastAsia="Times New Roman" w:hAnsi="Times New Roman" w:cs="Times New Roman"/>
                <w:i/>
                <w:iCs/>
                <w:sz w:val="24"/>
                <w:szCs w:val="24"/>
              </w:rPr>
            </w:pPr>
          </w:p>
        </w:tc>
      </w:tr>
    </w:tbl>
    <w:p w14:paraId="3B9CE044" w14:textId="77777777" w:rsidR="00A82D3C" w:rsidRDefault="00000000">
      <w:pPr>
        <w:spacing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 partial fulfilment for the award of degree of</w:t>
      </w:r>
    </w:p>
    <w:p w14:paraId="0C546959" w14:textId="77777777" w:rsidR="00A82D3C"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Bachelor of Engineering</w:t>
      </w:r>
      <w:r>
        <w:rPr>
          <w:rFonts w:ascii="Times New Roman" w:eastAsia="Times New Roman" w:hAnsi="Times New Roman" w:cs="Times New Roman"/>
          <w:sz w:val="28"/>
          <w:szCs w:val="28"/>
        </w:rPr>
        <w:t xml:space="preserve"> </w:t>
      </w:r>
    </w:p>
    <w:p w14:paraId="1D5A2A3D" w14:textId="77777777" w:rsidR="00A82D3C" w:rsidRDefault="00000000">
      <w:pPr>
        <w:tabs>
          <w:tab w:val="left" w:pos="252"/>
          <w:tab w:val="center" w:pos="4808"/>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in</w:t>
      </w:r>
    </w:p>
    <w:p w14:paraId="271334C3" w14:textId="77777777" w:rsidR="00A82D3C"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Artificial Intelligence and Machine Learning</w:t>
      </w:r>
    </w:p>
    <w:p w14:paraId="26DBE513" w14:textId="77777777" w:rsidR="00A82D3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2024-2025</w:t>
      </w:r>
    </w:p>
    <w:p w14:paraId="5CEFC146" w14:textId="77777777" w:rsidR="00A82D3C" w:rsidRDefault="00A82D3C">
      <w:pPr>
        <w:jc w:val="center"/>
      </w:pPr>
    </w:p>
    <w:p w14:paraId="74D67D2F" w14:textId="77777777" w:rsidR="00A82D3C" w:rsidRDefault="00A82D3C">
      <w:pPr>
        <w:jc w:val="center"/>
      </w:pPr>
    </w:p>
    <w:p w14:paraId="638D5D59" w14:textId="77777777" w:rsidR="00A82D3C" w:rsidRDefault="00000000">
      <w:pPr>
        <w:jc w:val="center"/>
      </w:pPr>
      <w:r>
        <w:rPr>
          <w:rFonts w:ascii="Times New Roman" w:eastAsia="Times New Roman" w:hAnsi="Times New Roman" w:cs="Times New Roman"/>
          <w:b/>
          <w:bCs/>
          <w:noProof/>
          <w:sz w:val="24"/>
          <w:szCs w:val="24"/>
        </w:rPr>
        <w:drawing>
          <wp:inline distT="0" distB="0" distL="0" distR="0" wp14:anchorId="1C310FC9" wp14:editId="2137425A">
            <wp:extent cx="4489450" cy="18351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89450" cy="1835150"/>
                    </a:xfrm>
                    <a:prstGeom prst="rect">
                      <a:avLst/>
                    </a:prstGeom>
                    <a:ln/>
                  </pic:spPr>
                </pic:pic>
              </a:graphicData>
            </a:graphic>
          </wp:inline>
        </w:drawing>
      </w:r>
    </w:p>
    <w:p w14:paraId="4143011D" w14:textId="77777777" w:rsidR="00A82D3C" w:rsidRDefault="00A82D3C">
      <w:pPr>
        <w:spacing w:after="0"/>
        <w:jc w:val="center"/>
        <w:rPr>
          <w:rFonts w:ascii="Times New Roman" w:eastAsia="Times New Roman" w:hAnsi="Times New Roman" w:cs="Times New Roman"/>
          <w:sz w:val="28"/>
          <w:szCs w:val="28"/>
        </w:rPr>
      </w:pPr>
    </w:p>
    <w:p w14:paraId="428E90F3" w14:textId="77777777" w:rsidR="00A82D3C"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6"/>
          <w:szCs w:val="36"/>
        </w:rPr>
        <w:t>CERTIFICATE</w:t>
      </w:r>
    </w:p>
    <w:p w14:paraId="725B84D4" w14:textId="77777777" w:rsidR="00A82D3C" w:rsidRDefault="00A82D3C">
      <w:pPr>
        <w:spacing w:after="0"/>
        <w:jc w:val="center"/>
        <w:rPr>
          <w:rFonts w:ascii="Times New Roman" w:eastAsia="Times New Roman" w:hAnsi="Times New Roman" w:cs="Times New Roman"/>
          <w:b/>
          <w:bCs/>
          <w:sz w:val="28"/>
          <w:szCs w:val="28"/>
        </w:rPr>
      </w:pPr>
    </w:p>
    <w:p w14:paraId="3C03AEF4" w14:textId="77777777" w:rsidR="00A82D3C" w:rsidRDefault="00000000">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Certified that the project work titled </w:t>
      </w:r>
      <w:r>
        <w:rPr>
          <w:rFonts w:ascii="Times New Roman" w:eastAsia="Times New Roman" w:hAnsi="Times New Roman" w:cs="Times New Roman"/>
          <w:b/>
          <w:bCs/>
          <w:i/>
          <w:iCs/>
          <w:color w:val="000000"/>
          <w:sz w:val="24"/>
          <w:szCs w:val="24"/>
        </w:rPr>
        <w:t>‘LegalDoc AI: A Privacy-First Hybrid Retrieval-Augmented Generation System for Legal Document Analysis and Compliance Auditing’</w:t>
      </w:r>
      <w:r>
        <w:rPr>
          <w:rFonts w:ascii="Times New Roman" w:eastAsia="Times New Roman" w:hAnsi="Times New Roman" w:cs="Times New Roman"/>
          <w:color w:val="000000"/>
          <w:sz w:val="24"/>
          <w:szCs w:val="24"/>
        </w:rPr>
        <w:t xml:space="preserve"> is carried out by </w:t>
      </w:r>
      <w:r>
        <w:rPr>
          <w:rFonts w:ascii="Times New Roman" w:eastAsia="Times New Roman" w:hAnsi="Times New Roman" w:cs="Times New Roman"/>
          <w:b/>
          <w:bCs/>
          <w:color w:val="000000"/>
          <w:sz w:val="24"/>
          <w:szCs w:val="24"/>
        </w:rPr>
        <w:t>Student Name (USN), Student Name (USN), and Student Name (USN)</w:t>
      </w:r>
      <w:r>
        <w:rPr>
          <w:rFonts w:ascii="Times New Roman" w:eastAsia="Times New Roman" w:hAnsi="Times New Roman" w:cs="Times New Roman"/>
          <w:color w:val="000000"/>
          <w:sz w:val="24"/>
          <w:szCs w:val="24"/>
        </w:rPr>
        <w:t xml:space="preserve"> who are bonafide students of RV College of Engineering, Bengaluru, in partial fulfilment for the award of degree of </w:t>
      </w:r>
      <w:r>
        <w:rPr>
          <w:rFonts w:ascii="Times New Roman" w:eastAsia="Times New Roman" w:hAnsi="Times New Roman" w:cs="Times New Roman"/>
          <w:b/>
          <w:bCs/>
          <w:color w:val="000000"/>
          <w:sz w:val="24"/>
          <w:szCs w:val="24"/>
        </w:rPr>
        <w:t>Bachelor of Engineering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in Artificial Intelligence and Machine Learning</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b/>
          <w:bCs/>
          <w:color w:val="000000"/>
          <w:sz w:val="24"/>
          <w:szCs w:val="24"/>
        </w:rPr>
        <w:t>Visvesvaraya Technological University</w:t>
      </w:r>
      <w:r>
        <w:rPr>
          <w:rFonts w:ascii="Times New Roman" w:eastAsia="Times New Roman" w:hAnsi="Times New Roman" w:cs="Times New Roman"/>
          <w:color w:val="000000"/>
          <w:sz w:val="24"/>
          <w:szCs w:val="24"/>
        </w:rPr>
        <w:t>,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14:paraId="745B9CE1" w14:textId="77777777" w:rsidR="00A82D3C"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99E668F" w14:textId="77777777" w:rsidR="00A82D3C" w:rsidRDefault="00A82D3C">
      <w:pPr>
        <w:pBdr>
          <w:top w:val="nil"/>
          <w:left w:val="nil"/>
          <w:bottom w:val="nil"/>
          <w:right w:val="nil"/>
          <w:between w:val="nil"/>
        </w:pBdr>
        <w:spacing w:after="0"/>
        <w:rPr>
          <w:rFonts w:ascii="Times New Roman" w:eastAsia="Times New Roman" w:hAnsi="Times New Roman" w:cs="Times New Roman"/>
          <w:color w:val="000000"/>
          <w:sz w:val="24"/>
          <w:szCs w:val="24"/>
        </w:rPr>
      </w:pPr>
    </w:p>
    <w:p w14:paraId="4CD181D8"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Signature of Faculty     </w:t>
        <w:tab/>
        <w:tab/>
        <w:tab/>
        <w:tab/>
        <w:tab/>
        <w:t xml:space="preserve">Signature of Head of the Department            </w:t>
      </w:r>
    </w:p>
    <w:p w14:paraId="1C6F2C17" w14:textId="77777777" w:rsidR="00A82D3C" w:rsidRDefault="00000000">
      <w:pPr>
        <w:ind w:firstLine="36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tab/>
        <w:tab/>
        <w:tab/>
        <w:tab/>
        <w:tab/>
        <w:t xml:space="preserve">                   </w:t>
      </w:r>
    </w:p>
    <w:p w14:paraId="6FFB220E" w14:textId="77777777" w:rsidR="00A82D3C" w:rsidRDefault="00A82D3C">
      <w:pPr>
        <w:rPr>
          <w:rFonts w:ascii="Times New Roman" w:eastAsia="Times New Roman" w:hAnsi="Times New Roman" w:cs="Times New Roman"/>
          <w:b/>
          <w:bCs/>
          <w:sz w:val="24"/>
          <w:szCs w:val="24"/>
        </w:rPr>
      </w:pPr>
    </w:p>
    <w:p w14:paraId="105659AA" w14:textId="77777777" w:rsidR="00A82D3C" w:rsidRDefault="00000000">
      <w:pPr>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Viva</w:t>
      </w:r>
    </w:p>
    <w:p w14:paraId="5BBA9BDC"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Name of Examiners</w:t>
        <w:tab/>
        <w:tab/>
        <w:tab/>
        <w:tab/>
        <w:tab/>
        <w:t>Signature with Date</w:t>
      </w:r>
    </w:p>
    <w:p w14:paraId="20FA1D3E"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p w14:paraId="36409097" w14:textId="77777777" w:rsidR="00A82D3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p w14:paraId="65F7CC1E" w14:textId="77777777" w:rsidR="00A82D3C" w:rsidRDefault="00A82D3C">
      <w:pPr>
        <w:spacing w:after="0"/>
        <w:jc w:val="center"/>
        <w:rPr>
          <w:rFonts w:ascii="Times New Roman" w:eastAsia="Times New Roman" w:hAnsi="Times New Roman" w:cs="Times New Roman"/>
          <w:b/>
          <w:bCs/>
          <w:sz w:val="36"/>
          <w:szCs w:val="36"/>
        </w:rPr>
      </w:pPr>
    </w:p>
    <w:p w14:paraId="6E5E7DE0" w14:textId="77777777" w:rsidR="00A82D3C" w:rsidRDefault="00A82D3C">
      <w:pPr>
        <w:spacing w:after="0"/>
        <w:jc w:val="center"/>
        <w:rPr>
          <w:rFonts w:ascii="Times New Roman" w:eastAsia="Times New Roman" w:hAnsi="Times New Roman" w:cs="Times New Roman"/>
          <w:b/>
          <w:bCs/>
          <w:sz w:val="36"/>
          <w:szCs w:val="36"/>
        </w:rPr>
      </w:pPr>
    </w:p>
    <w:p w14:paraId="3A0FF88E" w14:textId="77777777" w:rsidR="00A82D3C" w:rsidRDefault="00A82D3C">
      <w:pPr>
        <w:pBdr>
          <w:top w:val="nil"/>
          <w:left w:val="nil"/>
          <w:bottom w:val="nil"/>
          <w:right w:val="nil"/>
          <w:between w:val="nil"/>
        </w:pBdr>
        <w:spacing w:after="0"/>
        <w:jc w:val="center"/>
        <w:rPr>
          <w:rFonts w:ascii="Arial" w:eastAsia="Arial" w:hAnsi="Arial" w:cs="Arial"/>
          <w:color w:val="000000"/>
          <w:sz w:val="24"/>
          <w:szCs w:val="24"/>
        </w:rPr>
      </w:pPr>
    </w:p>
    <w:p w14:paraId="11BF34EF" w14:textId="77777777" w:rsidR="00A82D3C" w:rsidRDefault="00000000">
      <w:pPr>
        <w:pBdr>
          <w:top w:val="nil"/>
          <w:left w:val="nil"/>
          <w:bottom w:val="nil"/>
          <w:right w:val="nil"/>
          <w:between w:val="nil"/>
        </w:pBdr>
        <w:spacing w:after="0"/>
        <w:jc w:val="center"/>
        <w:rPr>
          <w:rFonts w:ascii="Arial" w:eastAsia="Arial" w:hAnsi="Arial" w:cs="Arial"/>
          <w:color w:val="000000"/>
          <w:sz w:val="24"/>
          <w:szCs w:val="24"/>
        </w:rPr>
      </w:pPr>
      <w:r>
        <w:rPr>
          <w:rFonts w:ascii="Times New Roman" w:eastAsia="Times New Roman" w:hAnsi="Times New Roman" w:cs="Times New Roman"/>
          <w:b/>
          <w:bCs/>
          <w:noProof/>
          <w:color w:val="000000"/>
          <w:sz w:val="32"/>
          <w:szCs w:val="32"/>
        </w:rPr>
        <w:lastRenderedPageBreak/>
        <w:drawing>
          <wp:inline distT="0" distB="0" distL="0" distR="0" wp14:anchorId="5FF9303D" wp14:editId="75BC812E">
            <wp:extent cx="4953000" cy="20256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953000" cy="2025650"/>
                    </a:xfrm>
                    <a:prstGeom prst="rect">
                      <a:avLst/>
                    </a:prstGeom>
                    <a:ln/>
                  </pic:spPr>
                </pic:pic>
              </a:graphicData>
            </a:graphic>
          </wp:inline>
        </w:drawing>
      </w:r>
    </w:p>
    <w:p w14:paraId="6F5E6407" w14:textId="77777777" w:rsidR="00A82D3C" w:rsidRDefault="00A82D3C">
      <w:pPr>
        <w:pBdr>
          <w:top w:val="nil"/>
          <w:left w:val="nil"/>
          <w:bottom w:val="nil"/>
          <w:right w:val="nil"/>
          <w:between w:val="nil"/>
        </w:pBdr>
        <w:spacing w:after="0"/>
        <w:jc w:val="center"/>
        <w:rPr>
          <w:rFonts w:ascii="Arial" w:eastAsia="Arial" w:hAnsi="Arial" w:cs="Arial"/>
          <w:color w:val="000000"/>
          <w:sz w:val="24"/>
          <w:szCs w:val="24"/>
        </w:rPr>
      </w:pPr>
    </w:p>
    <w:p w14:paraId="13304B05" w14:textId="77777777" w:rsidR="00A82D3C" w:rsidRDefault="00000000">
      <w:pPr>
        <w:pBdr>
          <w:top w:val="nil"/>
          <w:left w:val="nil"/>
          <w:bottom w:val="nil"/>
          <w:right w:val="nil"/>
          <w:between w:val="nil"/>
        </w:pBdr>
        <w:spacing w:after="0"/>
        <w:jc w:val="center"/>
        <w:rPr>
          <w:rFonts w:ascii="Arial" w:eastAsia="Arial" w:hAnsi="Arial" w:cs="Arial"/>
          <w:b/>
          <w:bCs/>
          <w:color w:val="000000"/>
          <w:sz w:val="32"/>
          <w:szCs w:val="32"/>
        </w:rPr>
      </w:pPr>
      <w:r>
        <w:rPr>
          <w:rFonts w:ascii="Times New Roman" w:eastAsia="Times New Roman" w:hAnsi="Times New Roman" w:cs="Times New Roman"/>
          <w:b/>
          <w:bCs/>
          <w:color w:val="000000"/>
          <w:sz w:val="32"/>
          <w:szCs w:val="32"/>
        </w:rPr>
        <w:t>DECLARATION</w:t>
      </w:r>
    </w:p>
    <w:p w14:paraId="3EBAB6A3" w14:textId="77777777" w:rsidR="00A82D3C" w:rsidRDefault="00A82D3C">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1BFD716B" w14:textId="77777777" w:rsidR="00A82D3C"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We</w:t>
      </w:r>
      <w:r>
        <w:rPr>
          <w:rFonts w:ascii="Times New Roman" w:eastAsia="Times New Roman" w:hAnsi="Times New Roman" w:cs="Times New Roman"/>
          <w:b/>
          <w:bCs/>
          <w:color w:val="000000"/>
          <w:sz w:val="24"/>
          <w:szCs w:val="24"/>
        </w:rPr>
        <w:t>, Student Names,</w:t>
      </w:r>
      <w:r>
        <w:rPr>
          <w:rFonts w:ascii="Times New Roman" w:eastAsia="Times New Roman" w:hAnsi="Times New Roman" w:cs="Times New Roman"/>
          <w:color w:val="000000"/>
          <w:sz w:val="24"/>
          <w:szCs w:val="24"/>
        </w:rPr>
        <w:t xml:space="preserve"> students of fourth semester B.E., department of AI &amp; ML, RV College of Engineering, Bengaluru, hereby declare that Experiential Learning (Lab) titled </w:t>
      </w:r>
      <w:r>
        <w:rPr>
          <w:rFonts w:ascii="Times New Roman" w:eastAsia="Times New Roman" w:hAnsi="Times New Roman" w:cs="Times New Roman"/>
          <w:b/>
          <w:bCs/>
          <w:i/>
          <w:iCs/>
          <w:color w:val="000000"/>
          <w:sz w:val="24"/>
          <w:szCs w:val="24"/>
        </w:rPr>
        <w:t>‘LegalDoc AI: A Privacy-First Hybrid Retrieval-Augmented Generation System for Legal Document Analysis and Compliance Auditing’</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has been carried out by us and submitted in partial fulfilment for the award of degree of </w:t>
      </w:r>
      <w:r>
        <w:rPr>
          <w:rFonts w:ascii="Times New Roman" w:eastAsia="Times New Roman" w:hAnsi="Times New Roman" w:cs="Times New Roman"/>
          <w:b/>
          <w:bCs/>
          <w:color w:val="000000"/>
          <w:sz w:val="24"/>
          <w:szCs w:val="24"/>
        </w:rPr>
        <w:t>Bachelor of Engineering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in Artificial Intelligence and Machine Learning</w:t>
      </w:r>
      <w:r>
        <w:rPr>
          <w:rFonts w:ascii="Times New Roman" w:eastAsia="Times New Roman" w:hAnsi="Times New Roman" w:cs="Times New Roman"/>
          <w:color w:val="000000"/>
          <w:sz w:val="24"/>
          <w:szCs w:val="24"/>
        </w:rPr>
        <w:t xml:space="preserve"> during the academic year 202</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-2</w:t>
      </w:r>
      <w:r>
        <w:rPr>
          <w:rFonts w:ascii="Times New Roman" w:eastAsia="Times New Roman" w:hAnsi="Times New Roman" w:cs="Times New Roman"/>
          <w:sz w:val="24"/>
          <w:szCs w:val="24"/>
        </w:rPr>
        <w:t>6</w:t>
      </w:r>
      <w:r>
        <w:rPr>
          <w:rFonts w:ascii="Times New Roman" w:eastAsia="Times New Roman" w:hAnsi="Times New Roman" w:cs="Times New Roman"/>
          <w:b/>
          <w:bCs/>
          <w:color w:val="000000"/>
          <w:sz w:val="24"/>
          <w:szCs w:val="24"/>
        </w:rPr>
        <w:t xml:space="preserve">  </w:t>
      </w:r>
    </w:p>
    <w:p w14:paraId="64F4E66B" w14:textId="77777777" w:rsidR="00A82D3C" w:rsidRDefault="00A82D3C">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22387AD4" w14:textId="77777777" w:rsidR="00A82D3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declare that any Intellectual Property Rights generated out of this project carried out at RVCE will be the property of RV College of Engineering, Bengaluru and we will be one of the authors of the same.</w:t>
      </w:r>
    </w:p>
    <w:p w14:paraId="6BCCD654" w14:textId="77777777" w:rsidR="00A82D3C" w:rsidRDefault="00000000">
      <w:pPr>
        <w:pBdr>
          <w:top w:val="nil"/>
          <w:left w:val="nil"/>
          <w:bottom w:val="nil"/>
          <w:right w:val="nil"/>
          <w:between w:val="nil"/>
        </w:pBdr>
        <w:spacing w:after="0"/>
        <w:rPr>
          <w:rFonts w:ascii="Arial" w:eastAsia="Arial" w:hAnsi="Arial" w:cs="Arial"/>
          <w:color w:val="000000"/>
          <w:sz w:val="2"/>
          <w:szCs w:val="2"/>
        </w:rPr>
      </w:pPr>
      <w:r>
        <w:rPr>
          <w:rFonts w:ascii="Arial" w:eastAsia="Arial" w:hAnsi="Arial" w:cs="Arial"/>
          <w:color w:val="000000"/>
          <w:sz w:val="2"/>
          <w:szCs w:val="2"/>
        </w:rPr>
        <w:t>[</w:t>
      </w:r>
    </w:p>
    <w:p w14:paraId="2C474103"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 </w:t>
      </w:r>
    </w:p>
    <w:p w14:paraId="4495EA87"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Place: Bengaluru                                                  </w:t>
        <w:tab/>
        <w:t xml:space="preserve">                   </w:t>
        <w:tab/>
        <w:tab/>
        <w:tab/>
      </w:r>
    </w:p>
    <w:p w14:paraId="46532019" w14:textId="77777777" w:rsidR="00A82D3C" w:rsidRDefault="00000000">
      <w:pPr>
        <w:pBdr>
          <w:top w:val="nil"/>
          <w:left w:val="nil"/>
          <w:bottom w:val="nil"/>
          <w:right w:val="nil"/>
          <w:between w:val="nil"/>
        </w:pBdr>
        <w:spacing w:after="0"/>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 </w:t>
      </w:r>
    </w:p>
    <w:p w14:paraId="7E033DDD"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p w14:paraId="5D693EDF"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99DC6F5"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Name                                                                                            Signature</w:t>
      </w:r>
      <w:r>
        <w:rPr>
          <w:rFonts w:ascii="Times New Roman" w:eastAsia="Times New Roman" w:hAnsi="Times New Roman" w:cs="Times New Roman"/>
          <w:color w:val="000000"/>
          <w:sz w:val="24"/>
          <w:szCs w:val="24"/>
        </w:rPr>
        <w:t xml:space="preserve"> </w:t>
      </w:r>
    </w:p>
    <w:p w14:paraId="24E66598" w14:textId="77777777" w:rsidR="00A82D3C" w:rsidRDefault="000000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NAME 1 (USN)</w:t>
      </w:r>
    </w:p>
    <w:p w14:paraId="35D441B9"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AEA3751"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7658E17C" w14:textId="77777777" w:rsidR="00A82D3C" w:rsidRDefault="00A82D3C">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ACF41B1" w14:textId="77777777" w:rsidR="00A82D3C" w:rsidRDefault="00A82D3C">
      <w:pPr>
        <w:spacing w:after="0"/>
        <w:jc w:val="center"/>
        <w:rPr>
          <w:rFonts w:ascii="Times New Roman" w:eastAsia="Times New Roman" w:hAnsi="Times New Roman" w:cs="Times New Roman"/>
          <w:b/>
          <w:bCs/>
          <w:smallCaps/>
          <w:sz w:val="28"/>
          <w:szCs w:val="28"/>
        </w:rPr>
      </w:pPr>
    </w:p>
    <w:p w14:paraId="0C17EFA8"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lastRenderedPageBreak/>
        <w:t xml:space="preserve">Abstract </w:t>
      </w:r>
    </w:p>
    <w:p w14:paraId="0D51B708" w14:textId="77777777" w:rsidR="00A82D3C" w:rsidRDefault="00A82D3C">
      <w:pPr>
        <w:spacing w:after="0"/>
        <w:jc w:val="center"/>
        <w:rPr>
          <w:rFonts w:ascii="Times New Roman" w:eastAsia="Times New Roman" w:hAnsi="Times New Roman" w:cs="Times New Roman"/>
          <w:sz w:val="28"/>
          <w:szCs w:val="28"/>
        </w:rPr>
      </w:pPr>
    </w:p>
    <w:p w14:paraId="12E76DD3" w14:textId="77777777" w:rsidR="00A82D3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4"/>
          <w:szCs w:val="24"/>
        </w:rPr>
        <w:t>Legal documents such as contracts, non-disclosure agreements, and court judgments are dense, lengthy, and written in specialized language that makes manual review slow, expensive, and error-prone. Existing AI-assisted contract-review tools are largely cloud-based, subscription-priced, and opaque about how they retrieve information, which puts them out of reach for individuals, students, and small businesses who need to understand a document before signing it.</w:t>
      </w:r>
    </w:p>
    <w:p w14:paraId="536CE8CE"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LegalDoc AI, a standalone desktop application built around a hybrid Retrieval-Augmented Generation (RAG) engine that runs entirely on the user’s own machine. Documents are split into overlapping chunks and indexed twice – once with FAISS for dense semantic search using ONNX-quantized MiniLM embeddings, and once with BM25 for sparse keyword search – and the two result sets are fused with a tunable weighting scheme so that both conceptual questions and exact-term lookups (e.g., “indemnification”, “force majeure”) are answered accurately. The retrieved passages are passed to a locally hosted LLM (Llama 3.2 via Ollama) or, optionally, to OpenAI’s GPT-4o-mini, which streams a cited answer back to the user. Beyond question-answering, the system performs a structured 10-clause compliance audit benchmarked against the Contract Understanding Atticus Dataset (CUAD) of 510 real-world contracts, a fairness/negotiation-leverage analysis, and an adversarial negotiation-practice mode where the AI role-plays opposing counsel.</w:t>
      </w:r>
    </w:p>
    <w:p w14:paraId="7808B42C"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validated on three full-length U.S. Supreme Court opinions (62 to 237 pages) obtained from supremecourt.gov, achieving cold-index times of 6.6 to 26.6 seconds, sub-second (0.1 to 0.2 second) re-opening via fingerprint-based caching, retrieval latency of 25 to 36 milliseconds, and correctly grounded, source-cited answers to substantive legal questions in every test case. The result is a tool that is free, fully offline-capable, and demonstrably faster than the cloud-based baseline it was built to improve upon – useful to law students, solo practitioners, small businesses, and any individual who needs a clear, private, evidence-backed read of a legal document before acting on it.</w:t>
      </w:r>
    </w:p>
    <w:p w14:paraId="4E007746" w14:textId="77777777" w:rsidR="00A82D3C" w:rsidRDefault="00A82D3C">
      <w:pPr>
        <w:spacing w:after="0"/>
        <w:jc w:val="center"/>
        <w:rPr>
          <w:rFonts w:ascii="Times New Roman" w:eastAsia="Times New Roman" w:hAnsi="Times New Roman" w:cs="Times New Roman"/>
          <w:sz w:val="28"/>
          <w:szCs w:val="28"/>
        </w:rPr>
      </w:pPr>
    </w:p>
    <w:p w14:paraId="02ECA455" w14:textId="77777777" w:rsidR="00A82D3C" w:rsidRDefault="00A82D3C">
      <w:pPr>
        <w:spacing w:after="0"/>
        <w:jc w:val="both"/>
        <w:rPr>
          <w:rFonts w:ascii="Times New Roman" w:eastAsia="Times New Roman" w:hAnsi="Times New Roman" w:cs="Times New Roman"/>
          <w:smallCaps/>
          <w:sz w:val="28"/>
          <w:szCs w:val="28"/>
        </w:rPr>
      </w:pPr>
    </w:p>
    <w:p w14:paraId="4B68FF09" w14:textId="77777777" w:rsidR="00A82D3C" w:rsidRDefault="00A82D3C">
      <w:pPr>
        <w:spacing w:after="0"/>
        <w:jc w:val="center"/>
        <w:rPr>
          <w:rFonts w:ascii="Times New Roman" w:eastAsia="Times New Roman" w:hAnsi="Times New Roman" w:cs="Times New Roman"/>
          <w:b/>
          <w:bCs/>
          <w:smallCaps/>
          <w:sz w:val="28"/>
          <w:szCs w:val="28"/>
        </w:rPr>
      </w:pPr>
    </w:p>
    <w:p w14:paraId="160CD1EB" w14:textId="77777777" w:rsidR="00A82D3C" w:rsidRDefault="00A82D3C">
      <w:pPr>
        <w:spacing w:after="0"/>
        <w:jc w:val="center"/>
        <w:rPr>
          <w:rFonts w:ascii="Times New Roman" w:eastAsia="Times New Roman" w:hAnsi="Times New Roman" w:cs="Times New Roman"/>
          <w:b/>
          <w:bCs/>
          <w:smallCaps/>
          <w:sz w:val="28"/>
          <w:szCs w:val="28"/>
        </w:rPr>
      </w:pPr>
    </w:p>
    <w:p w14:paraId="04DDE018" w14:textId="77777777" w:rsidR="00A82D3C" w:rsidRDefault="00A82D3C">
      <w:pPr>
        <w:spacing w:after="0"/>
        <w:jc w:val="center"/>
        <w:rPr>
          <w:rFonts w:ascii="Times New Roman" w:eastAsia="Times New Roman" w:hAnsi="Times New Roman" w:cs="Times New Roman"/>
          <w:b/>
          <w:bCs/>
          <w:smallCaps/>
          <w:sz w:val="28"/>
          <w:szCs w:val="28"/>
        </w:rPr>
      </w:pPr>
    </w:p>
    <w:p w14:paraId="4EEAA347" w14:textId="77777777" w:rsidR="00A82D3C" w:rsidRDefault="00A82D3C">
      <w:pPr>
        <w:spacing w:after="0"/>
        <w:jc w:val="center"/>
        <w:rPr>
          <w:rFonts w:ascii="Times New Roman" w:eastAsia="Times New Roman" w:hAnsi="Times New Roman" w:cs="Times New Roman"/>
          <w:b/>
          <w:bCs/>
          <w:smallCaps/>
          <w:sz w:val="28"/>
          <w:szCs w:val="28"/>
        </w:rPr>
      </w:pPr>
    </w:p>
    <w:p w14:paraId="1A86BB3A" w14:textId="77777777" w:rsidR="00A82D3C" w:rsidRDefault="00A82D3C">
      <w:pPr>
        <w:spacing w:after="0"/>
        <w:jc w:val="center"/>
        <w:rPr>
          <w:rFonts w:ascii="Times New Roman" w:eastAsia="Times New Roman" w:hAnsi="Times New Roman" w:cs="Times New Roman"/>
          <w:b/>
          <w:bCs/>
          <w:smallCaps/>
          <w:sz w:val="28"/>
          <w:szCs w:val="28"/>
        </w:rPr>
      </w:pPr>
    </w:p>
    <w:p w14:paraId="3DC97125" w14:textId="77777777" w:rsidR="00A82D3C" w:rsidRDefault="00A82D3C">
      <w:pPr>
        <w:spacing w:after="0"/>
        <w:jc w:val="center"/>
        <w:rPr>
          <w:rFonts w:ascii="Times New Roman" w:eastAsia="Times New Roman" w:hAnsi="Times New Roman" w:cs="Times New Roman"/>
          <w:b/>
          <w:bCs/>
          <w:smallCaps/>
          <w:sz w:val="28"/>
          <w:szCs w:val="28"/>
        </w:rPr>
      </w:pPr>
    </w:p>
    <w:p w14:paraId="74066072" w14:textId="77777777" w:rsidR="00A82D3C" w:rsidRDefault="00A82D3C">
      <w:pPr>
        <w:spacing w:after="0"/>
        <w:jc w:val="center"/>
        <w:rPr>
          <w:rFonts w:ascii="Times New Roman" w:eastAsia="Times New Roman" w:hAnsi="Times New Roman" w:cs="Times New Roman"/>
          <w:b/>
          <w:bCs/>
          <w:smallCaps/>
          <w:sz w:val="28"/>
          <w:szCs w:val="28"/>
        </w:rPr>
      </w:pPr>
    </w:p>
    <w:p w14:paraId="33AEE49C" w14:textId="77777777" w:rsidR="00A82D3C" w:rsidRDefault="00A82D3C">
      <w:pPr>
        <w:spacing w:after="0"/>
        <w:jc w:val="center"/>
        <w:rPr>
          <w:rFonts w:ascii="Times New Roman" w:eastAsia="Times New Roman" w:hAnsi="Times New Roman" w:cs="Times New Roman"/>
          <w:b/>
          <w:bCs/>
          <w:smallCaps/>
          <w:sz w:val="28"/>
          <w:szCs w:val="28"/>
        </w:rPr>
      </w:pPr>
    </w:p>
    <w:p w14:paraId="5784FD6D" w14:textId="77777777" w:rsidR="00A82D3C" w:rsidRDefault="00A82D3C">
      <w:pPr>
        <w:spacing w:after="0"/>
        <w:jc w:val="center"/>
        <w:rPr>
          <w:rFonts w:ascii="Times New Roman" w:eastAsia="Times New Roman" w:hAnsi="Times New Roman" w:cs="Times New Roman"/>
          <w:b/>
          <w:bCs/>
          <w:smallCaps/>
          <w:sz w:val="28"/>
          <w:szCs w:val="28"/>
        </w:rPr>
      </w:pPr>
    </w:p>
    <w:p w14:paraId="23FB26C0" w14:textId="77777777" w:rsidR="00A82D3C" w:rsidRDefault="00A82D3C">
      <w:pPr>
        <w:spacing w:after="0"/>
        <w:jc w:val="center"/>
        <w:rPr>
          <w:rFonts w:ascii="Times New Roman" w:eastAsia="Times New Roman" w:hAnsi="Times New Roman" w:cs="Times New Roman"/>
          <w:b/>
          <w:bCs/>
          <w:smallCaps/>
          <w:sz w:val="28"/>
          <w:szCs w:val="28"/>
        </w:rPr>
      </w:pPr>
    </w:p>
    <w:p w14:paraId="750A59A8" w14:textId="77777777" w:rsidR="00A82D3C" w:rsidRDefault="00A82D3C">
      <w:pPr>
        <w:spacing w:after="0"/>
        <w:jc w:val="center"/>
        <w:rPr>
          <w:rFonts w:ascii="Times New Roman" w:eastAsia="Times New Roman" w:hAnsi="Times New Roman" w:cs="Times New Roman"/>
          <w:b/>
          <w:bCs/>
          <w:smallCaps/>
          <w:sz w:val="28"/>
          <w:szCs w:val="28"/>
        </w:rPr>
      </w:pPr>
    </w:p>
    <w:p w14:paraId="291E6DEE" w14:textId="77777777" w:rsidR="00A82D3C" w:rsidRDefault="00A82D3C">
      <w:pPr>
        <w:spacing w:after="0"/>
        <w:jc w:val="center"/>
        <w:rPr>
          <w:rFonts w:ascii="Times New Roman" w:eastAsia="Times New Roman" w:hAnsi="Times New Roman" w:cs="Times New Roman"/>
          <w:b/>
          <w:bCs/>
          <w:smallCaps/>
          <w:sz w:val="28"/>
          <w:szCs w:val="28"/>
        </w:rPr>
      </w:pPr>
    </w:p>
    <w:p w14:paraId="0F6C0C85" w14:textId="77777777" w:rsidR="00A82D3C" w:rsidRDefault="00A82D3C">
      <w:pPr>
        <w:spacing w:after="0"/>
        <w:jc w:val="center"/>
        <w:rPr>
          <w:rFonts w:ascii="Times New Roman" w:eastAsia="Times New Roman" w:hAnsi="Times New Roman" w:cs="Times New Roman"/>
          <w:b/>
          <w:bCs/>
          <w:smallCaps/>
          <w:sz w:val="28"/>
          <w:szCs w:val="28"/>
        </w:rPr>
      </w:pPr>
    </w:p>
    <w:p w14:paraId="3F29019D" w14:textId="77777777" w:rsidR="00A82D3C" w:rsidRDefault="00A82D3C">
      <w:pPr>
        <w:spacing w:after="0"/>
        <w:jc w:val="center"/>
        <w:rPr>
          <w:rFonts w:ascii="Times New Roman" w:eastAsia="Times New Roman" w:hAnsi="Times New Roman" w:cs="Times New Roman"/>
          <w:b/>
          <w:bCs/>
          <w:smallCaps/>
          <w:sz w:val="28"/>
          <w:szCs w:val="28"/>
        </w:rPr>
      </w:pPr>
    </w:p>
    <w:p w14:paraId="232FBFD3" w14:textId="77777777" w:rsidR="00A82D3C" w:rsidRDefault="00A82D3C">
      <w:pPr>
        <w:spacing w:after="0"/>
        <w:jc w:val="center"/>
        <w:rPr>
          <w:rFonts w:ascii="Times New Roman" w:eastAsia="Times New Roman" w:hAnsi="Times New Roman" w:cs="Times New Roman"/>
          <w:b/>
          <w:bCs/>
          <w:smallCaps/>
          <w:sz w:val="28"/>
          <w:szCs w:val="28"/>
        </w:rPr>
      </w:pPr>
    </w:p>
    <w:p w14:paraId="79DEC8AE" w14:textId="77777777" w:rsidR="00A82D3C" w:rsidRDefault="00A82D3C">
      <w:pPr>
        <w:spacing w:after="0"/>
        <w:jc w:val="center"/>
        <w:rPr>
          <w:rFonts w:ascii="Times New Roman" w:eastAsia="Times New Roman" w:hAnsi="Times New Roman" w:cs="Times New Roman"/>
          <w:b/>
          <w:bCs/>
          <w:smallCaps/>
          <w:sz w:val="28"/>
          <w:szCs w:val="28"/>
        </w:rPr>
        <w:sectPr w:rsidR="00A82D3C">
          <w:headerReference w:type="even" r:id="rId11"/>
          <w:headerReference w:type="default" r:id="rId12"/>
          <w:footerReference w:type="default" r:id="rId13"/>
          <w:headerReference w:type="first" r:id="rId14"/>
          <w:pgSz w:w="12240" w:h="15840"/>
          <w:pgMar w:top="567" w:right="1183" w:bottom="776" w:left="1440" w:header="568" w:footer="349" w:gutter="0"/>
          <w:pgNumType w:start="1"/>
          <w:cols w:space="720"/>
        </w:sectPr>
      </w:pPr>
    </w:p>
    <w:p w14:paraId="72C5C2E7" w14:textId="77777777" w:rsidR="00A82D3C" w:rsidRDefault="00A82D3C">
      <w:pPr>
        <w:spacing w:after="0"/>
        <w:jc w:val="center"/>
        <w:rPr>
          <w:rFonts w:ascii="Times New Roman" w:eastAsia="Times New Roman" w:hAnsi="Times New Roman" w:cs="Times New Roman"/>
          <w:b/>
          <w:bCs/>
          <w:smallCaps/>
          <w:sz w:val="28"/>
          <w:szCs w:val="28"/>
        </w:rPr>
      </w:pPr>
    </w:p>
    <w:p w14:paraId="27D31653" w14:textId="77777777" w:rsidR="00A82D3C" w:rsidRDefault="00A82D3C">
      <w:pPr>
        <w:spacing w:after="0"/>
        <w:jc w:val="center"/>
        <w:rPr>
          <w:rFonts w:ascii="Times New Roman" w:eastAsia="Times New Roman" w:hAnsi="Times New Roman" w:cs="Times New Roman"/>
          <w:b/>
          <w:bCs/>
          <w:smallCaps/>
          <w:sz w:val="28"/>
          <w:szCs w:val="28"/>
        </w:rPr>
      </w:pPr>
    </w:p>
    <w:p w14:paraId="680C321C" w14:textId="77777777" w:rsidR="00A82D3C" w:rsidRDefault="00A82D3C">
      <w:pPr>
        <w:spacing w:after="0"/>
        <w:jc w:val="center"/>
        <w:rPr>
          <w:rFonts w:ascii="Times New Roman" w:eastAsia="Times New Roman" w:hAnsi="Times New Roman" w:cs="Times New Roman"/>
          <w:b/>
          <w:bCs/>
          <w:smallCaps/>
          <w:sz w:val="28"/>
          <w:szCs w:val="28"/>
        </w:rPr>
      </w:pPr>
    </w:p>
    <w:p w14:paraId="36EB52B6" w14:textId="77777777" w:rsidR="00A82D3C" w:rsidRDefault="00000000">
      <w:pPr>
        <w:spacing w:after="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Table of Contents</w:t>
      </w:r>
    </w:p>
    <w:p w14:paraId="7CD0D13A" w14:textId="77777777" w:rsidR="00A82D3C" w:rsidRDefault="00A82D3C">
      <w:pPr>
        <w:spacing w:after="0"/>
        <w:jc w:val="right"/>
        <w:rPr>
          <w:rFonts w:ascii="Times New Roman" w:eastAsia="Times New Roman" w:hAnsi="Times New Roman" w:cs="Times New Roman"/>
          <w:b/>
          <w:bCs/>
          <w:sz w:val="28"/>
          <w:szCs w:val="28"/>
        </w:rPr>
      </w:pPr>
    </w:p>
    <w:p w14:paraId="71F7985A"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429C9F52" w14:textId="77777777" w:rsidR="00A82D3C" w:rsidRDefault="00A82D3C">
      <w:pPr>
        <w:spacing w:after="0"/>
        <w:rPr>
          <w:rFonts w:ascii="Times New Roman" w:eastAsia="Times New Roman" w:hAnsi="Times New Roman" w:cs="Times New Roman"/>
          <w:b/>
          <w:bCs/>
          <w:sz w:val="24"/>
          <w:szCs w:val="24"/>
        </w:rPr>
      </w:pPr>
    </w:p>
    <w:p w14:paraId="0D98D28D"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Introduction</w:t>
      </w:r>
    </w:p>
    <w:p w14:paraId="3AD222D2" w14:textId="77777777" w:rsidR="00A82D3C" w:rsidRDefault="00A82D3C">
      <w:pPr>
        <w:spacing w:after="0"/>
        <w:rPr>
          <w:rFonts w:ascii="Times New Roman" w:eastAsia="Times New Roman" w:hAnsi="Times New Roman" w:cs="Times New Roman"/>
          <w:b/>
          <w:bCs/>
          <w:sz w:val="24"/>
          <w:szCs w:val="24"/>
        </w:rPr>
      </w:pPr>
    </w:p>
    <w:p w14:paraId="2A8EA397" w14:textId="77777777" w:rsidR="00A82D3C"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Block diagram and description</w:t>
      </w:r>
    </w:p>
    <w:p w14:paraId="3D268E67" w14:textId="77777777" w:rsidR="00A82D3C" w:rsidRDefault="00A82D3C">
      <w:pPr>
        <w:spacing w:after="0"/>
        <w:rPr>
          <w:rFonts w:ascii="Times New Roman" w:eastAsia="Times New Roman" w:hAnsi="Times New Roman" w:cs="Times New Roman"/>
          <w:b/>
          <w:bCs/>
          <w:sz w:val="24"/>
          <w:szCs w:val="24"/>
        </w:rPr>
      </w:pPr>
    </w:p>
    <w:p w14:paraId="0B31E840" w14:textId="77777777" w:rsidR="00A82D3C" w:rsidRDefault="00A82D3C">
      <w:pPr>
        <w:spacing w:after="0"/>
        <w:rPr>
          <w:rFonts w:ascii="Times New Roman" w:eastAsia="Times New Roman" w:hAnsi="Times New Roman" w:cs="Times New Roman"/>
          <w:b/>
          <w:bCs/>
          <w:sz w:val="24"/>
          <w:szCs w:val="24"/>
        </w:rPr>
      </w:pPr>
    </w:p>
    <w:p w14:paraId="14A7A922" w14:textId="77777777" w:rsidR="00A82D3C" w:rsidRDefault="00A82D3C">
      <w:pPr>
        <w:spacing w:after="0"/>
        <w:rPr>
          <w:rFonts w:ascii="Times New Roman" w:eastAsia="Times New Roman" w:hAnsi="Times New Roman" w:cs="Times New Roman"/>
          <w:b/>
          <w:bCs/>
          <w:sz w:val="24"/>
          <w:szCs w:val="24"/>
        </w:rPr>
      </w:pPr>
    </w:p>
    <w:p w14:paraId="7F103492"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Literature Review and Background Study</w:t>
      </w:r>
    </w:p>
    <w:p w14:paraId="2BBDC039" w14:textId="77777777" w:rsidR="00A82D3C" w:rsidRDefault="00A82D3C">
      <w:pPr>
        <w:spacing w:after="0"/>
        <w:rPr>
          <w:rFonts w:ascii="Times New Roman" w:eastAsia="Times New Roman" w:hAnsi="Times New Roman" w:cs="Times New Roman"/>
          <w:b/>
          <w:bCs/>
          <w:sz w:val="24"/>
          <w:szCs w:val="24"/>
        </w:rPr>
      </w:pPr>
    </w:p>
    <w:p w14:paraId="298415DD" w14:textId="77777777" w:rsidR="00A82D3C" w:rsidRDefault="00A82D3C">
      <w:pPr>
        <w:spacing w:after="0"/>
        <w:rPr>
          <w:rFonts w:ascii="Times New Roman" w:eastAsia="Times New Roman" w:hAnsi="Times New Roman" w:cs="Times New Roman"/>
          <w:b/>
          <w:bCs/>
          <w:sz w:val="24"/>
          <w:szCs w:val="24"/>
        </w:rPr>
      </w:pPr>
    </w:p>
    <w:p w14:paraId="4B4779E1"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Problem Definition and Relevance</w:t>
      </w:r>
    </w:p>
    <w:p w14:paraId="101B883B" w14:textId="77777777" w:rsidR="00A82D3C" w:rsidRDefault="00A82D3C">
      <w:pPr>
        <w:spacing w:after="0"/>
        <w:rPr>
          <w:rFonts w:ascii="Times New Roman" w:eastAsia="Times New Roman" w:hAnsi="Times New Roman" w:cs="Times New Roman"/>
          <w:b/>
          <w:bCs/>
          <w:sz w:val="24"/>
          <w:szCs w:val="24"/>
        </w:rPr>
      </w:pPr>
    </w:p>
    <w:p w14:paraId="0B45EA99" w14:textId="77777777" w:rsidR="00A82D3C" w:rsidRDefault="00A82D3C">
      <w:pPr>
        <w:spacing w:after="0"/>
        <w:rPr>
          <w:rFonts w:ascii="Times New Roman" w:eastAsia="Times New Roman" w:hAnsi="Times New Roman" w:cs="Times New Roman"/>
          <w:b/>
          <w:bCs/>
          <w:sz w:val="24"/>
          <w:szCs w:val="24"/>
        </w:rPr>
      </w:pPr>
    </w:p>
    <w:p w14:paraId="144594AD"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Design Methodology and Tools</w:t>
      </w:r>
    </w:p>
    <w:p w14:paraId="4C6560F4" w14:textId="77777777" w:rsidR="00A82D3C" w:rsidRDefault="00A82D3C">
      <w:pPr>
        <w:spacing w:after="0"/>
        <w:rPr>
          <w:rFonts w:ascii="Times New Roman" w:eastAsia="Times New Roman" w:hAnsi="Times New Roman" w:cs="Times New Roman"/>
          <w:b/>
          <w:bCs/>
          <w:sz w:val="24"/>
          <w:szCs w:val="24"/>
        </w:rPr>
      </w:pPr>
    </w:p>
    <w:p w14:paraId="68453BA4" w14:textId="77777777" w:rsidR="00A82D3C" w:rsidRDefault="00A82D3C">
      <w:pPr>
        <w:spacing w:after="0"/>
        <w:rPr>
          <w:rFonts w:ascii="Times New Roman" w:eastAsia="Times New Roman" w:hAnsi="Times New Roman" w:cs="Times New Roman"/>
          <w:b/>
          <w:bCs/>
          <w:sz w:val="24"/>
          <w:szCs w:val="24"/>
        </w:rPr>
      </w:pPr>
    </w:p>
    <w:p w14:paraId="430DFBF6"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 Result Analysis and Performance Evaluation</w:t>
      </w:r>
    </w:p>
    <w:p w14:paraId="0A87F01A" w14:textId="77777777" w:rsidR="00A82D3C" w:rsidRDefault="00A82D3C">
      <w:pPr>
        <w:spacing w:after="0"/>
        <w:rPr>
          <w:rFonts w:ascii="Times New Roman" w:eastAsia="Times New Roman" w:hAnsi="Times New Roman" w:cs="Times New Roman"/>
          <w:b/>
          <w:bCs/>
          <w:sz w:val="24"/>
          <w:szCs w:val="24"/>
        </w:rPr>
      </w:pPr>
    </w:p>
    <w:p w14:paraId="1C12BFDB" w14:textId="77777777" w:rsidR="00A82D3C" w:rsidRDefault="00A82D3C">
      <w:pPr>
        <w:spacing w:after="0"/>
        <w:rPr>
          <w:rFonts w:ascii="Times New Roman" w:eastAsia="Times New Roman" w:hAnsi="Times New Roman" w:cs="Times New Roman"/>
          <w:b/>
          <w:bCs/>
          <w:sz w:val="24"/>
          <w:szCs w:val="24"/>
        </w:rPr>
      </w:pPr>
    </w:p>
    <w:p w14:paraId="1657070F"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Conclusion and Future scope</w:t>
      </w:r>
    </w:p>
    <w:p w14:paraId="23B67D67" w14:textId="77777777" w:rsidR="00A82D3C" w:rsidRDefault="00A82D3C">
      <w:pPr>
        <w:spacing w:after="0"/>
        <w:rPr>
          <w:rFonts w:ascii="Times New Roman" w:eastAsia="Times New Roman" w:hAnsi="Times New Roman" w:cs="Times New Roman"/>
          <w:b/>
          <w:bCs/>
          <w:sz w:val="24"/>
          <w:szCs w:val="24"/>
        </w:rPr>
      </w:pPr>
    </w:p>
    <w:p w14:paraId="2AF59FAD" w14:textId="77777777" w:rsidR="00A82D3C" w:rsidRDefault="00A82D3C">
      <w:pPr>
        <w:spacing w:after="0"/>
        <w:rPr>
          <w:rFonts w:ascii="Times New Roman" w:eastAsia="Times New Roman" w:hAnsi="Times New Roman" w:cs="Times New Roman"/>
          <w:b/>
          <w:bCs/>
          <w:sz w:val="24"/>
          <w:szCs w:val="24"/>
        </w:rPr>
      </w:pPr>
    </w:p>
    <w:p w14:paraId="2BFB7FB9" w14:textId="77777777" w:rsidR="00A82D3C"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 xml:space="preserve">Appendix: Technical Paper (min 6 pages with 25 references) </w:t>
      </w:r>
    </w:p>
    <w:p w14:paraId="6A5FA7CF" w14:textId="77777777" w:rsidR="00A82D3C" w:rsidRDefault="00A82D3C">
      <w:pPr>
        <w:spacing w:after="0" w:line="240" w:lineRule="auto"/>
        <w:jc w:val="both"/>
        <w:rPr>
          <w:rFonts w:ascii="Times New Roman" w:eastAsia="Times New Roman" w:hAnsi="Times New Roman" w:cs="Times New Roman"/>
          <w:b/>
          <w:bCs/>
          <w:sz w:val="24"/>
          <w:szCs w:val="24"/>
        </w:rPr>
      </w:pPr>
    </w:p>
    <w:p w14:paraId="6A000001"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I Introduction</w:t>
      </w:r>
    </w:p>
    <w:p w14:paraId="6A000002"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Reviewing a legal document today typically means either paying a lawyer by the hour or feeding the file into a cloud-based AI tool that offers no visibility into how it searched the document, sends confidential content to a third-party server, and charges a recurring subscription. This project addresses that gap by building LegalDoc AI, a standalone desktop application that performs contract question-answering, summarization, and compliance auditing entirely on the user’s own computer, using a hybrid retrieval pipeline that is both faster and more transparent than the single-vector-search baseline typically used in similar tools.</w:t>
      </w:r>
    </w:p>
    <w:p w14:paraId="6A000003" w14:textId="77777777" w:rsidR="00A82D3C" w:rsidRDefault="00000000">
      <w:p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Objectives</w:t>
      </w:r>
    </w:p>
    <w:p w14:paraId="6A000004" w14:textId="77777777" w:rsidR="00A82D3C"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 fully local, privacy-preserving Retrieval-Augmented Generation pipeline that never sends document content off the user’s machine.</w:t>
      </w:r>
    </w:p>
    <w:p w14:paraId="6A000005" w14:textId="77777777" w:rsidR="00A82D3C"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combine dense semantic search with sparse keyword search so that both conceptual questions and exact legal terminology are retrieved accurately.</w:t>
      </w:r>
    </w:p>
    <w:p w14:paraId="6A000006" w14:textId="77777777" w:rsidR="00A82D3C"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minimize indexing and query latency relative to a single-vector-store baseline, including instant re-opening of previously analyzed documents.</w:t>
      </w:r>
    </w:p>
    <w:p w14:paraId="6A000007" w14:textId="77777777" w:rsidR="00A82D3C"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structured, evidence-cited compliance audit benchmarked against a real-world contract corpus (CUAD), rather than an unverifiable single risk label.</w:t>
      </w:r>
    </w:p>
    <w:p w14:paraId="6A000008" w14:textId="77777777" w:rsidR="00A82D3C"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package the system as an accessible standalone desktop application requiring no coding knowledge, browser, or internet connection to operate.</w:t>
      </w:r>
    </w:p>
    <w:p w14:paraId="6A000009" w14:textId="77777777" w:rsidR="00A82D3C" w:rsidRDefault="00000000">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1.2 Block Diagram and Description: </w:t>
      </w:r>
      <w:r>
        <w:rPr>
          <w:rFonts w:ascii="Times New Roman" w:eastAsia="Times New Roman" w:hAnsi="Times New Roman" w:cs="Times New Roman"/>
          <w:sz w:val="24"/>
          <w:szCs w:val="24"/>
        </w:rPr>
        <w:t>The pipeline flows through six stages: (1) Document Extraction – PDF/DOCX/TXT text is pulled out via PyMuPDF or python-docx; (2) Chunking – text is recursively split into 512-token chunks with 64-token overlap; (3) Dual Indexing – chunks are embedded (ONNX MiniLM) into a FAISS dense index and simultaneously tokenized into a BM25 sparse index, with the completed index cached to disk keyed by an MD5 hash of the file; (4) Hybrid Retrieval – a user query is scored against both indexes, min-max normalized, and fused by a tunable weight; (5) Generation – the top-k retrieved chunks and the query are sent to a local (Ollama/Llama 3.2) or cloud (OpenAI GPT-4o-mini) LLM, which streams a cited answer; (6) Analysis Layer – the same retrieval engine feeds three higher-level modules: a 10-clause Compliance Audit (cross-checked against CUAD frequency statistics), a Fairness/Negotiation-Leverage score, and an adversarial Negotiation Practice mode. In plain terms: the document is read once, split into small pieces, searched two different ways at the same time, and only the most useful pieces are ever shown to the AI model before it writes an answer. Figure 1.1 below shows this flow step by step.</w:t>
      </w:r>
    </w:p>
    <w:p w14:paraId="6B000001" w14:textId="77777777" w:rsidR="00A82D3C" w:rsidRDefault="00000000">
      <w:pPr>
        <w:spacing w:before="200" w:after="0"/>
        <w:jc w:val="center"/>
        <w:rPr>
          <w:rFonts w:ascii="Times New Roman" w:hAnsi="Times New Roman"/>
          <w:sz w:val="24"/>
        </w:rPr>
      </w:pPr>
      <w:r>
        <w:rPr>
          <w:noProof/>
        </w:rPr>
        <w:drawing>
          <wp:inline distT="0" distB="0" distL="0" distR="0">
            <wp:extent cx="5943600" cy="3769398"/>
            <wp:effectExtent l="0" t="0" r="0" b="0"/>
            <wp:docPr id="100" name="flowchart.png"/>
            <wp:cNvGraphicFramePr/>
            <a:graphic xmlns:a="http://schemas.openxmlformats.org/drawingml/2006/main">
              <a:graphicData uri="http://schemas.openxmlformats.org/drawingml/2006/picture">
                <pic:pic xmlns:pic="http://schemas.openxmlformats.org/drawingml/2006/picture">
                  <pic:nvPicPr>
                    <pic:cNvPr id="100" name="flowchart.png"/>
                    <pic:cNvPicPr preferRelativeResize="0"/>
                  </pic:nvPicPr>
                  <pic:blipFill>
                    <a:blip r:embed="rId18"/>
                    <a:srcRect/>
                    <a:stretch>
                      <a:fillRect/>
                    </a:stretch>
                  </pic:blipFill>
                  <pic:spPr>
                    <a:xfrm>
                      <a:off x="0" y="0"/>
                      <a:ext cx="5943600" cy="3769398"/>
                    </a:xfrm>
                    <a:prstGeom prst="rect">
                      <a:avLst/>
                    </a:prstGeom>
                    <a:ln/>
                  </pic:spPr>
                </pic:pic>
              </a:graphicData>
            </a:graphic>
          </wp:inline>
        </w:drawing>
      </w:r>
    </w:p>
    <w:p w14:paraId="6B000002" w14:textId="77777777" w:rsidR="00A82D3C" w:rsidRDefault="00000000">
      <w:pPr>
        <w:spacing w:before="80" w:after="0"/>
        <w:jc w:val="center"/>
        <w:rPr>
          <w:rFonts w:ascii="Times New Roman" w:hAnsi="Times New Roman"/>
          <w:i/>
          <w:iCs/>
          <w:sz w:val="22"/>
        </w:rPr>
      </w:pPr>
      <w:r>
        <w:rPr>
          <w:rFonts w:ascii="Times New Roman" w:hAnsi="Times New Roman"/>
          <w:i/>
          <w:iCs/>
          <w:sz w:val="22"/>
        </w:rPr>
        <w:t>Figure 1.1: System block diagram, in plain language, from document upload to the four analysis outputs.</w:t>
      </w:r>
    </w:p>
    <w:p w14:paraId="6A000010"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II Literature Review and Background Study</w:t>
      </w:r>
    </w:p>
    <w:p w14:paraId="6A000011"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Retrieval-Augmented Generation (RAG), introduced by Lewis et al. (2020), grounds an LLM’s output in retrieved source passages rather than relying purely on parametric memory, reducing hallucination and enabling citation. The dominant retrieval approach in most existing legal-AI tools, including the baseline architecture this project improves upon, is dense-only vector search using a single embedding model with a vector store such as ChromaDB. This is efficient for conceptual similarity but is known to under-perform on exact terminology matches – a critical weakness for legal text, where the presence or absence of a specific defined term (e.g., “Force Majeure”, “Limitation of Liability”) is often dispositive. Sparse retrieval methods such as BM25 (Robertson &amp; Zaragoza, 2009) remain highly effective for exact-term recall and are combined with dense retrieval in this project through weighted hybrid fusion. For evaluating and benchmarking clause-level legal understanding, this project uses the Contract Understanding Atticus Dataset (CUAD), introduced by Hendrycks et al. (2021), which provides 510 real-world commercial contracts expert-annotated across 41 clause categories and is the most widely cited benchmark for legal contract-review NLP.</w:t>
      </w:r>
    </w:p>
    <w:p w14:paraId="6A000012"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III Problem Definition and Relevance</w:t>
      </w:r>
    </w:p>
    <w:p w14:paraId="6A000013"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Manual legal document review does not scale to the volume of contracts an individual or small business encounters, and existing AI alternatives introduce three specific problems this project targets: (1) Privacy risk – cloud-based tools require uploading confidential documents to third-party servers; (2) Retrieval blind spots – dense-only vector search can miss exact clause terminology, producing incomplete or misleading answers; and (3) Cost and opacity – subscription pricing and black-box retrieval put these tools out of reach for students, solo practitioners, and small businesses, and make their answers difficult to verify. The project is relevant to law students who need to study real case law quickly, solo practitioners and small businesses who cannot justify enterprise CLM software costs, and any individual reviewing a contract, NDA, or lease who wants a private, evidence-grounded second opinion before signing.</w:t>
      </w:r>
    </w:p>
    <w:p w14:paraId="6A000014"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IV Design Methodology and Tools</w:t>
      </w:r>
    </w:p>
    <w:p w14:paraId="6A000015" w14:textId="77777777" w:rsidR="00A82D3C" w:rsidRDefault="00000000">
      <w:pPr>
        <w:spacing w:before="12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Dataset Description</w:t>
      </w:r>
    </w:p>
    <w:p w14:paraId="6A000016"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CUAD (Contract Understanding Atticus Dataset): </w:t>
      </w:r>
      <w:r>
        <w:rPr>
          <w:rFonts w:ascii="Times New Roman" w:eastAsia="Times New Roman" w:hAnsi="Times New Roman" w:cs="Times New Roman"/>
          <w:sz w:val="24"/>
          <w:szCs w:val="24"/>
        </w:rPr>
        <w:t>510 real-world commercial contracts, expert-annotated across 41 clause categories (Hendrycks et al., NeurIPS 2021, CUADv1.json, SQuAD-style span annotations). This project downloaded the official dataset and computed clause-presence frequency statistics directly from it, mapping five of the ten audited clause types (Governing Law, Non-Compete, IP Assignment, Limitation of Liability, Termination) to their CUAD equivalents to benchmark audit findings against real contracting practice.</w:t>
      </w:r>
    </w:p>
    <w:p w14:paraId="6B000020"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What the “CUAD benchmark” line actually means, in plain terms: </w:t>
      </w:r>
      <w:r>
        <w:rPr>
          <w:rFonts w:ascii="Times New Roman" w:eastAsia="Times New Roman" w:hAnsi="Times New Roman" w:cs="Times New Roman"/>
          <w:sz w:val="24"/>
          <w:szCs w:val="24"/>
        </w:rPr>
        <w:t>without this benchmark, the audit would simply say “Governing Law clause: ABSENT” and leave the user to guess whether that actually matters. Because the real frequency was computed from all 510 CUAD contracts, the app can instead say something like “CUAD benchmark: appears in 86% of 510 real contracts – unusual omission,” which tells the user in one line that leaving this clause out is unusual compared to how contracts are normally written. In short, the audit does not just give an opinion – it compares the document against real, expert-labelled examples, which is a level of evidence most AI contract-review tools do not show.</w:t>
      </w:r>
    </w:p>
    <w:p w14:paraId="6A000017"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Performance Test Corpus: </w:t>
      </w:r>
      <w:r>
        <w:rPr>
          <w:rFonts w:ascii="Times New Roman" w:eastAsia="Times New Roman" w:hAnsi="Times New Roman" w:cs="Times New Roman"/>
          <w:sz w:val="24"/>
          <w:szCs w:val="24"/>
        </w:rPr>
        <w:t>Three full-length, public-domain U.S. Supreme Court opinions obtained from supremecourt.gov – Dobbs v. Jackson Women’s Health Organization (213 pages, 1,126 chunks), Students for Fair Admissions v. Harvard (237 pages, 1,267 chunks), and Google LLC v. Oracle America (62 pages, 304 chunks) – used to stress-test indexing speed, retrieval latency, and answer correctness on long, complex, real legal text.</w:t>
      </w:r>
    </w:p>
    <w:p w14:paraId="6A000018"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Runtime User Documents: </w:t>
      </w:r>
      <w:r>
        <w:rPr>
          <w:rFonts w:ascii="Times New Roman" w:eastAsia="Times New Roman" w:hAnsi="Times New Roman" w:cs="Times New Roman"/>
          <w:sz w:val="24"/>
          <w:szCs w:val="24"/>
        </w:rPr>
        <w:t>Any PDF, DOCX, or TXT contract, NDA, or policy document supplied by the end user at runtime, extracted using PyMuPDF (PDF) or python-docx (DOCX).</w:t>
      </w:r>
    </w:p>
    <w:p w14:paraId="6A000019" w14:textId="77777777" w:rsidR="00A82D3C" w:rsidRDefault="00000000">
      <w:p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Methodology</w:t>
      </w:r>
    </w:p>
    <w:p w14:paraId="6A000020"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is extracted from the source document and split using a RecursiveCharacterTextSplitter into 512-token chunks with 64-token overlap, chosen to keep individual clauses intact while preserving surrounding context. Each chunk is embedded into a 384-dimension, L2-normalized vector using an ONNX-quantized MiniLM model (via the fastembed library) and added to a FAISS IndexFlatIP for exact dense similarity search; the same chunks are simultaneously tokenized and indexed with BM25Okapi for sparse keyword search. The completed index is serialized and cached to disk keyed by the MD5 hash of the source file, so re-opening an already-analyzed document loads in under a second instead of re-embedding. At query time, the user’s question is embedded and searched against both indexes in parallel; each result set is min-max normalized to the 0-1 range and combined with a user-tunable weight (default 70% dense / 30% sparse), and the top-k fused passages are passed as context to the language model, which streams a source-cited answer token by token. The same hybrid retrieval function is reused across all four analysis modes – free-form Q&amp;A, document summarization, the ten-clause compliance audit (each clause individually retrieval-targeted rather than answered from one long-context prompt), and the fairness/negotiation modules – ensuring every generated statement is grounded in retrieved source text rather than the model’s unguided memory.</w:t>
      </w:r>
    </w:p>
    <w:p w14:paraId="6B000010" w14:textId="77777777" w:rsidR="00A82D3C" w:rsidRDefault="00000000">
      <w:p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4.2.1 What “Sources” Means – In Plain Terms</w:t>
      </w:r>
    </w:p>
    <w:p w14:paraId="6B000011"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time the app answers a question, it shows a small “Sources” note underneath the answer – for example, “Sources – 5 passages found in 32 ms.” This exists so the user never has to take the AI’s word for it. In plain terms, here is what actually happens behind that note: the app searches the document in two different ways at the same time. The first way searches by </w:t>
      </w:r>
      <w:r>
        <w:rPr>
          <w:rFonts w:ascii="Times New Roman" w:eastAsia="Times New Roman" w:hAnsi="Times New Roman" w:cs="Times New Roman"/>
          <w:i/>
          <w:iCs/>
          <w:sz w:val="24"/>
          <w:szCs w:val="24"/>
        </w:rPr>
        <w:t>meaning</w:t>
      </w:r>
      <w:r>
        <w:rPr>
          <w:rFonts w:ascii="Times New Roman" w:eastAsia="Times New Roman" w:hAnsi="Times New Roman" w:cs="Times New Roman"/>
          <w:sz w:val="24"/>
          <w:szCs w:val="24"/>
        </w:rPr>
        <w:t xml:space="preserve"> – it understands roughly what the question is asking about, even if the exact words differ from the document. The second way searches by </w:t>
      </w:r>
      <w:r>
        <w:rPr>
          <w:rFonts w:ascii="Times New Roman" w:eastAsia="Times New Roman" w:hAnsi="Times New Roman" w:cs="Times New Roman"/>
          <w:i/>
          <w:iCs/>
          <w:sz w:val="24"/>
          <w:szCs w:val="24"/>
        </w:rPr>
        <w:t>exact words</w:t>
      </w:r>
      <w:r>
        <w:rPr>
          <w:rFonts w:ascii="Times New Roman" w:eastAsia="Times New Roman" w:hAnsi="Times New Roman" w:cs="Times New Roman"/>
          <w:sz w:val="24"/>
          <w:szCs w:val="24"/>
        </w:rPr>
        <w:t xml:space="preserve"> – it catches precise legal terms such as “force majeure” or “indemnification” that a meaning-based search can sometimes miss. The results of both searches are then blended into one ranked list, and only the handful of passages that come out on top (5 by default, adjustable from 3 to 10) are ever shown to the AI model or to the user. Because the app always shows exactly which passages it used, the user can check the AI’s work in seconds instead of trusting it blindly.</w:t>
      </w:r>
    </w:p>
    <w:p w14:paraId="6B000012" w14:textId="77777777" w:rsidR="00A82D3C" w:rsidRDefault="00000000">
      <w:pPr>
        <w:spacing w:before="160" w:after="0"/>
        <w:jc w:val="center"/>
        <w:rPr>
          <w:rFonts w:ascii="Cambria Math" w:hAnsi="Cambria Math" w:cs="Times New Roman"/>
          <w:i/>
          <w:iCs/>
          <w:sz w:val="26"/>
          <w:szCs w:val="26"/>
        </w:rPr>
      </w:pPr>
      <w:r>
        <w:rPr>
          <w:rFonts w:ascii="Cambria Math" w:hAnsi="Cambria Math" w:cs="Times New Roman"/>
          <w:i/>
          <w:iCs/>
          <w:sz w:val="26"/>
          <w:szCs w:val="26"/>
        </w:rPr>
        <w:t>Combined Score  =  (1 − w) × Meaning Score  +  w × Exact-Word Score</w:t>
      </w:r>
    </w:p>
    <w:p w14:paraId="6B000013" w14:textId="77777777" w:rsidR="00A82D3C" w:rsidRDefault="00000000">
      <w:pPr>
        <w:spacing w:before="6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words: each passage gets a “meaning” score and an “exact-word” score, both rescaled to run from 0 to 1 so they are comparable, and the final ranking is a weighted mix of the two, controlled by a single slider (</w:t>
      </w:r>
      <w:r>
        <w:rPr>
          <w:rFonts w:ascii="Times New Roman" w:eastAsia="Times New Roman" w:hAnsi="Times New Roman" w:cs="Times New Roman"/>
          <w:i/>
          <w:iCs/>
          <w:sz w:val="24"/>
          <w:szCs w:val="24"/>
        </w:rPr>
        <w:t>w</w:t>
      </w:r>
      <w:r>
        <w:rPr>
          <w:rFonts w:ascii="Times New Roman" w:eastAsia="Times New Roman" w:hAnsi="Times New Roman" w:cs="Times New Roman"/>
          <w:sz w:val="24"/>
          <w:szCs w:val="24"/>
        </w:rPr>
        <w:t xml:space="preserve">, default 0.3, meaning 30% exact-word / 70% meaning). The app lets the user slide this weight and watch the answer change live, which is a simple, visible way to demonstrate that the retrieval is not a black box.</w:t>
      </w:r>
    </w:p>
    <w:p w14:paraId="6A000021" w14:textId="77777777" w:rsidR="00A82D3C" w:rsidRDefault="00000000">
      <w:p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Algorithm(s) Chosen for Model Building</w:t>
      </w:r>
    </w:p>
    <w:p w14:paraId="6A000022"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FAISS IndexFlatIP (exact dense search): </w:t>
      </w:r>
      <w:r>
        <w:rPr>
          <w:rFonts w:ascii="Times New Roman" w:eastAsia="Times New Roman" w:hAnsi="Times New Roman" w:cs="Times New Roman"/>
          <w:sz w:val="24"/>
          <w:szCs w:val="24"/>
        </w:rPr>
        <w:t>chosen over approximate indexes (IVF, HNSW) because per-document chunk counts (300-1,300) are small enough that exact inner-product search completes in 25-36 ms, avoiding the recall loss that approximate methods trade for speed at larger scale.</w:t>
      </w:r>
    </w:p>
    <w:p w14:paraId="6A000023"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BM25Okapi (sparse keyword search): </w:t>
      </w:r>
      <w:r>
        <w:rPr>
          <w:rFonts w:ascii="Times New Roman" w:eastAsia="Times New Roman" w:hAnsi="Times New Roman" w:cs="Times New Roman"/>
          <w:sz w:val="24"/>
          <w:szCs w:val="24"/>
        </w:rPr>
        <w:t>a classic probabilistic term-weighting ranking function, chosen because legal text hinges on exact defined terms that a dense embedding model can under-retrieve when phrasing differs from the training distribution.</w:t>
      </w:r>
    </w:p>
    <w:p w14:paraId="6A000024"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Weighted min-max score fusion: </w:t>
      </w:r>
      <w:r>
        <w:rPr>
          <w:rFonts w:ascii="Times New Roman" w:eastAsia="Times New Roman" w:hAnsi="Times New Roman" w:cs="Times New Roman"/>
          <w:sz w:val="24"/>
          <w:szCs w:val="24"/>
        </w:rPr>
        <w:t>chosen over reciprocal-rank fusion because a linear weight on normalized scores is directly interpretable and can be exposed as a live, user-tunable control in the interface.</w:t>
      </w:r>
    </w:p>
    <w:p w14:paraId="6A000025"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MiniLM-L6-v2, ONNX-quantized (fastembed): </w:t>
      </w:r>
      <w:r>
        <w:rPr>
          <w:rFonts w:ascii="Times New Roman" w:eastAsia="Times New Roman" w:hAnsi="Times New Roman" w:cs="Times New Roman"/>
          <w:sz w:val="24"/>
          <w:szCs w:val="24"/>
        </w:rPr>
        <w:t>selected after direct benchmarking against BGE-small on the same 1,126-chunk document (22.9 s versus 71.6 s to embed) – roughly 3x faster with negligible retrieval-quality difference, which was critical to keeping the desktop UI responsive.</w:t>
      </w:r>
    </w:p>
    <w:p w14:paraId="6A000026"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Llama 3.2 (1B default, 3B fallback) via Ollama: </w:t>
      </w:r>
      <w:r>
        <w:rPr>
          <w:rFonts w:ascii="Times New Roman" w:eastAsia="Times New Roman" w:hAnsi="Times New Roman" w:cs="Times New Roman"/>
          <w:sz w:val="24"/>
          <w:szCs w:val="24"/>
        </w:rPr>
        <w:t>chosen for zero-cost, fully offline inference; the 1B variant is the default for response speed, and the system automatically retries on the larger 3B model when the smaller model’s structured JSON output fails to parse (e.g., during fairness analysis).</w:t>
      </w:r>
    </w:p>
    <w:p w14:paraId="6A000027" w14:textId="77777777" w:rsidR="00A82D3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GPT-4o-mini (optional, OpenAI API): </w:t>
      </w:r>
      <w:r>
        <w:rPr>
          <w:rFonts w:ascii="Times New Roman" w:eastAsia="Times New Roman" w:hAnsi="Times New Roman" w:cs="Times New Roman"/>
          <w:sz w:val="24"/>
          <w:szCs w:val="24"/>
        </w:rPr>
        <w:t>offered as a swappable cloud backend for users who prioritize speed over full offline privacy; the same retrieval pipeline and prompts are reused unchanged, isolating the comparison to model quality and latency alone.</w:t>
      </w:r>
    </w:p>
    <w:p w14:paraId="6A000028"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V Result Analysis and Performance Evaluation</w:t>
      </w:r>
    </w:p>
    <w:p w14:paraId="6A000029"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benchmarked end-to-end on the three-document Supreme Court test corpus described in Section 4.1. Table 5.1 summarizes indexing and retrieval performance; all timings were measured on a standard consumer CPU with no GPU acceleration.</w:t>
      </w:r>
    </w:p>
    <w:tbl>
      <w:tblPr>
        <w:tblStyle w:val="a0"/>
        <w:tblW w:w="9350" w:type="dxa"/>
        <w:tblInd w:w="108" w:type="dxa"/>
        <w:tblBorders>
          <w:top w:val="single" w:sz="4" w:color="auto"/>
          <w:left w:val="single" w:sz="4" w:color="auto"/>
          <w:bottom w:val="single" w:sz="4" w:color="auto"/>
          <w:right w:val="single" w:sz="4" w:color="auto"/>
          <w:insideH w:val="single" w:sz="4" w:color="auto"/>
          <w:insideV w:val="single" w:sz="4" w:color="auto"/>
        </w:tblBorders>
        <w:tblLayout w:type="fixed"/>
        <w:tblLook w:val="0400" w:firstRow="1" w:lastRow="0" w:firstColumn="0" w:lastColumn="0" w:noHBand="0" w:noVBand="1"/>
      </w:tblPr>
      <w:tblGrid>
        <w:gridCol w:w="2900"/>
        <w:gridCol w:w="1300"/>
        <w:gridCol w:w="1720"/>
        <w:gridCol w:w="1720"/>
        <w:gridCol w:w="1710"/>
      </w:tblGrid>
      <w:tr>
        <w:tc>
          <w:tcPr>
            <w:tcW w:w="2900" w:type="dxa"/>
          </w:tcPr>
          <w:p>
            <w:pPr>
              <w:jc w:val="center"/>
              <w:rPr>
                <w:rFonts w:ascii="Times New Roman" w:hAnsi="Times New Roman"/>
                <w:b/>
                <w:sz w:val="22"/>
              </w:rPr>
            </w:pPr>
            <w:r>
              <w:rPr>
                <w:rFonts w:ascii="Times New Roman" w:hAnsi="Times New Roman"/>
                <w:b/>
                <w:sz w:val="22"/>
              </w:rPr>
              <w:t>Document</w:t>
            </w:r>
          </w:p>
        </w:tc>
        <w:tc>
          <w:tcPr>
            <w:tcW w:w="1300" w:type="dxa"/>
          </w:tcPr>
          <w:p>
            <w:pPr>
              <w:jc w:val="center"/>
              <w:rPr>
                <w:rFonts w:ascii="Times New Roman" w:hAnsi="Times New Roman"/>
                <w:b/>
                <w:sz w:val="22"/>
              </w:rPr>
            </w:pPr>
            <w:r>
              <w:rPr>
                <w:rFonts w:ascii="Times New Roman" w:hAnsi="Times New Roman"/>
                <w:b/>
                <w:sz w:val="22"/>
              </w:rPr>
              <w:t>Pages</w:t>
            </w:r>
          </w:p>
        </w:tc>
        <w:tc>
          <w:tcPr>
            <w:tcW w:w="1720" w:type="dxa"/>
          </w:tcPr>
          <w:p>
            <w:pPr>
              <w:jc w:val="center"/>
              <w:rPr>
                <w:rFonts w:ascii="Times New Roman" w:hAnsi="Times New Roman"/>
                <w:b/>
                <w:sz w:val="22"/>
              </w:rPr>
            </w:pPr>
            <w:r>
              <w:rPr>
                <w:rFonts w:ascii="Times New Roman" w:hAnsi="Times New Roman"/>
                <w:b/>
                <w:sz w:val="22"/>
              </w:rPr>
              <w:t>Cold Index Time</w:t>
            </w:r>
          </w:p>
        </w:tc>
        <w:tc>
          <w:tcPr>
            <w:tcW w:w="1720" w:type="dxa"/>
          </w:tcPr>
          <w:p>
            <w:pPr>
              <w:jc w:val="center"/>
              <w:rPr>
                <w:rFonts w:ascii="Times New Roman" w:hAnsi="Times New Roman"/>
                <w:b/>
                <w:sz w:val="22"/>
              </w:rPr>
            </w:pPr>
            <w:r>
              <w:rPr>
                <w:rFonts w:ascii="Times New Roman" w:hAnsi="Times New Roman"/>
                <w:b/>
                <w:sz w:val="22"/>
              </w:rPr>
              <w:t>Cached Reopen</w:t>
            </w:r>
          </w:p>
        </w:tc>
        <w:tc>
          <w:tcPr>
            <w:tcW w:w="1710" w:type="dxa"/>
          </w:tcPr>
          <w:p>
            <w:pPr>
              <w:jc w:val="center"/>
              <w:rPr>
                <w:rFonts w:ascii="Times New Roman" w:hAnsi="Times New Roman"/>
                <w:b/>
                <w:sz w:val="22"/>
              </w:rPr>
            </w:pPr>
            <w:r>
              <w:rPr>
                <w:rFonts w:ascii="Times New Roman" w:hAnsi="Times New Roman"/>
                <w:b/>
                <w:sz w:val="22"/>
              </w:rPr>
              <w:t>Retrieval Latency</w:t>
            </w:r>
          </w:p>
        </w:tc>
      </w:tr>
      <w:tr>
        <w:tc>
          <w:tcPr>
            <w:tcW w:w="2900" w:type="dxa"/>
          </w:tcPr>
          <w:p>
            <w:pPr>
              <w:rPr>
                <w:rFonts w:ascii="Times New Roman" w:hAnsi="Times New Roman"/>
                <w:sz w:val="22"/>
              </w:rPr>
            </w:pPr>
            <w:r>
              <w:rPr>
                <w:rFonts w:ascii="Times New Roman" w:hAnsi="Times New Roman"/>
                <w:sz w:val="22"/>
              </w:rPr>
              <w:t>Dobbs v. Jackson (2022)</w:t>
            </w:r>
          </w:p>
        </w:tc>
        <w:tc>
          <w:tcPr>
            <w:tcW w:w="1300" w:type="dxa"/>
          </w:tcPr>
          <w:p>
            <w:pPr>
              <w:jc w:val="center"/>
              <w:rPr>
                <w:rFonts w:ascii="Times New Roman" w:hAnsi="Times New Roman"/>
                <w:sz w:val="22"/>
              </w:rPr>
            </w:pPr>
            <w:r>
              <w:rPr>
                <w:rFonts w:ascii="Times New Roman" w:hAnsi="Times New Roman"/>
                <w:sz w:val="22"/>
              </w:rPr>
              <w:t>213</w:t>
            </w:r>
          </w:p>
        </w:tc>
        <w:tc>
          <w:tcPr>
            <w:tcW w:w="1720" w:type="dxa"/>
          </w:tcPr>
          <w:p>
            <w:pPr>
              <w:jc w:val="center"/>
              <w:rPr>
                <w:rFonts w:ascii="Times New Roman" w:hAnsi="Times New Roman"/>
                <w:sz w:val="22"/>
              </w:rPr>
            </w:pPr>
            <w:r>
              <w:rPr>
                <w:rFonts w:ascii="Times New Roman" w:hAnsi="Times New Roman"/>
                <w:sz w:val="22"/>
              </w:rPr>
              <w:t>21.4 s</w:t>
            </w:r>
          </w:p>
        </w:tc>
        <w:tc>
          <w:tcPr>
            <w:tcW w:w="1720" w:type="dxa"/>
          </w:tcPr>
          <w:p>
            <w:pPr>
              <w:jc w:val="center"/>
              <w:rPr>
                <w:rFonts w:ascii="Times New Roman" w:hAnsi="Times New Roman"/>
                <w:sz w:val="22"/>
              </w:rPr>
            </w:pPr>
            <w:r>
              <w:rPr>
                <w:rFonts w:ascii="Times New Roman" w:hAnsi="Times New Roman"/>
                <w:sz w:val="22"/>
              </w:rPr>
              <w:t>0.1 s</w:t>
            </w:r>
          </w:p>
        </w:tc>
        <w:tc>
          <w:tcPr>
            <w:tcW w:w="1710" w:type="dxa"/>
          </w:tcPr>
          <w:p>
            <w:pPr>
              <w:jc w:val="center"/>
              <w:rPr>
                <w:rFonts w:ascii="Times New Roman" w:hAnsi="Times New Roman"/>
                <w:sz w:val="22"/>
              </w:rPr>
            </w:pPr>
            <w:r>
              <w:rPr>
                <w:rFonts w:ascii="Times New Roman" w:hAnsi="Times New Roman"/>
                <w:sz w:val="22"/>
              </w:rPr>
              <w:t>33 ms</w:t>
            </w:r>
          </w:p>
        </w:tc>
      </w:tr>
      <w:tr>
        <w:tc>
          <w:tcPr>
            <w:tcW w:w="2900" w:type="dxa"/>
          </w:tcPr>
          <w:p>
            <w:pPr>
              <w:rPr>
                <w:rFonts w:ascii="Times New Roman" w:hAnsi="Times New Roman"/>
                <w:sz w:val="22"/>
              </w:rPr>
            </w:pPr>
            <w:r>
              <w:rPr>
                <w:rFonts w:ascii="Times New Roman" w:hAnsi="Times New Roman"/>
                <w:sz w:val="22"/>
              </w:rPr>
              <w:t>SFFA v. Harvard (2023)</w:t>
            </w:r>
          </w:p>
        </w:tc>
        <w:tc>
          <w:tcPr>
            <w:tcW w:w="1300" w:type="dxa"/>
          </w:tcPr>
          <w:p>
            <w:pPr>
              <w:jc w:val="center"/>
              <w:rPr>
                <w:rFonts w:ascii="Times New Roman" w:hAnsi="Times New Roman"/>
                <w:sz w:val="22"/>
              </w:rPr>
            </w:pPr>
            <w:r>
              <w:rPr>
                <w:rFonts w:ascii="Times New Roman" w:hAnsi="Times New Roman"/>
                <w:sz w:val="22"/>
              </w:rPr>
              <w:t>237</w:t>
            </w:r>
          </w:p>
        </w:tc>
        <w:tc>
          <w:tcPr>
            <w:tcW w:w="1720" w:type="dxa"/>
          </w:tcPr>
          <w:p>
            <w:pPr>
              <w:jc w:val="center"/>
              <w:rPr>
                <w:rFonts w:ascii="Times New Roman" w:hAnsi="Times New Roman"/>
                <w:sz w:val="22"/>
              </w:rPr>
            </w:pPr>
            <w:r>
              <w:rPr>
                <w:rFonts w:ascii="Times New Roman" w:hAnsi="Times New Roman"/>
                <w:sz w:val="22"/>
              </w:rPr>
              <w:t>26.6 s</w:t>
            </w:r>
          </w:p>
        </w:tc>
        <w:tc>
          <w:tcPr>
            <w:tcW w:w="1720" w:type="dxa"/>
          </w:tcPr>
          <w:p>
            <w:pPr>
              <w:jc w:val="center"/>
              <w:rPr>
                <w:rFonts w:ascii="Times New Roman" w:hAnsi="Times New Roman"/>
                <w:sz w:val="22"/>
              </w:rPr>
            </w:pPr>
            <w:r>
              <w:rPr>
                <w:rFonts w:ascii="Times New Roman" w:hAnsi="Times New Roman"/>
                <w:sz w:val="22"/>
              </w:rPr>
              <w:t>0.2 s</w:t>
            </w:r>
          </w:p>
        </w:tc>
        <w:tc>
          <w:tcPr>
            <w:tcW w:w="1710" w:type="dxa"/>
          </w:tcPr>
          <w:p>
            <w:pPr>
              <w:jc w:val="center"/>
              <w:rPr>
                <w:rFonts w:ascii="Times New Roman" w:hAnsi="Times New Roman"/>
                <w:sz w:val="22"/>
              </w:rPr>
            </w:pPr>
            <w:r>
              <w:rPr>
                <w:rFonts w:ascii="Times New Roman" w:hAnsi="Times New Roman"/>
                <w:sz w:val="22"/>
              </w:rPr>
              <w:t>31 ms</w:t>
            </w:r>
          </w:p>
        </w:tc>
      </w:tr>
      <w:tr>
        <w:tc>
          <w:tcPr>
            <w:tcW w:w="2900" w:type="dxa"/>
          </w:tcPr>
          <w:p>
            <w:pPr>
              <w:rPr>
                <w:rFonts w:ascii="Times New Roman" w:hAnsi="Times New Roman"/>
                <w:sz w:val="22"/>
              </w:rPr>
            </w:pPr>
            <w:r>
              <w:rPr>
                <w:rFonts w:ascii="Times New Roman" w:hAnsi="Times New Roman"/>
                <w:sz w:val="22"/>
              </w:rPr>
              <w:t>Google v. Oracle (2021)</w:t>
            </w:r>
          </w:p>
        </w:tc>
        <w:tc>
          <w:tcPr>
            <w:tcW w:w="1300" w:type="dxa"/>
          </w:tcPr>
          <w:p>
            <w:pPr>
              <w:jc w:val="center"/>
              <w:rPr>
                <w:rFonts w:ascii="Times New Roman" w:hAnsi="Times New Roman"/>
                <w:sz w:val="22"/>
              </w:rPr>
            </w:pPr>
            <w:r>
              <w:rPr>
                <w:rFonts w:ascii="Times New Roman" w:hAnsi="Times New Roman"/>
                <w:sz w:val="22"/>
              </w:rPr>
              <w:t>62</w:t>
            </w:r>
          </w:p>
        </w:tc>
        <w:tc>
          <w:tcPr>
            <w:tcW w:w="1720" w:type="dxa"/>
          </w:tcPr>
          <w:p>
            <w:pPr>
              <w:jc w:val="center"/>
              <w:rPr>
                <w:rFonts w:ascii="Times New Roman" w:hAnsi="Times New Roman"/>
                <w:sz w:val="22"/>
              </w:rPr>
            </w:pPr>
            <w:r>
              <w:rPr>
                <w:rFonts w:ascii="Times New Roman" w:hAnsi="Times New Roman"/>
                <w:sz w:val="22"/>
              </w:rPr>
              <w:t>6.6 s</w:t>
            </w:r>
          </w:p>
        </w:tc>
        <w:tc>
          <w:tcPr>
            <w:tcW w:w="1720" w:type="dxa"/>
          </w:tcPr>
          <w:p>
            <w:pPr>
              <w:jc w:val="center"/>
              <w:rPr>
                <w:rFonts w:ascii="Times New Roman" w:hAnsi="Times New Roman"/>
                <w:sz w:val="22"/>
              </w:rPr>
            </w:pPr>
            <w:r>
              <w:rPr>
                <w:rFonts w:ascii="Times New Roman" w:hAnsi="Times New Roman"/>
                <w:sz w:val="22"/>
              </w:rPr>
              <w:t>0.1 s</w:t>
            </w:r>
          </w:p>
        </w:tc>
        <w:tc>
          <w:tcPr>
            <w:tcW w:w="1710" w:type="dxa"/>
          </w:tcPr>
          <w:p>
            <w:pPr>
              <w:jc w:val="center"/>
              <w:rPr>
                <w:rFonts w:ascii="Times New Roman" w:hAnsi="Times New Roman"/>
                <w:sz w:val="22"/>
              </w:rPr>
            </w:pPr>
            <w:r>
              <w:rPr>
                <w:rFonts w:ascii="Times New Roman" w:hAnsi="Times New Roman"/>
                <w:sz w:val="22"/>
              </w:rPr>
              <w:t>25 ms</w:t>
            </w:r>
          </w:p>
        </w:tc>
      </w:tr>
    </w:tbl>
    <w:p w14:paraId="6A000030" w14:textId="77777777" w:rsidR="00A82D3C" w:rsidRDefault="00000000">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 correctness was verified manually on all three documents: the system correctly identified that Google’s copying of the Java SE API was ruled fair use in Google v. Oracle, correctly summarized the Court’s holding on race-based admissions in SFFA v. Harvard, and correctly described the Court’s treatment of Roe v. Wade in Dobbs v. Jackson, in each case with accurate [Source N] citations to the retrieved passages. Restructuring the compliance audit from a single monolithic prompt into ten independently retrieval-targeted clause checks reduced total audit time from approximately 97 seconds to approximately 32 seconds while improving grounding, since each clause is now judged against its own most relevant passages rather than one long, unfocused context window. Benchmarking against the CUAD dataset showed, for example, that a Governing Law clause is present in 86% of the 510 real contracts analyzed while a Non-Compete clause is present in only 23%, giving the audit module a real-world reference point rather than an arbitrary pass/fail rule. Switching the embedding model from BGE-small to ONNX-quantized MiniLM cut indexing time by roughly 3x with no observed loss in answer quality, and lazy, viewport-based rendering of PDF pages (rendering only the pages scrolled into view rather than the entire document up front) kept the preview screen responsive even on the 213-page test document.</w:t>
      </w:r>
    </w:p>
    <w:p w14:paraId="6B000030" w14:textId="77777777" w:rsidR="00A82D3C" w:rsidRDefault="00000000">
      <w:pPr>
        <w:spacing w:before="24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Application Screenshots</w:t>
      </w:r>
    </w:p>
    <w:p w14:paraId="6B000031"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SCREENSHOTS_PLACEHOLDER</w:t>
      </w:r>
    </w:p>
    <w:p w14:paraId="6A000031" w14:textId="77777777" w:rsidR="00A82D3C" w:rsidRDefault="00000000">
      <w:pPr>
        <w:spacing w:after="0"/>
        <w:jc w:val="center"/>
        <w:rPr>
          <w:rFonts w:ascii="Times New Roman" w:eastAsia="Times New Roman" w:hAnsi="Times New Roman" w:cs="Times New Roman"/>
          <w:b/>
          <w:bCs/>
          <w:smallCaps/>
          <w:sz w:val="28"/>
          <w:szCs w:val="28"/>
        </w:rPr>
      </w:pPr>
      <w:r>
        <w:br w:type="page"/>
      </w:r>
      <w:r>
        <w:rPr>
          <w:rFonts w:ascii="Times New Roman" w:eastAsia="Times New Roman" w:hAnsi="Times New Roman" w:cs="Times New Roman"/>
          <w:b/>
          <w:bCs/>
          <w:smallCaps/>
          <w:sz w:val="28"/>
          <w:szCs w:val="28"/>
        </w:rPr>
        <w:t>VI Conclusion and Future Scope</w:t>
      </w:r>
    </w:p>
    <w:p w14:paraId="6A000032" w14:textId="77777777" w:rsidR="00A82D3C"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LegalDoc AI demonstrates that a hybrid dense-plus-sparse retrieval pipeline, running fully offline on consumer hardware, can deliver faster indexing, sub-second document re-opening, and more accurately grounded answers than a single-vector-search baseline, while also enabling structured, real-world-benchmarked compliance auditing that most cloud-based commercial tools do not offer at any price point. The project met all six stated objectives: a fully local pipeline was built and validated with zero document data leaving the host machine; hybrid retrieval measurably improved exact-term recall over dense-only search; indexing and re-open latency were reduced through ONNX-quantized embeddings and file-fingerprint caching; the compliance audit was grounded against the CUAD real-world contract corpus; an adversarial negotiation-practice mode was implemented as a genuinely novel feature; and the entire system was packaged as a standalone desktop application usable without any coding knowledge. Future work includes fine-tuning the embedding model on an Indian legal corpus, adding multilingual support (Hindi, Kannada) for regional accessibility, extending the fairness-analysis module with a full negotiation-leverage report export, exploring Graph RAG for cross-document reasoning across a user’s entire document library, and packaging a lightweight browser extension for in-page contract review.</w:t>
      </w:r>
    </w:p>
    <w:p w14:paraId="72B5949A" w14:textId="77777777" w:rsidR="00A82D3C" w:rsidRDefault="00A82D3C">
      <w:pPr>
        <w:spacing w:after="0" w:line="240" w:lineRule="auto"/>
        <w:jc w:val="both"/>
        <w:rPr>
          <w:rFonts w:ascii="Times New Roman" w:eastAsia="Times New Roman" w:hAnsi="Times New Roman" w:cs="Times New Roman"/>
          <w:b/>
          <w:bCs/>
          <w:sz w:val="24"/>
          <w:szCs w:val="24"/>
        </w:rPr>
      </w:pPr>
    </w:p>
    <w:p w14:paraId="3B12C112" w14:textId="77777777" w:rsidR="00A82D3C" w:rsidRDefault="00000000">
      <w:pPr>
        <w:spacing w:before="56"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4"/>
          <w:szCs w:val="24"/>
        </w:rPr>
        <w:t xml:space="preserve">References </w:t>
      </w:r>
    </w:p>
    <w:p w14:paraId="6A000033"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D. Hendrycks, C. Burns, A. Chen, and S. Ball, “CUAD: An Expert-Annotated NLP Dataset for Legal Contract Review,” in Advances in Neural Information Processing Systems (NeurIPS) Datasets and Benchmarks Track, 2021.</w:t>
      </w:r>
    </w:p>
    <w:p w14:paraId="6A000034"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P. Lewis et al., “Retrieval-Augmented Generation for Knowledge-Intensive NLP Tasks,” in Advances in Neural Information Processing Systems (NeurIPS), 2020.</w:t>
      </w:r>
    </w:p>
    <w:p w14:paraId="6A000035"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S. Robertson and H. Zaragoza, “The Probabilistic Relevance Framework: BM25 and Beyond,” Foundations and Trends in Information Retrieval, vol. 3, no. 4, pp. 333–389, 2009.</w:t>
      </w:r>
    </w:p>
    <w:p w14:paraId="6A000036"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J. Johnson, M. Douze, and H. Jégou, “Billion-Scale Similarity Search with GPUs,” IEEE Transactions on Big Data, vol. 7, no. 3, 2021 (FAISS library).</w:t>
      </w:r>
    </w:p>
    <w:p w14:paraId="6A000037"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W. Wang et al., “MiniLM: Deep Self-Attention Distillation for Task-Agnostic Compression of Pre-Trained Transformers,” in Advances in Neural Information Processing Systems (NeurIPS), 2020.</w:t>
      </w:r>
    </w:p>
    <w:p w14:paraId="6A000038"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Supreme Court of the United States, Dobbs v. Jackson Women’s Health Organization, 597 U.S. ___ (2022); Students for Fair Admissions v. Harvard, 600 U.S. ___ (2023); Google LLC v. Oracle America, Inc., 593 U.S. ___ (2021). Opinions retrieved from supremecourt.gov.</w:t>
      </w:r>
    </w:p>
    <w:p w14:paraId="6A000039" w14:textId="77777777" w:rsidR="00A82D3C" w:rsidRDefault="00000000">
      <w:pPr>
        <w:numPr>
          <w:ilvl w:val="0"/>
          <w:numId w:val="1"/>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Ollama (v0.30), local large language model runtime, https://ollama.com; Meta AI, “Llama 3.2” model card, 2024; OpenAI, “GPT-4o-mini,” 2024.</w:t>
      </w:r>
    </w:p>
    <w:sectPr w:rsidR="00A82D3C">
      <w:footerReference w:type="default" r:id="rId15"/>
      <w:pgSz w:w="12240" w:h="15840"/>
      <w:pgMar w:top="1440" w:right="1440" w:bottom="7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9466D" w14:textId="77777777" w:rsidR="008A0715" w:rsidRDefault="008A0715">
      <w:pPr>
        <w:spacing w:after="0" w:line="240" w:lineRule="auto"/>
      </w:pPr>
      <w:r>
        <w:separator/>
      </w:r>
    </w:p>
  </w:endnote>
  <w:endnote w:type="continuationSeparator" w:id="0">
    <w:p w14:paraId="528493BA" w14:textId="77777777" w:rsidR="008A0715" w:rsidRDefault="008A0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495B6EE-290B-44AA-9F6F-4876E0F068EC}"/>
    <w:embedBold r:id="rId2" w:fontKey="{731E410F-75BD-4E72-8242-61DF08A9F5E3}"/>
  </w:font>
  <w:font w:name="Georgia">
    <w:panose1 w:val="02040502050405020303"/>
    <w:charset w:val="00"/>
    <w:family w:val="roman"/>
    <w:pitch w:val="variable"/>
    <w:sig w:usb0="00000287" w:usb1="00000000" w:usb2="00000000" w:usb3="00000000" w:csb0="0000009F" w:csb1="00000000"/>
    <w:embedItalic r:id="rId3" w:fontKey="{902856A1-0246-4B88-BA63-2BA0BB7F0DE2}"/>
  </w:font>
  <w:font w:name="Century Schoolbook">
    <w:charset w:val="00"/>
    <w:family w:val="roman"/>
    <w:pitch w:val="variable"/>
    <w:sig w:usb0="00000287" w:usb1="00000000" w:usb2="00000000" w:usb3="00000000" w:csb0="0000009F" w:csb1="00000000"/>
    <w:embedBold r:id="rId4" w:fontKey="{6F54500B-8E58-4695-B97F-D271EAA218A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49BE684-85FA-4B56-8E7A-2F4E9316E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DDF0" w14:textId="77777777" w:rsidR="00A82D3C" w:rsidRDefault="00000000">
    <w:pPr>
      <w:pBdr>
        <w:top w:val="nil"/>
        <w:left w:val="nil"/>
        <w:bottom w:val="nil"/>
        <w:right w:val="nil"/>
        <w:between w:val="nil"/>
      </w:pBdr>
      <w:spacing w:after="0" w:line="240" w:lineRule="auto"/>
      <w:ind w:left="-567"/>
      <w:rPr>
        <w:color w:val="000000"/>
      </w:rPr>
    </w:pPr>
    <w:r>
      <w:rPr>
        <w:noProof/>
        <w:color w:val="000000"/>
      </w:rPr>
      <w:drawing>
        <wp:inline distT="0" distB="0" distL="0" distR="0" wp14:anchorId="3BCAF216" wp14:editId="73B616DF">
          <wp:extent cx="6750050" cy="4889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50050" cy="488950"/>
                  </a:xfrm>
                  <a:prstGeom prst="rect">
                    <a:avLst/>
                  </a:prstGeom>
                  <a:ln/>
                </pic:spPr>
              </pic:pic>
            </a:graphicData>
          </a:graphic>
        </wp:inline>
      </w:drawing>
    </w:r>
  </w:p>
  <w:p w14:paraId="248E0426" w14:textId="77777777" w:rsidR="00A82D3C" w:rsidRDefault="00000000">
    <w:pPr>
      <w:pBdr>
        <w:top w:val="nil"/>
        <w:left w:val="nil"/>
        <w:bottom w:val="nil"/>
        <w:right w:val="nil"/>
        <w:between w:val="nil"/>
      </w:pBdr>
      <w:tabs>
        <w:tab w:val="left" w:pos="2856"/>
      </w:tabs>
      <w:spacing w:after="0" w:line="240" w:lineRule="auto"/>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978A" w14:textId="77777777" w:rsidR="00A82D3C" w:rsidRDefault="00A82D3C">
    <w:pPr>
      <w:pBdr>
        <w:top w:val="nil"/>
        <w:left w:val="nil"/>
        <w:bottom w:val="nil"/>
        <w:right w:val="nil"/>
        <w:between w:val="nil"/>
      </w:pBdr>
      <w:spacing w:after="0" w:line="240" w:lineRule="auto"/>
      <w:ind w:left="-567"/>
      <w:rPr>
        <w:color w:val="000000"/>
      </w:rPr>
    </w:pPr>
  </w:p>
  <w:p w14:paraId="616B4AB1" w14:textId="77777777" w:rsidR="00A82D3C" w:rsidRDefault="00000000">
    <w:pPr>
      <w:pBdr>
        <w:top w:val="nil"/>
        <w:left w:val="nil"/>
        <w:bottom w:val="nil"/>
        <w:right w:val="nil"/>
        <w:between w:val="nil"/>
      </w:pBdr>
      <w:tabs>
        <w:tab w:val="left" w:pos="2856"/>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E896" w14:textId="77777777" w:rsidR="008A0715" w:rsidRDefault="008A0715">
      <w:pPr>
        <w:spacing w:after="0" w:line="240" w:lineRule="auto"/>
      </w:pPr>
      <w:r>
        <w:separator/>
      </w:r>
    </w:p>
  </w:footnote>
  <w:footnote w:type="continuationSeparator" w:id="0">
    <w:p w14:paraId="7EA42D19" w14:textId="77777777" w:rsidR="008A0715" w:rsidRDefault="008A0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58635" w14:textId="77777777" w:rsidR="00A82D3C" w:rsidRDefault="00000000">
    <w:pPr>
      <w:pBdr>
        <w:top w:val="nil"/>
        <w:left w:val="nil"/>
        <w:bottom w:val="nil"/>
        <w:right w:val="nil"/>
        <w:between w:val="nil"/>
      </w:pBdr>
      <w:spacing w:after="0" w:line="240" w:lineRule="auto"/>
      <w:rPr>
        <w:color w:val="000000"/>
      </w:rPr>
    </w:pPr>
    <w:r>
      <w:rPr>
        <w:color w:val="000000"/>
      </w:rPr>
      <w:pict w14:anchorId="38B0A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25pt;height:225pt;z-index:-251657728;mso-position-horizontal:center;mso-position-horizontal-relative:margin;mso-position-vertical:center;mso-position-vertical-relative:margin">
          <v:imagedata r:id="rId1" o:title="imag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5C4A" w14:textId="77777777" w:rsidR="00A82D3C" w:rsidRDefault="00000000">
    <w:pPr>
      <w:pBdr>
        <w:top w:val="nil"/>
        <w:left w:val="nil"/>
        <w:bottom w:val="nil"/>
        <w:right w:val="nil"/>
        <w:between w:val="nil"/>
      </w:pBdr>
      <w:spacing w:after="0" w:line="240" w:lineRule="auto"/>
      <w:rPr>
        <w:color w:val="000000"/>
      </w:rPr>
    </w:pPr>
    <w:r>
      <w:rPr>
        <w:color w:val="000000"/>
      </w:rPr>
      <w:pict w14:anchorId="6C52B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225pt;height:225pt;z-index:-251659776;mso-position-horizontal:center;mso-position-horizontal-relative:margin;mso-position-vertical:center;mso-position-vertical-relative:margin">
          <v:imagedata r:id="rId1" o:title="image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5F4C" w14:textId="77777777" w:rsidR="00A82D3C" w:rsidRDefault="00000000">
    <w:pPr>
      <w:pBdr>
        <w:top w:val="nil"/>
        <w:left w:val="nil"/>
        <w:bottom w:val="nil"/>
        <w:right w:val="nil"/>
        <w:between w:val="nil"/>
      </w:pBdr>
      <w:spacing w:after="0" w:line="240" w:lineRule="auto"/>
      <w:rPr>
        <w:color w:val="000000"/>
      </w:rPr>
    </w:pPr>
    <w:r>
      <w:rPr>
        <w:color w:val="000000"/>
      </w:rPr>
      <w:pict w14:anchorId="2B986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25pt;height:225pt;z-index:-251658752;mso-position-horizontal:center;mso-position-horizontal-relative:margin;mso-position-vertical:center;mso-position-vertical-relative:margin">
          <v:imagedata r:id="rId1" o:title="imag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A521D"/>
    <w:multiLevelType w:val="multilevel"/>
    <w:tmpl w:val="DAB4D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690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D3C"/>
    <w:rsid w:val="0056212D"/>
    <w:rsid w:val="008A0715"/>
    <w:rsid w:val="00A82D3C"/>
    <w:rsid w:val="00E16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65D3"/>
  <w15:docId w15:val="{A59B0BC7-2F1C-4A0C-A1B2-F50BE525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18" Type="http://schemas.openxmlformats.org/officeDocument/2006/relationships/image" Target="media/flowchart.png"/><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Relationships xmlns="http://schemas.openxmlformats.org/package/2006/relationships"><Relationship Id="rId1" Type="http://schemas.openxmlformats.org/officeDocument/2006/relationships/image" Target="media/image5.png"/></Relationships>
</file>

<file path=word/_rels/header1.xml.rels><?xml version="1.0" encoding="UTF-8"?><Relationships xmlns="http://schemas.openxmlformats.org/package/2006/relationships"><Relationship Id="rId1" Type="http://schemas.openxmlformats.org/officeDocument/2006/relationships/image" Target="media/image4.png"/></Relationships>
</file>

<file path=word/_rels/header2.xml.rels><?xml version="1.0" encoding="UTF-8"?><Relationships xmlns="http://schemas.openxmlformats.org/package/2006/relationships"><Relationship Id="rId1" Type="http://schemas.openxmlformats.org/officeDocument/2006/relationships/image" Target="media/image4.png"/></Relationships>
</file>

<file path=word/_rels/header3.xml.rels><?xml version="1.0" encoding="UTF-8"?><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w15N7eVEN0/N8afOrTWdSj02A==">CgMxLjAyDmgua29ya2N5NzZpMDFrMghoLmdqZGd4czgAciExUU01bUV2TVZJd3lhSzFaVExVZHBtNXdDcUE1Tzh5b0g=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manasa m</cp:lastModifiedBy>
  <cp:revision>2</cp:revision>
  <dcterms:created xsi:type="dcterms:W3CDTF">2026-07-07T09:46:00Z</dcterms:created>
  <dcterms:modified xsi:type="dcterms:W3CDTF">2026-07-07T09:46:00Z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8A0C2B924D9746799AF77B82BC9436E9_12</vt:lpwstr>
  </property>
</Properties>
</file>