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2E7A" w14:textId="77777777" w:rsidR="004D0277" w:rsidRDefault="004D0277" w:rsidP="004D0277">
      <w:pPr>
        <w:jc w:val="center"/>
        <w:rPr>
          <w:b/>
          <w:bCs/>
          <w:sz w:val="52"/>
          <w:szCs w:val="52"/>
          <w:lang w:val="en-US"/>
        </w:rPr>
      </w:pPr>
    </w:p>
    <w:p w14:paraId="319477D3" w14:textId="77777777" w:rsidR="004D0277" w:rsidRDefault="004D0277" w:rsidP="004D0277">
      <w:pPr>
        <w:jc w:val="center"/>
        <w:rPr>
          <w:b/>
          <w:bCs/>
          <w:sz w:val="52"/>
          <w:szCs w:val="52"/>
          <w:lang w:val="en-US"/>
        </w:rPr>
      </w:pPr>
    </w:p>
    <w:p w14:paraId="623C8BB7" w14:textId="77777777" w:rsidR="004D0277" w:rsidRDefault="004D0277" w:rsidP="004D0277">
      <w:pPr>
        <w:jc w:val="center"/>
        <w:rPr>
          <w:b/>
          <w:bCs/>
          <w:sz w:val="52"/>
          <w:szCs w:val="52"/>
          <w:lang w:val="en-US"/>
        </w:rPr>
      </w:pPr>
    </w:p>
    <w:p w14:paraId="260BDBD2" w14:textId="77777777" w:rsidR="004D0277" w:rsidRDefault="004D0277" w:rsidP="004D0277">
      <w:pPr>
        <w:jc w:val="center"/>
        <w:rPr>
          <w:b/>
          <w:bCs/>
          <w:sz w:val="52"/>
          <w:szCs w:val="52"/>
          <w:lang w:val="en-US"/>
        </w:rPr>
      </w:pPr>
    </w:p>
    <w:p w14:paraId="121C2EC3" w14:textId="77777777" w:rsidR="004D0277" w:rsidRDefault="004D0277" w:rsidP="004D0277">
      <w:pPr>
        <w:jc w:val="center"/>
        <w:rPr>
          <w:b/>
          <w:bCs/>
          <w:sz w:val="52"/>
          <w:szCs w:val="52"/>
          <w:lang w:val="en-US"/>
        </w:rPr>
      </w:pPr>
    </w:p>
    <w:p w14:paraId="08B44326" w14:textId="77777777" w:rsidR="004D0277" w:rsidRDefault="004D0277" w:rsidP="004D0277">
      <w:pPr>
        <w:jc w:val="center"/>
        <w:rPr>
          <w:b/>
          <w:bCs/>
          <w:sz w:val="52"/>
          <w:szCs w:val="52"/>
          <w:lang w:val="en-US"/>
        </w:rPr>
      </w:pPr>
    </w:p>
    <w:p w14:paraId="11B01FC2" w14:textId="77777777" w:rsidR="004D0277" w:rsidRDefault="004D0277" w:rsidP="004D0277">
      <w:pPr>
        <w:jc w:val="center"/>
        <w:rPr>
          <w:b/>
          <w:bCs/>
          <w:sz w:val="52"/>
          <w:szCs w:val="52"/>
          <w:lang w:val="en-US"/>
        </w:rPr>
      </w:pPr>
    </w:p>
    <w:p w14:paraId="36FB337F" w14:textId="77777777" w:rsidR="004D0277" w:rsidRDefault="004D0277" w:rsidP="004D0277">
      <w:pPr>
        <w:jc w:val="center"/>
        <w:rPr>
          <w:b/>
          <w:bCs/>
          <w:sz w:val="52"/>
          <w:szCs w:val="52"/>
          <w:lang w:val="en-US"/>
        </w:rPr>
      </w:pPr>
    </w:p>
    <w:p w14:paraId="33F3B6F2" w14:textId="2CBF03A2" w:rsidR="00137E6C" w:rsidRDefault="00137E6C" w:rsidP="004D0277">
      <w:pPr>
        <w:jc w:val="center"/>
        <w:rPr>
          <w:b/>
          <w:bCs/>
          <w:sz w:val="52"/>
          <w:szCs w:val="52"/>
          <w:lang w:val="en-US"/>
        </w:rPr>
      </w:pPr>
      <w:r w:rsidRPr="00137E6C">
        <w:rPr>
          <w:b/>
          <w:bCs/>
          <w:sz w:val="52"/>
          <w:szCs w:val="52"/>
          <w:lang w:val="en-US"/>
        </w:rPr>
        <w:t xml:space="preserve">India’s Education Loan Framework: Expanding Access to </w:t>
      </w:r>
      <w:r w:rsidR="004D0277" w:rsidRPr="00137E6C">
        <w:rPr>
          <w:b/>
          <w:bCs/>
          <w:sz w:val="52"/>
          <w:szCs w:val="52"/>
          <w:lang w:val="en-US"/>
        </w:rPr>
        <w:t>Lower- and Middle-Income</w:t>
      </w:r>
      <w:r w:rsidRPr="00137E6C">
        <w:rPr>
          <w:b/>
          <w:bCs/>
          <w:sz w:val="52"/>
          <w:szCs w:val="52"/>
          <w:lang w:val="en-US"/>
        </w:rPr>
        <w:t xml:space="preserve"> Students</w:t>
      </w:r>
    </w:p>
    <w:p w14:paraId="47EDC016" w14:textId="77777777" w:rsidR="004D0277" w:rsidRDefault="004D0277" w:rsidP="004D0277">
      <w:pPr>
        <w:jc w:val="center"/>
        <w:rPr>
          <w:b/>
          <w:bCs/>
          <w:sz w:val="52"/>
          <w:szCs w:val="52"/>
          <w:lang w:val="en-US"/>
        </w:rPr>
      </w:pPr>
    </w:p>
    <w:p w14:paraId="198AD805" w14:textId="77777777" w:rsidR="004D0277" w:rsidRDefault="004D0277" w:rsidP="004D0277">
      <w:pPr>
        <w:jc w:val="center"/>
        <w:rPr>
          <w:b/>
          <w:bCs/>
          <w:sz w:val="52"/>
          <w:szCs w:val="52"/>
          <w:lang w:val="en-US"/>
        </w:rPr>
      </w:pPr>
      <w:r>
        <w:rPr>
          <w:b/>
          <w:bCs/>
          <w:sz w:val="52"/>
          <w:szCs w:val="52"/>
          <w:lang w:val="en-US"/>
        </w:rPr>
        <w:t>Aaditya Agarwal</w:t>
      </w:r>
    </w:p>
    <w:p w14:paraId="5BD8C9F8" w14:textId="7E6F734C" w:rsidR="004D0277" w:rsidRDefault="004D0277" w:rsidP="004D0277">
      <w:pPr>
        <w:jc w:val="center"/>
        <w:rPr>
          <w:b/>
          <w:bCs/>
          <w:sz w:val="52"/>
          <w:szCs w:val="52"/>
          <w:lang w:val="en-US"/>
        </w:rPr>
      </w:pPr>
      <w:r>
        <w:rPr>
          <w:b/>
          <w:bCs/>
          <w:sz w:val="52"/>
          <w:szCs w:val="52"/>
          <w:lang w:val="en-US"/>
        </w:rPr>
        <w:t>Word Count: 5,</w:t>
      </w:r>
      <w:r w:rsidR="00262B47">
        <w:rPr>
          <w:b/>
          <w:bCs/>
          <w:sz w:val="52"/>
          <w:szCs w:val="52"/>
          <w:lang w:val="en-US"/>
        </w:rPr>
        <w:t>848</w:t>
      </w:r>
    </w:p>
    <w:p w14:paraId="25EA2986" w14:textId="77777777" w:rsidR="004D0277" w:rsidRDefault="004D0277" w:rsidP="004D0277">
      <w:pPr>
        <w:jc w:val="center"/>
        <w:rPr>
          <w:b/>
          <w:bCs/>
          <w:sz w:val="52"/>
          <w:szCs w:val="52"/>
          <w:lang w:val="en-US"/>
        </w:rPr>
      </w:pPr>
    </w:p>
    <w:p w14:paraId="293AB8EB" w14:textId="7E8DEDD6" w:rsidR="004D0277" w:rsidRDefault="004D0277" w:rsidP="004D0277">
      <w:pPr>
        <w:jc w:val="center"/>
        <w:rPr>
          <w:b/>
          <w:bCs/>
          <w:sz w:val="52"/>
          <w:szCs w:val="52"/>
          <w:lang w:val="en-US"/>
        </w:rPr>
      </w:pPr>
      <w:r>
        <w:rPr>
          <w:b/>
          <w:bCs/>
          <w:sz w:val="52"/>
          <w:szCs w:val="52"/>
          <w:lang w:val="en-US"/>
        </w:rPr>
        <w:br w:type="page"/>
      </w:r>
    </w:p>
    <w:p w14:paraId="1CB648CE" w14:textId="77777777" w:rsidR="004D0277" w:rsidRPr="00137E6C" w:rsidRDefault="004D0277">
      <w:pPr>
        <w:rPr>
          <w:b/>
          <w:bCs/>
          <w:lang w:val="en-US"/>
        </w:rPr>
      </w:pPr>
    </w:p>
    <w:sdt>
      <w:sdtPr>
        <w:rPr>
          <w:rFonts w:ascii="Times New Roman" w:eastAsia="Times New Roman" w:hAnsi="Times New Roman" w:cs="Times New Roman"/>
          <w:b w:val="0"/>
          <w:bCs w:val="0"/>
          <w:color w:val="auto"/>
          <w:sz w:val="24"/>
          <w:szCs w:val="24"/>
          <w:lang w:val="en-IN" w:eastAsia="en-GB" w:bidi="hi-IN"/>
        </w:rPr>
        <w:id w:val="-1637718789"/>
        <w:docPartObj>
          <w:docPartGallery w:val="Table of Contents"/>
          <w:docPartUnique/>
        </w:docPartObj>
      </w:sdtPr>
      <w:sdtEndPr>
        <w:rPr>
          <w:noProof/>
        </w:rPr>
      </w:sdtEndPr>
      <w:sdtContent>
        <w:p w14:paraId="004DC98F" w14:textId="26BD8202" w:rsidR="00912D86" w:rsidRDefault="00912D86">
          <w:pPr>
            <w:pStyle w:val="TOCHeading"/>
          </w:pPr>
          <w:r>
            <w:t>Table of Contents</w:t>
          </w:r>
        </w:p>
        <w:p w14:paraId="17629D06" w14:textId="4DD7ECC5" w:rsidR="00912D86" w:rsidRDefault="00912D86">
          <w:pPr>
            <w:pStyle w:val="TOC1"/>
            <w:tabs>
              <w:tab w:val="right" w:leader="dot" w:pos="9016"/>
            </w:tabs>
            <w:rPr>
              <w:rFonts w:eastAsiaTheme="minorEastAsia"/>
              <w:b w:val="0"/>
              <w:bCs w:val="0"/>
              <w:i w:val="0"/>
              <w:iCs w:val="0"/>
              <w:noProof/>
              <w:kern w:val="2"/>
              <w:szCs w:val="21"/>
              <w14:ligatures w14:val="standardContextual"/>
            </w:rPr>
          </w:pPr>
          <w:r>
            <w:rPr>
              <w:b w:val="0"/>
              <w:bCs w:val="0"/>
            </w:rPr>
            <w:fldChar w:fldCharType="begin"/>
          </w:r>
          <w:r>
            <w:instrText xml:space="preserve"> TOC \o "1-3" \h \z \u </w:instrText>
          </w:r>
          <w:r>
            <w:rPr>
              <w:b w:val="0"/>
              <w:bCs w:val="0"/>
            </w:rPr>
            <w:fldChar w:fldCharType="separate"/>
          </w:r>
          <w:hyperlink w:anchor="_Toc201361307" w:history="1">
            <w:r w:rsidRPr="00D7315E">
              <w:rPr>
                <w:rStyle w:val="Hyperlink"/>
                <w:noProof/>
                <w:lang w:bidi="ar-SA"/>
              </w:rPr>
              <w:t>Introduction</w:t>
            </w:r>
            <w:r>
              <w:rPr>
                <w:noProof/>
                <w:webHidden/>
              </w:rPr>
              <w:tab/>
            </w:r>
            <w:r>
              <w:rPr>
                <w:noProof/>
                <w:webHidden/>
              </w:rPr>
              <w:fldChar w:fldCharType="begin"/>
            </w:r>
            <w:r>
              <w:rPr>
                <w:noProof/>
                <w:webHidden/>
              </w:rPr>
              <w:instrText xml:space="preserve"> PAGEREF _Toc201361307 \h </w:instrText>
            </w:r>
            <w:r>
              <w:rPr>
                <w:noProof/>
                <w:webHidden/>
              </w:rPr>
            </w:r>
            <w:r>
              <w:rPr>
                <w:noProof/>
                <w:webHidden/>
              </w:rPr>
              <w:fldChar w:fldCharType="separate"/>
            </w:r>
            <w:r w:rsidR="00B27355">
              <w:rPr>
                <w:noProof/>
                <w:webHidden/>
              </w:rPr>
              <w:t>2</w:t>
            </w:r>
            <w:r>
              <w:rPr>
                <w:noProof/>
                <w:webHidden/>
              </w:rPr>
              <w:fldChar w:fldCharType="end"/>
            </w:r>
          </w:hyperlink>
        </w:p>
        <w:p w14:paraId="3D2EBB88" w14:textId="30D955B4"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08" w:history="1">
            <w:r w:rsidR="00912D86" w:rsidRPr="00D7315E">
              <w:rPr>
                <w:rStyle w:val="Hyperlink"/>
                <w:noProof/>
                <w:lang w:bidi="ar-SA"/>
              </w:rPr>
              <w:t>Literature Review</w:t>
            </w:r>
            <w:r w:rsidR="00912D86">
              <w:rPr>
                <w:noProof/>
                <w:webHidden/>
              </w:rPr>
              <w:tab/>
            </w:r>
            <w:r w:rsidR="00912D86">
              <w:rPr>
                <w:noProof/>
                <w:webHidden/>
              </w:rPr>
              <w:fldChar w:fldCharType="begin"/>
            </w:r>
            <w:r w:rsidR="00912D86">
              <w:rPr>
                <w:noProof/>
                <w:webHidden/>
              </w:rPr>
              <w:instrText xml:space="preserve"> PAGEREF _Toc201361308 \h </w:instrText>
            </w:r>
            <w:r w:rsidR="00912D86">
              <w:rPr>
                <w:noProof/>
                <w:webHidden/>
              </w:rPr>
            </w:r>
            <w:r w:rsidR="00912D86">
              <w:rPr>
                <w:noProof/>
                <w:webHidden/>
              </w:rPr>
              <w:fldChar w:fldCharType="separate"/>
            </w:r>
            <w:r w:rsidR="00B27355">
              <w:rPr>
                <w:noProof/>
                <w:webHidden/>
              </w:rPr>
              <w:t>3</w:t>
            </w:r>
            <w:r w:rsidR="00912D86">
              <w:rPr>
                <w:noProof/>
                <w:webHidden/>
              </w:rPr>
              <w:fldChar w:fldCharType="end"/>
            </w:r>
          </w:hyperlink>
        </w:p>
        <w:p w14:paraId="44DD2DC4" w14:textId="19D13DCB"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09" w:history="1">
            <w:r w:rsidR="00912D86" w:rsidRPr="00D7315E">
              <w:rPr>
                <w:rStyle w:val="Hyperlink"/>
                <w:noProof/>
              </w:rPr>
              <w:t>Methods</w:t>
            </w:r>
            <w:r w:rsidR="00912D86">
              <w:rPr>
                <w:noProof/>
                <w:webHidden/>
              </w:rPr>
              <w:tab/>
            </w:r>
            <w:r w:rsidR="00912D86">
              <w:rPr>
                <w:noProof/>
                <w:webHidden/>
              </w:rPr>
              <w:fldChar w:fldCharType="begin"/>
            </w:r>
            <w:r w:rsidR="00912D86">
              <w:rPr>
                <w:noProof/>
                <w:webHidden/>
              </w:rPr>
              <w:instrText xml:space="preserve"> PAGEREF _Toc201361309 \h </w:instrText>
            </w:r>
            <w:r w:rsidR="00912D86">
              <w:rPr>
                <w:noProof/>
                <w:webHidden/>
              </w:rPr>
            </w:r>
            <w:r w:rsidR="00912D86">
              <w:rPr>
                <w:noProof/>
                <w:webHidden/>
              </w:rPr>
              <w:fldChar w:fldCharType="separate"/>
            </w:r>
            <w:r w:rsidR="00B27355">
              <w:rPr>
                <w:noProof/>
                <w:webHidden/>
              </w:rPr>
              <w:t>6</w:t>
            </w:r>
            <w:r w:rsidR="00912D86">
              <w:rPr>
                <w:noProof/>
                <w:webHidden/>
              </w:rPr>
              <w:fldChar w:fldCharType="end"/>
            </w:r>
          </w:hyperlink>
        </w:p>
        <w:p w14:paraId="74319E7A" w14:textId="21C86E99"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10" w:history="1">
            <w:r w:rsidR="00912D86" w:rsidRPr="00D7315E">
              <w:rPr>
                <w:rStyle w:val="Hyperlink"/>
                <w:noProof/>
              </w:rPr>
              <w:t>Results</w:t>
            </w:r>
            <w:r w:rsidR="00912D86">
              <w:rPr>
                <w:noProof/>
                <w:webHidden/>
              </w:rPr>
              <w:tab/>
            </w:r>
            <w:r w:rsidR="00912D86">
              <w:rPr>
                <w:noProof/>
                <w:webHidden/>
              </w:rPr>
              <w:fldChar w:fldCharType="begin"/>
            </w:r>
            <w:r w:rsidR="00912D86">
              <w:rPr>
                <w:noProof/>
                <w:webHidden/>
              </w:rPr>
              <w:instrText xml:space="preserve"> PAGEREF _Toc201361310 \h </w:instrText>
            </w:r>
            <w:r w:rsidR="00912D86">
              <w:rPr>
                <w:noProof/>
                <w:webHidden/>
              </w:rPr>
            </w:r>
            <w:r w:rsidR="00912D86">
              <w:rPr>
                <w:noProof/>
                <w:webHidden/>
              </w:rPr>
              <w:fldChar w:fldCharType="separate"/>
            </w:r>
            <w:r w:rsidR="00B27355">
              <w:rPr>
                <w:noProof/>
                <w:webHidden/>
              </w:rPr>
              <w:t>7</w:t>
            </w:r>
            <w:r w:rsidR="00912D86">
              <w:rPr>
                <w:noProof/>
                <w:webHidden/>
              </w:rPr>
              <w:fldChar w:fldCharType="end"/>
            </w:r>
          </w:hyperlink>
        </w:p>
        <w:p w14:paraId="2E99AC34" w14:textId="55356CB2"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11" w:history="1">
            <w:r w:rsidR="00912D86" w:rsidRPr="00D7315E">
              <w:rPr>
                <w:rStyle w:val="Hyperlink"/>
                <w:noProof/>
              </w:rPr>
              <w:t>Discussion</w:t>
            </w:r>
            <w:r w:rsidR="00912D86">
              <w:rPr>
                <w:noProof/>
                <w:webHidden/>
              </w:rPr>
              <w:tab/>
            </w:r>
            <w:r w:rsidR="00912D86">
              <w:rPr>
                <w:noProof/>
                <w:webHidden/>
              </w:rPr>
              <w:fldChar w:fldCharType="begin"/>
            </w:r>
            <w:r w:rsidR="00912D86">
              <w:rPr>
                <w:noProof/>
                <w:webHidden/>
              </w:rPr>
              <w:instrText xml:space="preserve"> PAGEREF _Toc201361311 \h </w:instrText>
            </w:r>
            <w:r w:rsidR="00912D86">
              <w:rPr>
                <w:noProof/>
                <w:webHidden/>
              </w:rPr>
            </w:r>
            <w:r w:rsidR="00912D86">
              <w:rPr>
                <w:noProof/>
                <w:webHidden/>
              </w:rPr>
              <w:fldChar w:fldCharType="separate"/>
            </w:r>
            <w:r w:rsidR="00B27355">
              <w:rPr>
                <w:noProof/>
                <w:webHidden/>
              </w:rPr>
              <w:t>20</w:t>
            </w:r>
            <w:r w:rsidR="00912D86">
              <w:rPr>
                <w:noProof/>
                <w:webHidden/>
              </w:rPr>
              <w:fldChar w:fldCharType="end"/>
            </w:r>
          </w:hyperlink>
        </w:p>
        <w:p w14:paraId="5870005C" w14:textId="4164082A"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12" w:history="1">
            <w:r w:rsidR="00912D86" w:rsidRPr="00D7315E">
              <w:rPr>
                <w:rStyle w:val="Hyperlink"/>
                <w:noProof/>
              </w:rPr>
              <w:t>Conclusion</w:t>
            </w:r>
            <w:r w:rsidR="00912D86">
              <w:rPr>
                <w:noProof/>
                <w:webHidden/>
              </w:rPr>
              <w:tab/>
            </w:r>
            <w:r w:rsidR="00912D86">
              <w:rPr>
                <w:noProof/>
                <w:webHidden/>
              </w:rPr>
              <w:fldChar w:fldCharType="begin"/>
            </w:r>
            <w:r w:rsidR="00912D86">
              <w:rPr>
                <w:noProof/>
                <w:webHidden/>
              </w:rPr>
              <w:instrText xml:space="preserve"> PAGEREF _Toc201361312 \h </w:instrText>
            </w:r>
            <w:r w:rsidR="00912D86">
              <w:rPr>
                <w:noProof/>
                <w:webHidden/>
              </w:rPr>
            </w:r>
            <w:r w:rsidR="00912D86">
              <w:rPr>
                <w:noProof/>
                <w:webHidden/>
              </w:rPr>
              <w:fldChar w:fldCharType="separate"/>
            </w:r>
            <w:r w:rsidR="00B27355">
              <w:rPr>
                <w:noProof/>
                <w:webHidden/>
              </w:rPr>
              <w:t>30</w:t>
            </w:r>
            <w:r w:rsidR="00912D86">
              <w:rPr>
                <w:noProof/>
                <w:webHidden/>
              </w:rPr>
              <w:fldChar w:fldCharType="end"/>
            </w:r>
          </w:hyperlink>
        </w:p>
        <w:p w14:paraId="5BCAAF79" w14:textId="73D83406" w:rsidR="00912D86" w:rsidRDefault="00000000">
          <w:pPr>
            <w:pStyle w:val="TOC1"/>
            <w:tabs>
              <w:tab w:val="right" w:leader="dot" w:pos="9016"/>
            </w:tabs>
            <w:rPr>
              <w:rFonts w:eastAsiaTheme="minorEastAsia"/>
              <w:b w:val="0"/>
              <w:bCs w:val="0"/>
              <w:i w:val="0"/>
              <w:iCs w:val="0"/>
              <w:noProof/>
              <w:kern w:val="2"/>
              <w:szCs w:val="21"/>
              <w14:ligatures w14:val="standardContextual"/>
            </w:rPr>
          </w:pPr>
          <w:hyperlink w:anchor="_Toc201361313" w:history="1">
            <w:r w:rsidR="00912D86" w:rsidRPr="00D7315E">
              <w:rPr>
                <w:rStyle w:val="Hyperlink"/>
                <w:noProof/>
                <w:lang w:val="en-US"/>
              </w:rPr>
              <w:t>Works Cited</w:t>
            </w:r>
            <w:r w:rsidR="00912D86">
              <w:rPr>
                <w:noProof/>
                <w:webHidden/>
              </w:rPr>
              <w:tab/>
            </w:r>
            <w:r w:rsidR="00912D86">
              <w:rPr>
                <w:noProof/>
                <w:webHidden/>
              </w:rPr>
              <w:fldChar w:fldCharType="begin"/>
            </w:r>
            <w:r w:rsidR="00912D86">
              <w:rPr>
                <w:noProof/>
                <w:webHidden/>
              </w:rPr>
              <w:instrText xml:space="preserve"> PAGEREF _Toc201361313 \h </w:instrText>
            </w:r>
            <w:r w:rsidR="00912D86">
              <w:rPr>
                <w:noProof/>
                <w:webHidden/>
              </w:rPr>
            </w:r>
            <w:r w:rsidR="00912D86">
              <w:rPr>
                <w:noProof/>
                <w:webHidden/>
              </w:rPr>
              <w:fldChar w:fldCharType="separate"/>
            </w:r>
            <w:r w:rsidR="00B27355">
              <w:rPr>
                <w:noProof/>
                <w:webHidden/>
              </w:rPr>
              <w:t>31</w:t>
            </w:r>
            <w:r w:rsidR="00912D86">
              <w:rPr>
                <w:noProof/>
                <w:webHidden/>
              </w:rPr>
              <w:fldChar w:fldCharType="end"/>
            </w:r>
          </w:hyperlink>
        </w:p>
        <w:p w14:paraId="433A2B72" w14:textId="09BA9DEF" w:rsidR="00912D86" w:rsidRDefault="00912D86">
          <w:r>
            <w:rPr>
              <w:b/>
              <w:bCs/>
              <w:noProof/>
            </w:rPr>
            <w:fldChar w:fldCharType="end"/>
          </w:r>
        </w:p>
      </w:sdtContent>
    </w:sdt>
    <w:p w14:paraId="4BBA9A7A" w14:textId="77777777" w:rsidR="002B7AED" w:rsidRPr="00A07C6B" w:rsidRDefault="002B7AED" w:rsidP="00A07C6B">
      <w:pPr>
        <w:spacing w:line="480" w:lineRule="auto"/>
        <w:rPr>
          <w:lang w:val="en-US"/>
        </w:rPr>
      </w:pPr>
    </w:p>
    <w:p w14:paraId="712C82C1" w14:textId="344757C8" w:rsidR="00654E88" w:rsidRPr="00175259" w:rsidRDefault="00175259" w:rsidP="00175259">
      <w:pPr>
        <w:pStyle w:val="Heading1"/>
        <w:rPr>
          <w:rFonts w:ascii="Times New Roman" w:hAnsi="Times New Roman" w:cs="Times New Roman"/>
        </w:rPr>
      </w:pPr>
      <w:bookmarkStart w:id="0" w:name="_Toc201361307"/>
      <w:r>
        <w:rPr>
          <w:lang w:bidi="ar-SA"/>
        </w:rPr>
        <w:t>Introduction</w:t>
      </w:r>
      <w:bookmarkEnd w:id="0"/>
    </w:p>
    <w:p w14:paraId="0B3EBFF6" w14:textId="48CECAAB" w:rsidR="00175259" w:rsidRDefault="00EF0B28" w:rsidP="00A56CF2">
      <w:pPr>
        <w:spacing w:line="480" w:lineRule="auto"/>
      </w:pPr>
      <w:r>
        <w:t xml:space="preserve">Education is an invaluable tool in facilitating personal and national growth. Every additional year of schooling raises national GDP growth rate by 0.37% on average </w:t>
      </w:r>
      <w:r w:rsidRPr="00EF0B28">
        <w:rPr>
          <w:lang w:val="en-GB"/>
        </w:rPr>
        <w:t>(Hanushek and Woessmann 90)</w:t>
      </w:r>
      <w:r>
        <w:t xml:space="preserve">. </w:t>
      </w:r>
      <w:r w:rsidR="00A56CF2">
        <w:t xml:space="preserve">Those with higher levels of education are known to report a stronger sense of control and greater satisfaction with their life (OECD 2021). </w:t>
      </w:r>
      <w:r w:rsidR="00765B27">
        <w:t xml:space="preserve">Education systems around the world are distinct in the method they are financed, and </w:t>
      </w:r>
      <w:r w:rsidR="00A56CF2">
        <w:t>the way students afford</w:t>
      </w:r>
      <w:r w:rsidR="004C577B">
        <w:t xml:space="preserve"> </w:t>
      </w:r>
      <w:r w:rsidR="00765B27">
        <w:t xml:space="preserve">higher education. </w:t>
      </w:r>
      <w:r w:rsidR="00256B8A">
        <w:t>Particularly</w:t>
      </w:r>
      <w:r w:rsidR="00256B8A">
        <w:t xml:space="preserve">, </w:t>
      </w:r>
      <w:r w:rsidR="00256B8A">
        <w:t>in</w:t>
      </w:r>
      <w:r w:rsidR="00765B27">
        <w:t xml:space="preserve"> developed countries</w:t>
      </w:r>
      <w:r w:rsidR="00256B8A">
        <w:t xml:space="preserve"> </w:t>
      </w:r>
      <w:r w:rsidR="00765B27">
        <w:t xml:space="preserve">the central government substantially contributes </w:t>
      </w:r>
      <w:r w:rsidR="00256B8A">
        <w:t xml:space="preserve">to </w:t>
      </w:r>
      <w:r w:rsidR="00765B27">
        <w:t>federal aid – the United States spent $40.47 billion (USD) on student loans and subsidies, and $3.89 billion (USD) on grants</w:t>
      </w:r>
      <w:r w:rsidR="004C577B">
        <w:t xml:space="preserve"> </w:t>
      </w:r>
      <w:r w:rsidR="004C577B" w:rsidRPr="004C577B">
        <w:rPr>
          <w:lang w:val="en-GB"/>
        </w:rPr>
        <w:t>(U.S</w:t>
      </w:r>
      <w:r w:rsidR="004C577B">
        <w:t xml:space="preserve"> Department</w:t>
      </w:r>
      <w:r w:rsidR="004C577B" w:rsidRPr="004C577B">
        <w:rPr>
          <w:lang w:val="en-GB"/>
        </w:rPr>
        <w:t xml:space="preserve"> of Education)</w:t>
      </w:r>
      <w:r w:rsidR="004C577B">
        <w:t xml:space="preserve">. </w:t>
      </w:r>
      <w:r w:rsidR="00765B27">
        <w:t>However, in the global south, such as in India, education loans to finance higher education for lower and middle-income students are disbursed either by</w:t>
      </w:r>
      <w:r w:rsidR="004C577B">
        <w:t xml:space="preserve"> the Indian Banks Association (IBAs), largely </w:t>
      </w:r>
      <w:r w:rsidR="00765B27">
        <w:t>Public Sector Banks (PSBs</w:t>
      </w:r>
      <w:r w:rsidR="004C577B">
        <w:t xml:space="preserve">) whose loans are subsidised by governments, or by </w:t>
      </w:r>
      <w:r w:rsidR="004C577B" w:rsidRPr="004C577B">
        <w:rPr>
          <w:lang w:val="en-GB"/>
        </w:rPr>
        <w:t>Non-Banking Financial Compan</w:t>
      </w:r>
      <w:r w:rsidR="004C577B">
        <w:t xml:space="preserve">ies (NBFCs), operating on market principles, driven by profit. </w:t>
      </w:r>
      <w:r w:rsidR="00654E88">
        <w:t xml:space="preserve">India’s higher education system is the largest in the world. </w:t>
      </w:r>
    </w:p>
    <w:p w14:paraId="2B2ED7D4" w14:textId="77777777" w:rsidR="00A5720D" w:rsidRDefault="00A5720D" w:rsidP="00A56CF2">
      <w:pPr>
        <w:spacing w:line="480" w:lineRule="auto"/>
      </w:pPr>
    </w:p>
    <w:p w14:paraId="2EDDF504" w14:textId="638F4B0B" w:rsidR="00175259" w:rsidRDefault="00654E88" w:rsidP="00A56CF2">
      <w:pPr>
        <w:spacing w:line="480" w:lineRule="auto"/>
      </w:pPr>
      <w:r>
        <w:lastRenderedPageBreak/>
        <w:t xml:space="preserve">There was a 26.5% increase in the </w:t>
      </w:r>
      <w:r w:rsidR="00765B27">
        <w:t>General Enrolment</w:t>
      </w:r>
      <w:r>
        <w:t xml:space="preserve"> </w:t>
      </w:r>
      <w:r w:rsidR="00765B27">
        <w:t>Rate (GER)</w:t>
      </w:r>
      <w:r>
        <w:t xml:space="preserve"> in higher education from 3.42 crores in 2014-15, to 4.33 crores in 2021-22 </w:t>
      </w:r>
      <w:r w:rsidRPr="00654E88">
        <w:rPr>
          <w:lang w:val="en-GB"/>
        </w:rPr>
        <w:t xml:space="preserve">(Government of India </w:t>
      </w:r>
      <w:r>
        <w:t xml:space="preserve">i), and </w:t>
      </w:r>
      <w:r w:rsidR="00765B27">
        <w:t xml:space="preserve">the Government aims to reach a GER of 50% by 2035, mandating a sound policy framework to facilitate the same.  </w:t>
      </w:r>
      <w:r w:rsidR="009C6CF9">
        <w:t>There are certain differences in the way PSB</w:t>
      </w:r>
      <w:r w:rsidR="000E582B">
        <w:t xml:space="preserve">s and NBFCs disburse loans, which have implications on affordability and quality of loans – eventually impacting the beneficiaries as well. Most notably, these loans are utilised by different economic sections, with public sector loans more often being availed by lower-income students, and NBFC loans utilised by higher income students </w:t>
      </w:r>
      <w:r w:rsidR="000E582B" w:rsidRPr="000E582B">
        <w:t>(Crif High Mark)</w:t>
      </w:r>
      <w:r w:rsidR="000E582B">
        <w:t xml:space="preserve">. </w:t>
      </w:r>
    </w:p>
    <w:p w14:paraId="6394EE85" w14:textId="77777777" w:rsidR="00175259" w:rsidRDefault="00175259" w:rsidP="00A56CF2">
      <w:pPr>
        <w:spacing w:line="480" w:lineRule="auto"/>
      </w:pPr>
    </w:p>
    <w:p w14:paraId="1D17EAF2" w14:textId="140D76D8" w:rsidR="005C168A" w:rsidRPr="005C168A" w:rsidRDefault="004C577B" w:rsidP="00A56CF2">
      <w:pPr>
        <w:spacing w:line="480" w:lineRule="auto"/>
        <w:rPr>
          <w:lang w:val="en-GB" w:bidi="ar-SA"/>
        </w:rPr>
      </w:pPr>
      <w:r w:rsidRPr="009C6CF9">
        <w:rPr>
          <w:b/>
          <w:bCs/>
        </w:rPr>
        <w:t>This research paper aims to highlight</w:t>
      </w:r>
      <w:r w:rsidRPr="009C6CF9">
        <w:rPr>
          <w:b/>
          <w:bCs/>
          <w:lang w:val="en-GB"/>
        </w:rPr>
        <w:t xml:space="preserve"> the </w:t>
      </w:r>
      <w:r w:rsidRPr="009C6CF9">
        <w:rPr>
          <w:b/>
          <w:bCs/>
        </w:rPr>
        <w:t xml:space="preserve">key </w:t>
      </w:r>
      <w:r w:rsidRPr="009C6CF9">
        <w:rPr>
          <w:b/>
          <w:bCs/>
          <w:lang w:val="en-GB"/>
        </w:rPr>
        <w:t xml:space="preserve">functional differences </w:t>
      </w:r>
      <w:r w:rsidRPr="009C6CF9">
        <w:rPr>
          <w:b/>
          <w:bCs/>
        </w:rPr>
        <w:t xml:space="preserve">across </w:t>
      </w:r>
      <w:r w:rsidR="00473B2C">
        <w:rPr>
          <w:b/>
          <w:bCs/>
        </w:rPr>
        <w:t>accessibility</w:t>
      </w:r>
      <w:r w:rsidRPr="009C6CF9">
        <w:rPr>
          <w:b/>
          <w:bCs/>
        </w:rPr>
        <w:t xml:space="preserve">, </w:t>
      </w:r>
      <w:r w:rsidR="00182825">
        <w:rPr>
          <w:b/>
          <w:bCs/>
        </w:rPr>
        <w:t>cost and affordability</w:t>
      </w:r>
      <w:r w:rsidRPr="009C6CF9">
        <w:rPr>
          <w:b/>
          <w:bCs/>
        </w:rPr>
        <w:t xml:space="preserve">, </w:t>
      </w:r>
      <w:r w:rsidR="003A4FE1">
        <w:rPr>
          <w:b/>
          <w:bCs/>
        </w:rPr>
        <w:t xml:space="preserve">performance, delivery and operational efficiency </w:t>
      </w:r>
      <w:r w:rsidRPr="009C6CF9">
        <w:rPr>
          <w:b/>
          <w:bCs/>
        </w:rPr>
        <w:t xml:space="preserve">between </w:t>
      </w:r>
      <w:r w:rsidRPr="009C6CF9">
        <w:rPr>
          <w:b/>
          <w:bCs/>
          <w:lang w:val="en-GB"/>
        </w:rPr>
        <w:t xml:space="preserve">government-subsidized education loans offered by </w:t>
      </w:r>
      <w:r w:rsidR="00205456">
        <w:rPr>
          <w:b/>
          <w:bCs/>
        </w:rPr>
        <w:t>banks under the IBA Model Education Loan Scheme</w:t>
      </w:r>
      <w:r w:rsidRPr="009C6CF9">
        <w:rPr>
          <w:b/>
          <w:bCs/>
          <w:lang w:val="en-GB"/>
        </w:rPr>
        <w:t xml:space="preserve"> and private NBFC loans</w:t>
      </w:r>
      <w:r w:rsidRPr="009C6CF9">
        <w:rPr>
          <w:b/>
          <w:bCs/>
        </w:rPr>
        <w:t xml:space="preserve"> - and</w:t>
      </w:r>
      <w:r w:rsidRPr="009C6CF9">
        <w:rPr>
          <w:b/>
          <w:bCs/>
          <w:lang w:val="en-GB"/>
        </w:rPr>
        <w:t xml:space="preserve"> </w:t>
      </w:r>
      <w:r w:rsidRPr="009C6CF9">
        <w:rPr>
          <w:b/>
          <w:bCs/>
        </w:rPr>
        <w:t>discern what</w:t>
      </w:r>
      <w:r w:rsidRPr="009C6CF9">
        <w:rPr>
          <w:b/>
          <w:bCs/>
          <w:lang w:val="en-GB"/>
        </w:rPr>
        <w:t xml:space="preserve"> </w:t>
      </w:r>
      <w:r w:rsidRPr="009C6CF9">
        <w:rPr>
          <w:b/>
          <w:bCs/>
        </w:rPr>
        <w:t>structural policy</w:t>
      </w:r>
      <w:r w:rsidRPr="009C6CF9">
        <w:rPr>
          <w:b/>
          <w:bCs/>
          <w:lang w:val="en-GB"/>
        </w:rPr>
        <w:t xml:space="preserve"> changes </w:t>
      </w:r>
      <w:r w:rsidRPr="009C6CF9">
        <w:rPr>
          <w:b/>
          <w:bCs/>
        </w:rPr>
        <w:t>are</w:t>
      </w:r>
      <w:r w:rsidRPr="009C6CF9">
        <w:rPr>
          <w:b/>
          <w:bCs/>
          <w:lang w:val="en-GB"/>
        </w:rPr>
        <w:t xml:space="preserve"> required to make the NBFC model </w:t>
      </w:r>
      <w:r w:rsidRPr="009C6CF9">
        <w:rPr>
          <w:b/>
          <w:bCs/>
        </w:rPr>
        <w:t xml:space="preserve">favourably </w:t>
      </w:r>
      <w:r w:rsidRPr="009C6CF9">
        <w:rPr>
          <w:b/>
          <w:bCs/>
          <w:lang w:val="en-GB"/>
        </w:rPr>
        <w:t>accessible to low- and middle-income students in India</w:t>
      </w:r>
      <w:r w:rsidRPr="009C6CF9">
        <w:rPr>
          <w:b/>
          <w:bCs/>
        </w:rPr>
        <w:t>.</w:t>
      </w:r>
      <w:r w:rsidR="00EF0B28" w:rsidRPr="009C6CF9">
        <w:rPr>
          <w:b/>
          <w:bCs/>
        </w:rPr>
        <w:t xml:space="preserve"> </w:t>
      </w:r>
    </w:p>
    <w:p w14:paraId="7CAA993F" w14:textId="39E7D70C" w:rsidR="00654E88" w:rsidRPr="00137E6C" w:rsidRDefault="005C168A" w:rsidP="00137E6C">
      <w:pPr>
        <w:pStyle w:val="Heading1"/>
      </w:pPr>
      <w:bookmarkStart w:id="1" w:name="_Toc201361308"/>
      <w:r w:rsidRPr="00137E6C">
        <w:rPr>
          <w:lang w:bidi="ar-SA"/>
        </w:rPr>
        <w:t>Literature Review</w:t>
      </w:r>
      <w:bookmarkEnd w:id="1"/>
    </w:p>
    <w:p w14:paraId="5FFBD74C" w14:textId="77777777" w:rsidR="008D71EB" w:rsidRPr="008D71EB" w:rsidRDefault="008D71EB" w:rsidP="005C168A">
      <w:pPr>
        <w:spacing w:line="480" w:lineRule="auto"/>
        <w:rPr>
          <w:i/>
          <w:iCs/>
        </w:rPr>
      </w:pPr>
    </w:p>
    <w:p w14:paraId="40C15651" w14:textId="25A5E6E7" w:rsidR="008D71EB" w:rsidRDefault="00657206" w:rsidP="005C168A">
      <w:pPr>
        <w:spacing w:line="480" w:lineRule="auto"/>
      </w:pPr>
      <w:r>
        <w:t xml:space="preserve">Varghese (2021) </w:t>
      </w:r>
      <w:r w:rsidR="00653290">
        <w:t>characterises</w:t>
      </w:r>
      <w:r>
        <w:t xml:space="preserve"> </w:t>
      </w:r>
      <w:r w:rsidR="00653290">
        <w:t xml:space="preserve">education as a merit good, under-provided by market structures due to the “spillover” benefit outside of the individual student. Thus, he advocates for government funding as markets fail to optimise funding for higher education, crucially for India’s large poor population. Further, </w:t>
      </w:r>
      <w:r w:rsidR="0050370B">
        <w:t>Varghese</w:t>
      </w:r>
      <w:r w:rsidR="00653290">
        <w:t xml:space="preserve"> highlights how India fails to meet the 6% benchmark of education expenditure from GDP, and the budget allocates only 1.5% for higher education. Further, the proportion of government expenditure on higher education from the central education budget declined from 18.8% in 2000-2001 to 17.4% in 2016-17. He thus makes the case for the need to expand the affordable education system as PSBs fail </w:t>
      </w:r>
      <w:r w:rsidR="00653290">
        <w:lastRenderedPageBreak/>
        <w:t xml:space="preserve">to deliver, through regulation of NBFCs. As </w:t>
      </w:r>
      <w:r w:rsidR="006535CA">
        <w:t xml:space="preserve">the volume of </w:t>
      </w:r>
      <w:r w:rsidR="00653290">
        <w:t>loans ha</w:t>
      </w:r>
      <w:r w:rsidR="006535CA">
        <w:t xml:space="preserve">s increased </w:t>
      </w:r>
      <w:r w:rsidR="00653290">
        <w:t xml:space="preserve">from Rs. 1,028 Cr. In 2000-01, to Rs. 70,282 Cr. (2013-14), </w:t>
      </w:r>
      <w:r w:rsidR="008D024A">
        <w:t>outpacing</w:t>
      </w:r>
      <w:r w:rsidR="00653290">
        <w:t xml:space="preserve"> central government expenditure on higher education, the status of education loans as a pillar of financing higher education has been made </w:t>
      </w:r>
      <w:r w:rsidR="006C091B">
        <w:t>extremely</w:t>
      </w:r>
      <w:r w:rsidR="00653290">
        <w:t xml:space="preserve"> clear. Rani (2017) notes the growth of education loans to become more important than grants in the Indian context.</w:t>
      </w:r>
      <w:r w:rsidR="006C091B">
        <w:t xml:space="preserve"> Varghese additionally underscores the failure of the Indian educational framework to equitably include poor, rural and marginalized</w:t>
      </w:r>
      <w:r w:rsidR="00033C19">
        <w:t>, emphasising the need for targeted use of public resources. As concluded, the Government of India has a pivotal role to play in restructuring and regulating the delivery of private loans in its pursuit of expanding access to higher education to lower-and middle income students.</w:t>
      </w:r>
    </w:p>
    <w:p w14:paraId="040CE6D1" w14:textId="77777777" w:rsidR="00A01610" w:rsidRDefault="00A01610" w:rsidP="005C168A">
      <w:pPr>
        <w:spacing w:line="480" w:lineRule="auto"/>
      </w:pPr>
    </w:p>
    <w:p w14:paraId="1D2EA67D" w14:textId="77777777" w:rsidR="00137E6C" w:rsidRDefault="00776E80" w:rsidP="005C168A">
      <w:pPr>
        <w:spacing w:line="480" w:lineRule="auto"/>
      </w:pPr>
      <w:r>
        <w:t xml:space="preserve">Chalil (2021) presents a rigorous comparative public-private analysis of education loans in India. Highlighting the rapid expansion of education loans post the Model Education Loan Scheme post-2001, he goes on to </w:t>
      </w:r>
      <w:r w:rsidR="00CD4802">
        <w:t>expose</w:t>
      </w:r>
      <w:r>
        <w:t xml:space="preserve"> the regional concentration and </w:t>
      </w:r>
      <w:r w:rsidR="00515ACC">
        <w:t>access divide</w:t>
      </w:r>
      <w:r>
        <w:t xml:space="preserve"> </w:t>
      </w:r>
      <w:r w:rsidR="00515ACC">
        <w:t>in</w:t>
      </w:r>
      <w:r>
        <w:t xml:space="preserve"> education loans, where 54% of all loans go to Southern states (Tamil Nadu, and Kerala, most notably), and North Eastern states receive extremely low loan volumes. </w:t>
      </w:r>
      <w:r w:rsidR="001D67D8">
        <w:t xml:space="preserve">The role </w:t>
      </w:r>
      <w:r w:rsidR="00256FFA">
        <w:t>of</w:t>
      </w:r>
      <w:r w:rsidR="001D67D8">
        <w:t xml:space="preserve"> NBFCs bridging this gap is eventually highlighted, with an emphasis placed on the need for affordable education schemes from the private sector, facilitated by the government</w:t>
      </w:r>
      <w:r w:rsidR="0067497B">
        <w:t xml:space="preserve"> through incentives</w:t>
      </w:r>
      <w:r w:rsidR="00101CCB">
        <w:t>, due to the PSBs inability to scale.</w:t>
      </w:r>
      <w:r w:rsidR="00022E1C">
        <w:t xml:space="preserve"> </w:t>
      </w:r>
    </w:p>
    <w:p w14:paraId="576C1BFC" w14:textId="77777777" w:rsidR="00137E6C" w:rsidRDefault="00137E6C" w:rsidP="005C168A">
      <w:pPr>
        <w:spacing w:line="480" w:lineRule="auto"/>
      </w:pPr>
    </w:p>
    <w:p w14:paraId="1A54AFDA" w14:textId="77777777" w:rsidR="00137E6C" w:rsidRDefault="00022E1C" w:rsidP="005C168A">
      <w:pPr>
        <w:spacing w:line="480" w:lineRule="auto"/>
      </w:pPr>
      <w:r>
        <w:t>The paper also explains the Indian public education loan framework, through the Central Sector Interest Subsidy Scheme (CSIS) and Credit Guarantee Fund for Education Loans (</w:t>
      </w:r>
      <w:r w:rsidR="00884657">
        <w:t>CGFSEL</w:t>
      </w:r>
      <w:r>
        <w:t xml:space="preserve">). Through the CSIS, the government subsidies the interest during the </w:t>
      </w:r>
      <w:r>
        <w:rPr>
          <w:i/>
          <w:iCs/>
        </w:rPr>
        <w:t xml:space="preserve">moratorium </w:t>
      </w:r>
      <w:r>
        <w:t xml:space="preserve">period (the period of education + 1 year), applicable only to loans </w:t>
      </w:r>
      <w:r w:rsidRPr="00022E1C">
        <w:rPr>
          <w:lang w:val="en-GB"/>
        </w:rPr>
        <w:t>≤</w:t>
      </w:r>
      <w:r>
        <w:t xml:space="preserve"> Rs. 4.5 lakh per year, taken from banks under the IBA Model Education Loan Scheme. The </w:t>
      </w:r>
      <w:r w:rsidR="00884657">
        <w:t xml:space="preserve">CGFSEL </w:t>
      </w:r>
      <w:r>
        <w:t xml:space="preserve">provides a credit guarantee to banks, where the government promises to bear the cost if the student </w:t>
      </w:r>
      <w:r>
        <w:lastRenderedPageBreak/>
        <w:t xml:space="preserve">default, covering loans </w:t>
      </w:r>
      <w:r w:rsidRPr="00022E1C">
        <w:t>≤</w:t>
      </w:r>
      <w:r>
        <w:t xml:space="preserve"> Rs. 7.5 lakh per year, under the banks of the IBA Model Scheme. While the CSIS’s aim is to reduce repayment stress during education periods, to reduce dropouts among economically weaker sections (EWS), the </w:t>
      </w:r>
      <w:r w:rsidR="00884657">
        <w:t xml:space="preserve">CGFSEL </w:t>
      </w:r>
      <w:r>
        <w:t xml:space="preserve">incentivises banks to lend to low-income students who are unable to provide collateral, with the goal of reducing exclusion in loan provision. </w:t>
      </w:r>
    </w:p>
    <w:p w14:paraId="7C73A08E" w14:textId="77777777" w:rsidR="00137E6C" w:rsidRDefault="00137E6C" w:rsidP="005C168A">
      <w:pPr>
        <w:spacing w:line="480" w:lineRule="auto"/>
      </w:pPr>
    </w:p>
    <w:p w14:paraId="6ED7F7DC" w14:textId="3DEB06E0" w:rsidR="00E33312" w:rsidRDefault="00022E1C" w:rsidP="005C168A">
      <w:pPr>
        <w:spacing w:line="480" w:lineRule="auto"/>
      </w:pPr>
      <w:r>
        <w:t>However, Chalil highlights the limited efficacy of this system as banks increasingly favour larger, collaterized loans.</w:t>
      </w:r>
      <w:r w:rsidR="00EE01D4">
        <w:t xml:space="preserve"> This is evidenced by the </w:t>
      </w:r>
      <w:r w:rsidR="000042AA">
        <w:t>Compound</w:t>
      </w:r>
      <w:r w:rsidR="00EE01D4">
        <w:t xml:space="preserve"> Annual Growth Rate (CAGR) of 13% in amount of loans disbursed, but CAGR of only 1% in number of accounts, </w:t>
      </w:r>
      <w:r w:rsidR="0085446B">
        <w:t xml:space="preserve">(2014-2019) </w:t>
      </w:r>
      <w:r w:rsidR="00EE01D4">
        <w:t xml:space="preserve">highlighting how banks are increasingly disbursing larger loans to lesser number of individuals. </w:t>
      </w:r>
      <w:r w:rsidR="00986744">
        <w:t xml:space="preserve">Chalil similarly concludes on a policy call for the need to structure affordable education loan programmes, potentially in collaboration with NBFCs. </w:t>
      </w:r>
      <w:r w:rsidR="00A01610">
        <w:t xml:space="preserve">Further, he highlights the role of the CSIS and unsecured loans as a primary cause for high </w:t>
      </w:r>
      <w:r w:rsidR="00E33312">
        <w:t>delinquency</w:t>
      </w:r>
      <w:r w:rsidR="00A01610">
        <w:t xml:space="preserve"> and NPA rates among PSBs. </w:t>
      </w:r>
    </w:p>
    <w:p w14:paraId="7EB2FD57" w14:textId="77777777" w:rsidR="00137E6C" w:rsidRDefault="00137E6C" w:rsidP="005C168A">
      <w:pPr>
        <w:spacing w:line="480" w:lineRule="auto"/>
      </w:pPr>
    </w:p>
    <w:p w14:paraId="314ED7B5" w14:textId="77777777" w:rsidR="00137E6C" w:rsidRDefault="00425289" w:rsidP="005C168A">
      <w:pPr>
        <w:spacing w:line="480" w:lineRule="auto"/>
      </w:pPr>
      <w:r>
        <w:t>Amar and Agarwal (2024) note the significant challenges in education loans in India, through a comparative analysis</w:t>
      </w:r>
      <w:r w:rsidR="00C80258">
        <w:t xml:space="preserve"> with developed countries.</w:t>
      </w:r>
      <w:r w:rsidR="00665F16">
        <w:t xml:space="preserve"> The paper notes the delineation between key players in the provision of education loan, Public Banks - State Bank of India (SBI) , Punjab National Bank (PNB), Private Banks under the IBA Model Education Loan Scheme – ICICI, HDFC Bank, and NBFCs (Credila, </w:t>
      </w:r>
      <w:r w:rsidR="00420221">
        <w:t>Avanse</w:t>
      </w:r>
      <w:r w:rsidR="00665F16">
        <w:t xml:space="preserve"> etc.) operating under competitive market pressures.</w:t>
      </w:r>
      <w:r w:rsidR="000C214A">
        <w:t xml:space="preserve"> The authors also enumerate the key barriers as high interest rates, collateral issues, repayment burdens and a lack of awareness among the rural Indian population. </w:t>
      </w:r>
    </w:p>
    <w:p w14:paraId="3CB0F7D9" w14:textId="77777777" w:rsidR="00137E6C" w:rsidRDefault="00137E6C" w:rsidP="005C168A">
      <w:pPr>
        <w:spacing w:line="480" w:lineRule="auto"/>
      </w:pPr>
    </w:p>
    <w:p w14:paraId="7EC07F15" w14:textId="77777777" w:rsidR="00A5720D" w:rsidRDefault="00A5720D" w:rsidP="005C168A">
      <w:pPr>
        <w:spacing w:line="480" w:lineRule="auto"/>
      </w:pPr>
    </w:p>
    <w:p w14:paraId="05280EB0" w14:textId="379A5A22" w:rsidR="00022E1C" w:rsidRPr="005C168A" w:rsidRDefault="00ED42EB" w:rsidP="005C168A">
      <w:pPr>
        <w:spacing w:line="480" w:lineRule="auto"/>
        <w:rPr>
          <w:lang w:val="en-GB"/>
        </w:rPr>
      </w:pPr>
      <w:r>
        <w:lastRenderedPageBreak/>
        <w:t xml:space="preserve">The paper contextualises the education loan interest rates in 2023 from 7.5% - 15% and highlight the key difference of some NBFCs requiring repayment during the </w:t>
      </w:r>
      <w:r>
        <w:rPr>
          <w:i/>
          <w:iCs/>
        </w:rPr>
        <w:t xml:space="preserve">moratorium </w:t>
      </w:r>
      <w:r>
        <w:t>period considered by loans by the IBA</w:t>
      </w:r>
      <w:r w:rsidR="0042676A">
        <w:t xml:space="preserve">, citing affordability concerns. </w:t>
      </w:r>
      <w:r w:rsidR="003E0310">
        <w:t>It also questions affordability despite the CSIS, as education loan NPAs at 9%</w:t>
      </w:r>
      <w:r w:rsidR="00F82C50">
        <w:t xml:space="preserve"> for PSBs</w:t>
      </w:r>
      <w:r w:rsidR="003E0310">
        <w:t xml:space="preserve"> are said to be the highest among any loan product</w:t>
      </w:r>
      <w:r w:rsidR="007A695A">
        <w:t xml:space="preserve"> (Chalil, 2019)</w:t>
      </w:r>
      <w:r w:rsidR="00F82C50">
        <w:t>, while NPA rates for NPAs are substantially lower at 0.1-0.2%</w:t>
      </w:r>
      <w:r w:rsidR="007A695A">
        <w:t>.</w:t>
      </w:r>
      <w:r w:rsidR="003E0310">
        <w:t xml:space="preserve"> </w:t>
      </w:r>
      <w:r w:rsidR="007A695A">
        <w:t xml:space="preserve"> The comparative analysis provides key features to consider and incorporate within the Indian education loan framework, such as income-driven repayment in the United States, the payment of interest according to income thresholds in the United Kingdom and federal forgiveness for public workers.</w:t>
      </w:r>
      <w:r w:rsidR="00EF3C71">
        <w:t xml:space="preserve"> While the existing literature and research on the education loan framework in India highlight certain challenges and reforms to varying extents, none focus on the structural reform required to enable NBFCs to sustainably serve low and middle-income students. This paper aims to synthesize the challenges in the current system, under both private and public sector loans, and suggest a structure to remedy the same. </w:t>
      </w:r>
    </w:p>
    <w:p w14:paraId="6098B0EC" w14:textId="702B9785" w:rsidR="005C168A" w:rsidRPr="005C168A" w:rsidRDefault="005C168A" w:rsidP="005C168A">
      <w:pPr>
        <w:pStyle w:val="Heading1"/>
      </w:pPr>
      <w:bookmarkStart w:id="2" w:name="_Toc201361309"/>
      <w:r w:rsidRPr="005C168A">
        <w:t>Methods</w:t>
      </w:r>
      <w:bookmarkEnd w:id="2"/>
    </w:p>
    <w:p w14:paraId="7D7A6D16" w14:textId="107B4F25" w:rsidR="00912D86" w:rsidRDefault="00912D86" w:rsidP="00912D86">
      <w:pPr>
        <w:spacing w:line="480" w:lineRule="auto"/>
        <w:rPr>
          <w:sz w:val="18"/>
          <w:szCs w:val="18"/>
          <w:lang w:bidi="ar-SA"/>
        </w:rPr>
      </w:pPr>
    </w:p>
    <w:p w14:paraId="350DFA10" w14:textId="39D83C9E" w:rsidR="007D3601" w:rsidRDefault="00912D86" w:rsidP="00912D86">
      <w:pPr>
        <w:spacing w:line="480" w:lineRule="auto"/>
        <w:rPr>
          <w:lang w:bidi="ar-SA"/>
        </w:rPr>
      </w:pPr>
      <w:r w:rsidRPr="00912D86">
        <w:rPr>
          <w:lang w:bidi="ar-SA"/>
        </w:rPr>
        <w:t>This paper</w:t>
      </w:r>
      <w:r>
        <w:rPr>
          <w:lang w:bidi="ar-SA"/>
        </w:rPr>
        <w:t xml:space="preserve"> makes extensive use of </w:t>
      </w:r>
      <w:r w:rsidRPr="00912D86">
        <w:rPr>
          <w:lang w:bidi="ar-SA"/>
        </w:rPr>
        <w:t>Handbook of Statistics on Indian Economy</w:t>
      </w:r>
      <w:r>
        <w:rPr>
          <w:lang w:bidi="ar-SA"/>
        </w:rPr>
        <w:t xml:space="preserve">, Credila, Avanse, PNB, and SBI Annual Reports (FY24), CareEdge Ratings and CRISIL Documentation, and online education loan databases such as Gyandhan and BankBazaar, along with Ministry of Education and Central Government provided answers during sessions of parliament as the major sources of data. </w:t>
      </w:r>
    </w:p>
    <w:p w14:paraId="2886B428" w14:textId="07B70FE5" w:rsidR="009C6CF9" w:rsidRPr="00C22ABF" w:rsidRDefault="00912D86" w:rsidP="00C22ABF">
      <w:pPr>
        <w:spacing w:line="480" w:lineRule="auto"/>
        <w:rPr>
          <w:lang w:bidi="ar-SA"/>
        </w:rPr>
      </w:pPr>
      <w:r>
        <w:rPr>
          <w:lang w:bidi="ar-SA"/>
        </w:rPr>
        <w:t>After representing the data</w:t>
      </w:r>
      <w:r w:rsidR="004336F5">
        <w:rPr>
          <w:lang w:bidi="ar-SA"/>
        </w:rPr>
        <w:t xml:space="preserve"> in the results section</w:t>
      </w:r>
      <w:r>
        <w:rPr>
          <w:lang w:bidi="ar-SA"/>
        </w:rPr>
        <w:t xml:space="preserve">, this paper discusses the findings and what </w:t>
      </w:r>
      <w:r w:rsidR="00C21689">
        <w:rPr>
          <w:lang w:bidi="ar-SA"/>
        </w:rPr>
        <w:t>the data</w:t>
      </w:r>
      <w:r>
        <w:rPr>
          <w:lang w:bidi="ar-SA"/>
        </w:rPr>
        <w:t xml:space="preserve"> </w:t>
      </w:r>
      <w:r w:rsidR="00422432">
        <w:rPr>
          <w:lang w:bidi="ar-SA"/>
        </w:rPr>
        <w:t>reveals</w:t>
      </w:r>
      <w:r>
        <w:rPr>
          <w:lang w:bidi="ar-SA"/>
        </w:rPr>
        <w:t xml:space="preserve"> </w:t>
      </w:r>
      <w:r w:rsidR="00422432">
        <w:rPr>
          <w:lang w:bidi="ar-SA"/>
        </w:rPr>
        <w:t>about</w:t>
      </w:r>
      <w:r>
        <w:rPr>
          <w:lang w:bidi="ar-SA"/>
        </w:rPr>
        <w:t xml:space="preserve"> the Indian education model framework, before suggesting the structural policy changes to mitigate the shortfalls in the current system and bridge the gap, based on other nation’s models, other loan product models and general efficiency improvement. </w:t>
      </w:r>
    </w:p>
    <w:p w14:paraId="4449370E" w14:textId="726BB188" w:rsidR="005C168A" w:rsidRPr="005C168A" w:rsidRDefault="005C168A" w:rsidP="005C168A">
      <w:pPr>
        <w:pStyle w:val="Heading1"/>
      </w:pPr>
      <w:bookmarkStart w:id="3" w:name="_Toc201361310"/>
      <w:r w:rsidRPr="005C168A">
        <w:lastRenderedPageBreak/>
        <w:t>Results</w:t>
      </w:r>
      <w:bookmarkEnd w:id="3"/>
    </w:p>
    <w:p w14:paraId="2006B331" w14:textId="77777777" w:rsidR="004556FF" w:rsidRDefault="004556FF" w:rsidP="005C168A">
      <w:pPr>
        <w:spacing w:line="480" w:lineRule="auto"/>
        <w:rPr>
          <w:sz w:val="18"/>
          <w:szCs w:val="18"/>
          <w:u w:val="single"/>
        </w:rPr>
      </w:pPr>
    </w:p>
    <w:p w14:paraId="58D1D9BA" w14:textId="4BDEBA5B" w:rsidR="00481C83" w:rsidRPr="0020047C" w:rsidRDefault="00481C83" w:rsidP="00F33C86">
      <w:pPr>
        <w:spacing w:line="480" w:lineRule="auto"/>
        <w:rPr>
          <w:b/>
          <w:bCs/>
        </w:rPr>
      </w:pPr>
      <w:r>
        <w:rPr>
          <w:b/>
          <w:bCs/>
        </w:rPr>
        <w:t>Accessibility</w:t>
      </w:r>
    </w:p>
    <w:p w14:paraId="2A21E97E" w14:textId="5EFB949B" w:rsidR="00B97AB2" w:rsidRDefault="00B97AB2" w:rsidP="00B97AB2">
      <w:pPr>
        <w:pStyle w:val="Caption"/>
        <w:keepNext/>
      </w:pPr>
    </w:p>
    <w:tbl>
      <w:tblPr>
        <w:tblStyle w:val="TableGrid"/>
        <w:tblW w:w="0" w:type="auto"/>
        <w:tblLook w:val="04A0" w:firstRow="1" w:lastRow="0" w:firstColumn="1" w:lastColumn="0" w:noHBand="0" w:noVBand="1"/>
      </w:tblPr>
      <w:tblGrid>
        <w:gridCol w:w="3005"/>
        <w:gridCol w:w="3005"/>
        <w:gridCol w:w="3006"/>
      </w:tblGrid>
      <w:tr w:rsidR="00481C83" w14:paraId="5DCF183A" w14:textId="77777777" w:rsidTr="00481C83">
        <w:tc>
          <w:tcPr>
            <w:tcW w:w="3005" w:type="dxa"/>
          </w:tcPr>
          <w:p w14:paraId="4061A6EE" w14:textId="648B7D32" w:rsidR="00481C83" w:rsidRDefault="00481C83" w:rsidP="00481C83">
            <w:pPr>
              <w:spacing w:line="480" w:lineRule="auto"/>
              <w:jc w:val="center"/>
            </w:pPr>
            <w:r>
              <w:t>Metric</w:t>
            </w:r>
          </w:p>
        </w:tc>
        <w:tc>
          <w:tcPr>
            <w:tcW w:w="3005" w:type="dxa"/>
          </w:tcPr>
          <w:p w14:paraId="7D4DC615" w14:textId="5ACB267F" w:rsidR="00481C83" w:rsidRDefault="00B97AB2" w:rsidP="00481C83">
            <w:pPr>
              <w:spacing w:line="480" w:lineRule="auto"/>
              <w:jc w:val="center"/>
            </w:pPr>
            <w:r>
              <w:t>SCBs</w:t>
            </w:r>
          </w:p>
        </w:tc>
        <w:tc>
          <w:tcPr>
            <w:tcW w:w="3006" w:type="dxa"/>
          </w:tcPr>
          <w:p w14:paraId="2BB51ABA" w14:textId="6D43562A" w:rsidR="00481C83" w:rsidRDefault="00481C83" w:rsidP="00481C83">
            <w:pPr>
              <w:spacing w:line="480" w:lineRule="auto"/>
              <w:jc w:val="center"/>
            </w:pPr>
            <w:r>
              <w:t>NBFCs</w:t>
            </w:r>
          </w:p>
        </w:tc>
      </w:tr>
      <w:tr w:rsidR="00481C83" w14:paraId="69B97FD3" w14:textId="77777777" w:rsidTr="00481C83">
        <w:tc>
          <w:tcPr>
            <w:tcW w:w="3005" w:type="dxa"/>
          </w:tcPr>
          <w:p w14:paraId="6CE14DEC" w14:textId="27878F46" w:rsidR="00481C83" w:rsidRDefault="00481C83" w:rsidP="00481C83">
            <w:pPr>
              <w:spacing w:line="480" w:lineRule="auto"/>
            </w:pPr>
            <w:r>
              <w:t>Eligibility on the basis of income level</w:t>
            </w:r>
          </w:p>
        </w:tc>
        <w:tc>
          <w:tcPr>
            <w:tcW w:w="3005" w:type="dxa"/>
          </w:tcPr>
          <w:p w14:paraId="1A77434F" w14:textId="7EA72887" w:rsidR="00481C83" w:rsidRDefault="00481C83" w:rsidP="00481C83">
            <w:pPr>
              <w:spacing w:line="480" w:lineRule="auto"/>
            </w:pPr>
            <w:r w:rsidRPr="00481C83">
              <w:t>Income certificate</w:t>
            </w:r>
            <w:r>
              <w:t xml:space="preserve"> for </w:t>
            </w:r>
            <w:r w:rsidRPr="00481C83">
              <w:t xml:space="preserve">proof </w:t>
            </w:r>
            <w:r>
              <w:t xml:space="preserve">of income </w:t>
            </w:r>
            <w:r w:rsidRPr="00481C83">
              <w:t>≤ ₹4.5L</w:t>
            </w:r>
            <w:r>
              <w:t xml:space="preserve"> required for availing CSIS </w:t>
            </w:r>
          </w:p>
        </w:tc>
        <w:tc>
          <w:tcPr>
            <w:tcW w:w="3006" w:type="dxa"/>
          </w:tcPr>
          <w:p w14:paraId="6C5DE8D1" w14:textId="27391D07" w:rsidR="00481C83" w:rsidRDefault="00481C83" w:rsidP="00481C83">
            <w:pPr>
              <w:spacing w:line="480" w:lineRule="auto"/>
            </w:pPr>
            <w:r>
              <w:t>Co-applicant income ranges from Rs. 3.6L to Rs. 7.2L depending on loan tier</w:t>
            </w:r>
          </w:p>
        </w:tc>
      </w:tr>
      <w:tr w:rsidR="00481C83" w14:paraId="73F7201E" w14:textId="77777777" w:rsidTr="00481C83">
        <w:tc>
          <w:tcPr>
            <w:tcW w:w="3005" w:type="dxa"/>
          </w:tcPr>
          <w:p w14:paraId="0C69C30F" w14:textId="13A9DFF4" w:rsidR="00481C83" w:rsidRDefault="00481C83" w:rsidP="00481C83">
            <w:pPr>
              <w:spacing w:line="480" w:lineRule="auto"/>
            </w:pPr>
            <w:r>
              <w:t xml:space="preserve">Target borrower </w:t>
            </w:r>
          </w:p>
        </w:tc>
        <w:tc>
          <w:tcPr>
            <w:tcW w:w="3005" w:type="dxa"/>
          </w:tcPr>
          <w:p w14:paraId="506CBE29" w14:textId="66CEBAFE" w:rsidR="00481C83" w:rsidRDefault="00154254" w:rsidP="00481C83">
            <w:pPr>
              <w:spacing w:line="480" w:lineRule="auto"/>
            </w:pPr>
            <w:r>
              <w:t>Students studying at domestic</w:t>
            </w:r>
            <w:r w:rsidR="00481C83">
              <w:t xml:space="preserve"> undergraduate post-graduate</w:t>
            </w:r>
            <w:r w:rsidR="00E1299E">
              <w:t xml:space="preserve"> Tier 1 and 2 institutions, accredited by the </w:t>
            </w:r>
            <w:r w:rsidR="00E1299E" w:rsidRPr="00E1299E">
              <w:t>National Assessment and Accreditation Council</w:t>
            </w:r>
            <w:r w:rsidR="00E1299E">
              <w:t xml:space="preserve"> (NAAC)</w:t>
            </w:r>
          </w:p>
        </w:tc>
        <w:tc>
          <w:tcPr>
            <w:tcW w:w="3006" w:type="dxa"/>
          </w:tcPr>
          <w:p w14:paraId="76C80F12" w14:textId="5C698BB4" w:rsidR="00481C83" w:rsidRDefault="00481C83" w:rsidP="00481C83">
            <w:pPr>
              <w:spacing w:line="480" w:lineRule="auto"/>
            </w:pPr>
            <w:r>
              <w:t xml:space="preserve">Students studying abroad (USA, UK, Canada, Australia etc.) at </w:t>
            </w:r>
            <w:r w:rsidR="00AF7D3A">
              <w:t xml:space="preserve">QS-ranked top </w:t>
            </w:r>
            <w:r>
              <w:t xml:space="preserve">private universities for undergraduate </w:t>
            </w:r>
            <w:r w:rsidR="00CF4CC3">
              <w:t>or</w:t>
            </w:r>
            <w:r>
              <w:t xml:space="preserve"> post-graduate</w:t>
            </w:r>
          </w:p>
        </w:tc>
      </w:tr>
      <w:tr w:rsidR="00481C83" w14:paraId="2130E208" w14:textId="77777777" w:rsidTr="00481C83">
        <w:tc>
          <w:tcPr>
            <w:tcW w:w="3005" w:type="dxa"/>
          </w:tcPr>
          <w:p w14:paraId="6A982564" w14:textId="782A1A43" w:rsidR="00481C83" w:rsidRDefault="00E1299E" w:rsidP="00481C83">
            <w:pPr>
              <w:spacing w:line="480" w:lineRule="auto"/>
            </w:pPr>
            <w:r>
              <w:t>Academic requirement</w:t>
            </w:r>
          </w:p>
        </w:tc>
        <w:tc>
          <w:tcPr>
            <w:tcW w:w="3005" w:type="dxa"/>
          </w:tcPr>
          <w:p w14:paraId="69DF6F54" w14:textId="4F334F04" w:rsidR="00481C83" w:rsidRDefault="00400311" w:rsidP="00481C83">
            <w:pPr>
              <w:spacing w:line="480" w:lineRule="auto"/>
            </w:pPr>
            <w:r>
              <w:t xml:space="preserve">No standardized test score requirement, or minimum grade cut-off. Admission proof required through offer letter or entrance exam (JEE/ NEET/ CAT) results. Academic achievements </w:t>
            </w:r>
            <w:r w:rsidR="00983A6D">
              <w:t>are</w:t>
            </w:r>
            <w:r>
              <w:t xml:space="preserve"> not a precursor to loan disbursement. </w:t>
            </w:r>
          </w:p>
        </w:tc>
        <w:tc>
          <w:tcPr>
            <w:tcW w:w="3006" w:type="dxa"/>
          </w:tcPr>
          <w:p w14:paraId="3BBEC8FA" w14:textId="4BC43E67" w:rsidR="00481C83" w:rsidRDefault="00CC6A41" w:rsidP="00481C83">
            <w:pPr>
              <w:spacing w:line="480" w:lineRule="auto"/>
            </w:pPr>
            <w:r>
              <w:t xml:space="preserve">Requires strong academic record, and pre-requisite test scores in the GRE, IELTs or TOEFL to display </w:t>
            </w:r>
            <w:r w:rsidR="00EF64E3">
              <w:t xml:space="preserve">proficiency. </w:t>
            </w:r>
            <w:r w:rsidR="00042B29">
              <w:t>Certain</w:t>
            </w:r>
            <w:r w:rsidR="00EF64E3">
              <w:t xml:space="preserve"> NBFCs </w:t>
            </w:r>
            <w:r w:rsidR="00042B29">
              <w:t xml:space="preserve">(Avanse, InCred) </w:t>
            </w:r>
            <w:r w:rsidR="00EF64E3">
              <w:t xml:space="preserve">require confirmed admission along with proven academic achievements before loan disbursement. </w:t>
            </w:r>
          </w:p>
        </w:tc>
      </w:tr>
      <w:tr w:rsidR="00983A6D" w14:paraId="42C9727D" w14:textId="77777777" w:rsidTr="00481C83">
        <w:tc>
          <w:tcPr>
            <w:tcW w:w="3005" w:type="dxa"/>
          </w:tcPr>
          <w:p w14:paraId="615DC80A" w14:textId="72D7D807" w:rsidR="00983A6D" w:rsidRDefault="00983A6D" w:rsidP="00481C83">
            <w:pPr>
              <w:spacing w:line="480" w:lineRule="auto"/>
            </w:pPr>
            <w:r>
              <w:lastRenderedPageBreak/>
              <w:t>Collateral requirements</w:t>
            </w:r>
          </w:p>
        </w:tc>
        <w:tc>
          <w:tcPr>
            <w:tcW w:w="3005" w:type="dxa"/>
          </w:tcPr>
          <w:p w14:paraId="65D024B0" w14:textId="709202E0" w:rsidR="00983A6D" w:rsidRDefault="00AD4BE7" w:rsidP="00481C83">
            <w:pPr>
              <w:spacing w:line="480" w:lineRule="auto"/>
            </w:pPr>
            <w:r>
              <w:t>Collateral-free loans upto Rs. 7.5L as per Model Education Loan Scheme. Collateral required above Rs. 7.5L in the form of tangible assets.</w:t>
            </w:r>
          </w:p>
        </w:tc>
        <w:tc>
          <w:tcPr>
            <w:tcW w:w="3006" w:type="dxa"/>
          </w:tcPr>
          <w:p w14:paraId="7D1C53D8" w14:textId="6AD8FECA" w:rsidR="00983A6D" w:rsidRDefault="00AD4BE7" w:rsidP="00481C83">
            <w:pPr>
              <w:spacing w:line="480" w:lineRule="auto"/>
            </w:pPr>
            <w:r>
              <w:t xml:space="preserve">Small loans are rarely collateral free, and collateral is required for any loan above Rs. 10L, crucially for students studying abroad. </w:t>
            </w:r>
          </w:p>
        </w:tc>
      </w:tr>
      <w:tr w:rsidR="00042B29" w14:paraId="0EB8B6E9" w14:textId="77777777" w:rsidTr="00481C83">
        <w:tc>
          <w:tcPr>
            <w:tcW w:w="3005" w:type="dxa"/>
          </w:tcPr>
          <w:p w14:paraId="39BF51BA" w14:textId="7464D999" w:rsidR="00042B29" w:rsidRDefault="00042B29" w:rsidP="00481C83">
            <w:pPr>
              <w:spacing w:line="480" w:lineRule="auto"/>
            </w:pPr>
            <w:r>
              <w:t>Co-signer requirements</w:t>
            </w:r>
          </w:p>
        </w:tc>
        <w:tc>
          <w:tcPr>
            <w:tcW w:w="3005" w:type="dxa"/>
          </w:tcPr>
          <w:p w14:paraId="7BAF24AF" w14:textId="2FDD97E4" w:rsidR="00042B29" w:rsidRDefault="009E3B2E" w:rsidP="00481C83">
            <w:pPr>
              <w:spacing w:line="480" w:lineRule="auto"/>
            </w:pPr>
            <w:r>
              <w:t>Mandatory in the form of parent/ guardian, no credit score requirement.</w:t>
            </w:r>
          </w:p>
        </w:tc>
        <w:tc>
          <w:tcPr>
            <w:tcW w:w="3006" w:type="dxa"/>
          </w:tcPr>
          <w:p w14:paraId="091F3ECB" w14:textId="19793A80" w:rsidR="00042B29" w:rsidRDefault="009E3B2E" w:rsidP="00481C83">
            <w:pPr>
              <w:spacing w:line="480" w:lineRule="auto"/>
            </w:pPr>
            <w:r>
              <w:t>Mandatory, and required to have a good CIBIL score (usually above 720).</w:t>
            </w:r>
          </w:p>
        </w:tc>
      </w:tr>
    </w:tbl>
    <w:p w14:paraId="31FEDFED" w14:textId="77777777" w:rsidR="00B97AB2" w:rsidRDefault="00B97AB2" w:rsidP="00481C83">
      <w:pPr>
        <w:spacing w:line="480" w:lineRule="auto"/>
      </w:pPr>
    </w:p>
    <w:p w14:paraId="2E804FA3" w14:textId="3DDB7B1F" w:rsidR="00481C83" w:rsidRPr="00481C83" w:rsidRDefault="00B97AB2" w:rsidP="00B97AB2">
      <w:pPr>
        <w:spacing w:line="480" w:lineRule="auto"/>
        <w:jc w:val="center"/>
      </w:pPr>
      <w:r>
        <w:t xml:space="preserve">Table </w:t>
      </w:r>
      <w:fldSimple w:instr=" SEQ Table \* ARABIC ">
        <w:r w:rsidR="00B27355">
          <w:rPr>
            <w:noProof/>
          </w:rPr>
          <w:t>1</w:t>
        </w:r>
      </w:fldSimple>
      <w:r>
        <w:rPr>
          <w:lang w:val="en-US"/>
        </w:rPr>
        <w:t xml:space="preserve"> Metrics for Accessibility of Education Loan (SCBs vs. NBFCs)</w:t>
      </w:r>
    </w:p>
    <w:p w14:paraId="15ADB9DE" w14:textId="1CE2FB93" w:rsidR="00B97AB2" w:rsidRDefault="00B97AB2" w:rsidP="0002545D">
      <w:pPr>
        <w:spacing w:line="480" w:lineRule="auto"/>
      </w:pPr>
    </w:p>
    <w:p w14:paraId="1D56C9C7" w14:textId="005CB91E" w:rsidR="00B97AB2" w:rsidRDefault="00B97AB2" w:rsidP="00B97AB2">
      <w:pPr>
        <w:pStyle w:val="Caption"/>
        <w:keepNext/>
      </w:pPr>
    </w:p>
    <w:tbl>
      <w:tblPr>
        <w:tblStyle w:val="TableGrid"/>
        <w:tblW w:w="0" w:type="auto"/>
        <w:tblLook w:val="04A0" w:firstRow="1" w:lastRow="0" w:firstColumn="1" w:lastColumn="0" w:noHBand="0" w:noVBand="1"/>
      </w:tblPr>
      <w:tblGrid>
        <w:gridCol w:w="2342"/>
        <w:gridCol w:w="2357"/>
        <w:gridCol w:w="2305"/>
        <w:gridCol w:w="2012"/>
      </w:tblGrid>
      <w:tr w:rsidR="00B97AB2" w14:paraId="62D1804D" w14:textId="4641AE1F" w:rsidTr="00B97AB2">
        <w:tc>
          <w:tcPr>
            <w:tcW w:w="2342" w:type="dxa"/>
          </w:tcPr>
          <w:p w14:paraId="67C8DCE9" w14:textId="4F0BE356" w:rsidR="00B97AB2" w:rsidRDefault="00B97AB2" w:rsidP="0002545D">
            <w:pPr>
              <w:spacing w:line="480" w:lineRule="auto"/>
            </w:pPr>
            <w:r>
              <w:t>Company</w:t>
            </w:r>
          </w:p>
        </w:tc>
        <w:tc>
          <w:tcPr>
            <w:tcW w:w="2357" w:type="dxa"/>
          </w:tcPr>
          <w:p w14:paraId="1FCFBCC6" w14:textId="5CE72815" w:rsidR="00B97AB2" w:rsidRDefault="00B97AB2" w:rsidP="0002545D">
            <w:pPr>
              <w:spacing w:line="480" w:lineRule="auto"/>
            </w:pPr>
            <w:r>
              <w:t>Amount of Loan Disbursed</w:t>
            </w:r>
          </w:p>
        </w:tc>
        <w:tc>
          <w:tcPr>
            <w:tcW w:w="2305" w:type="dxa"/>
          </w:tcPr>
          <w:p w14:paraId="7F89C181" w14:textId="0B64283D" w:rsidR="00B97AB2" w:rsidRDefault="00B97AB2" w:rsidP="0002545D">
            <w:pPr>
              <w:spacing w:line="480" w:lineRule="auto"/>
            </w:pPr>
            <w:r>
              <w:t>Number of Students Funded</w:t>
            </w:r>
          </w:p>
        </w:tc>
        <w:tc>
          <w:tcPr>
            <w:tcW w:w="2012" w:type="dxa"/>
          </w:tcPr>
          <w:p w14:paraId="60C1A716" w14:textId="71E3F387" w:rsidR="00B97AB2" w:rsidRDefault="00B97AB2" w:rsidP="0002545D">
            <w:pPr>
              <w:spacing w:line="480" w:lineRule="auto"/>
            </w:pPr>
            <w:r>
              <w:t>Average Ticket Size (ATS)</w:t>
            </w:r>
          </w:p>
        </w:tc>
      </w:tr>
      <w:tr w:rsidR="00B97AB2" w14:paraId="63836DE3" w14:textId="0033F04E" w:rsidTr="00B97AB2">
        <w:tc>
          <w:tcPr>
            <w:tcW w:w="2342" w:type="dxa"/>
          </w:tcPr>
          <w:p w14:paraId="1A33EF5A" w14:textId="7A7E3E69" w:rsidR="00B97AB2" w:rsidRDefault="00B97AB2" w:rsidP="0002545D">
            <w:pPr>
              <w:spacing w:line="480" w:lineRule="auto"/>
            </w:pPr>
            <w:r>
              <w:t>Credila (FY24)</w:t>
            </w:r>
          </w:p>
        </w:tc>
        <w:tc>
          <w:tcPr>
            <w:tcW w:w="2357" w:type="dxa"/>
          </w:tcPr>
          <w:p w14:paraId="55722051" w14:textId="62188F5B" w:rsidR="00B97AB2" w:rsidRDefault="00B97AB2" w:rsidP="0002545D">
            <w:pPr>
              <w:spacing w:line="480" w:lineRule="auto"/>
            </w:pPr>
            <w:r w:rsidRPr="00B97AB2">
              <w:rPr>
                <w:b/>
                <w:bCs/>
              </w:rPr>
              <w:t>₹14,089 crore</w:t>
            </w:r>
          </w:p>
        </w:tc>
        <w:tc>
          <w:tcPr>
            <w:tcW w:w="2305" w:type="dxa"/>
          </w:tcPr>
          <w:p w14:paraId="164EAE5A" w14:textId="06F497F7" w:rsidR="00B97AB2" w:rsidRDefault="00B97AB2" w:rsidP="0002545D">
            <w:pPr>
              <w:spacing w:line="480" w:lineRule="auto"/>
            </w:pPr>
            <w:r w:rsidRPr="00B97AB2">
              <w:rPr>
                <w:b/>
                <w:bCs/>
              </w:rPr>
              <w:t>53,603</w:t>
            </w:r>
          </w:p>
        </w:tc>
        <w:tc>
          <w:tcPr>
            <w:tcW w:w="2012" w:type="dxa"/>
          </w:tcPr>
          <w:p w14:paraId="639696BB" w14:textId="442798D4" w:rsidR="00B97AB2" w:rsidRDefault="00B97AB2" w:rsidP="0002545D">
            <w:pPr>
              <w:spacing w:line="480" w:lineRule="auto"/>
            </w:pPr>
            <w:r w:rsidRPr="00B97AB2">
              <w:rPr>
                <w:b/>
                <w:bCs/>
              </w:rPr>
              <w:t>26,28,397</w:t>
            </w:r>
            <w:r>
              <w:rPr>
                <w:b/>
                <w:bCs/>
              </w:rPr>
              <w:t xml:space="preserve"> </w:t>
            </w:r>
          </w:p>
        </w:tc>
      </w:tr>
      <w:tr w:rsidR="00B97AB2" w14:paraId="62ED13B3" w14:textId="23217F32" w:rsidTr="00B97AB2">
        <w:tc>
          <w:tcPr>
            <w:tcW w:w="2342" w:type="dxa"/>
          </w:tcPr>
          <w:p w14:paraId="441B8A56" w14:textId="3897A8FB" w:rsidR="00B97AB2" w:rsidRDefault="00B97AB2" w:rsidP="0002545D">
            <w:pPr>
              <w:spacing w:line="480" w:lineRule="auto"/>
            </w:pPr>
            <w:r>
              <w:t>State Bank of India- SBI (FY23)</w:t>
            </w:r>
          </w:p>
        </w:tc>
        <w:tc>
          <w:tcPr>
            <w:tcW w:w="2357" w:type="dxa"/>
          </w:tcPr>
          <w:p w14:paraId="6F96DC28" w14:textId="30BB6379" w:rsidR="00B97AB2" w:rsidRDefault="00B97AB2" w:rsidP="0002545D">
            <w:pPr>
              <w:spacing w:line="480" w:lineRule="auto"/>
            </w:pPr>
            <w:r w:rsidRPr="00B97AB2">
              <w:rPr>
                <w:b/>
                <w:bCs/>
              </w:rPr>
              <w:t>₹15,086 crore</w:t>
            </w:r>
          </w:p>
        </w:tc>
        <w:tc>
          <w:tcPr>
            <w:tcW w:w="2305" w:type="dxa"/>
          </w:tcPr>
          <w:p w14:paraId="0988DF59" w14:textId="64F4A420" w:rsidR="00B97AB2" w:rsidRDefault="00B97AB2" w:rsidP="0002545D">
            <w:pPr>
              <w:spacing w:line="480" w:lineRule="auto"/>
            </w:pPr>
            <w:r w:rsidRPr="00B97AB2">
              <w:rPr>
                <w:b/>
                <w:bCs/>
              </w:rPr>
              <w:t>1,13,793</w:t>
            </w:r>
          </w:p>
        </w:tc>
        <w:tc>
          <w:tcPr>
            <w:tcW w:w="2012" w:type="dxa"/>
          </w:tcPr>
          <w:p w14:paraId="57195B4F" w14:textId="5EC56925" w:rsidR="00B97AB2" w:rsidRDefault="00B97AB2" w:rsidP="0002545D">
            <w:pPr>
              <w:spacing w:line="480" w:lineRule="auto"/>
            </w:pPr>
            <w:r w:rsidRPr="00B97AB2">
              <w:rPr>
                <w:b/>
                <w:bCs/>
              </w:rPr>
              <w:t>13</w:t>
            </w:r>
            <w:r>
              <w:rPr>
                <w:b/>
                <w:bCs/>
              </w:rPr>
              <w:t>,</w:t>
            </w:r>
            <w:r w:rsidRPr="00B97AB2">
              <w:rPr>
                <w:b/>
                <w:bCs/>
              </w:rPr>
              <w:t>25</w:t>
            </w:r>
            <w:r>
              <w:rPr>
                <w:b/>
                <w:bCs/>
              </w:rPr>
              <w:t>,</w:t>
            </w:r>
            <w:r w:rsidRPr="00B97AB2">
              <w:rPr>
                <w:b/>
                <w:bCs/>
              </w:rPr>
              <w:t>740</w:t>
            </w:r>
          </w:p>
        </w:tc>
      </w:tr>
    </w:tbl>
    <w:p w14:paraId="4736247B" w14:textId="77777777" w:rsidR="00B97AB2" w:rsidRDefault="00B97AB2" w:rsidP="00B97AB2">
      <w:pPr>
        <w:spacing w:line="480" w:lineRule="auto"/>
        <w:jc w:val="center"/>
      </w:pPr>
    </w:p>
    <w:p w14:paraId="2A1CAD8F" w14:textId="5FD53B4D" w:rsidR="00B97AB2" w:rsidRDefault="00B97AB2" w:rsidP="00B97AB2">
      <w:pPr>
        <w:spacing w:line="480" w:lineRule="auto"/>
        <w:jc w:val="center"/>
        <w:rPr>
          <w:lang w:val="en-US"/>
        </w:rPr>
      </w:pPr>
      <w:r>
        <w:t xml:space="preserve">Table 2 </w:t>
      </w:r>
      <w:r>
        <w:rPr>
          <w:lang w:val="en-US"/>
        </w:rPr>
        <w:t>Average Ticket Size of SBI vs. Credila</w:t>
      </w:r>
    </w:p>
    <w:p w14:paraId="5A9AD864" w14:textId="77777777" w:rsidR="00AB3D22" w:rsidRDefault="00AB3D22" w:rsidP="00B97AB2">
      <w:pPr>
        <w:spacing w:line="480" w:lineRule="auto"/>
        <w:jc w:val="center"/>
        <w:rPr>
          <w:lang w:val="en-US"/>
        </w:rPr>
      </w:pPr>
    </w:p>
    <w:p w14:paraId="361EC0CE" w14:textId="77777777" w:rsidR="00AB3D22" w:rsidRDefault="00AB3D22" w:rsidP="00B97AB2">
      <w:pPr>
        <w:spacing w:line="480" w:lineRule="auto"/>
        <w:jc w:val="center"/>
        <w:rPr>
          <w:lang w:val="en-US"/>
        </w:rPr>
      </w:pPr>
    </w:p>
    <w:p w14:paraId="68C1C78B" w14:textId="77777777" w:rsidR="00AB3D22" w:rsidRDefault="00AB3D22" w:rsidP="00B97AB2">
      <w:pPr>
        <w:spacing w:line="480" w:lineRule="auto"/>
        <w:jc w:val="center"/>
        <w:rPr>
          <w:lang w:val="en-US"/>
        </w:rPr>
      </w:pPr>
    </w:p>
    <w:p w14:paraId="41848F88" w14:textId="77777777" w:rsidR="00AB3D22" w:rsidRDefault="00AB3D22" w:rsidP="00B97AB2">
      <w:pPr>
        <w:spacing w:line="480" w:lineRule="auto"/>
        <w:jc w:val="center"/>
        <w:rPr>
          <w:lang w:val="en-US"/>
        </w:rPr>
      </w:pPr>
    </w:p>
    <w:p w14:paraId="17E1E6F2" w14:textId="77777777" w:rsidR="000D4F59" w:rsidRDefault="000D4F59" w:rsidP="00B97AB2">
      <w:pPr>
        <w:spacing w:line="480" w:lineRule="auto"/>
        <w:jc w:val="center"/>
      </w:pPr>
    </w:p>
    <w:tbl>
      <w:tblPr>
        <w:tblStyle w:val="TableGrid"/>
        <w:tblW w:w="9493" w:type="dxa"/>
        <w:tblLook w:val="04A0" w:firstRow="1" w:lastRow="0" w:firstColumn="1" w:lastColumn="0" w:noHBand="0" w:noVBand="1"/>
      </w:tblPr>
      <w:tblGrid>
        <w:gridCol w:w="2547"/>
        <w:gridCol w:w="2410"/>
        <w:gridCol w:w="2268"/>
        <w:gridCol w:w="2268"/>
      </w:tblGrid>
      <w:tr w:rsidR="000D4F59" w14:paraId="4D6CCBA6" w14:textId="77777777" w:rsidTr="002F74C9">
        <w:tc>
          <w:tcPr>
            <w:tcW w:w="2547" w:type="dxa"/>
            <w:vAlign w:val="center"/>
          </w:tcPr>
          <w:p w14:paraId="7D461112" w14:textId="77777777" w:rsidR="000D4F59" w:rsidRPr="003A7011" w:rsidRDefault="000D4F59" w:rsidP="002F74C9">
            <w:pPr>
              <w:spacing w:line="480" w:lineRule="auto"/>
              <w:jc w:val="center"/>
              <w:rPr>
                <w:b/>
                <w:bCs/>
                <w:color w:val="181818"/>
              </w:rPr>
            </w:pPr>
          </w:p>
        </w:tc>
        <w:tc>
          <w:tcPr>
            <w:tcW w:w="2410" w:type="dxa"/>
            <w:vAlign w:val="center"/>
          </w:tcPr>
          <w:p w14:paraId="0409D0C2" w14:textId="77777777" w:rsidR="000D4F59" w:rsidRPr="003A7011" w:rsidRDefault="000D4F59" w:rsidP="002F74C9">
            <w:pPr>
              <w:spacing w:line="480" w:lineRule="auto"/>
              <w:jc w:val="center"/>
              <w:rPr>
                <w:color w:val="181818"/>
              </w:rPr>
            </w:pPr>
            <w:r>
              <w:rPr>
                <w:color w:val="181818"/>
              </w:rPr>
              <w:t>Credila</w:t>
            </w:r>
          </w:p>
        </w:tc>
        <w:tc>
          <w:tcPr>
            <w:tcW w:w="2268" w:type="dxa"/>
          </w:tcPr>
          <w:p w14:paraId="079A67A4" w14:textId="77777777" w:rsidR="000D4F59" w:rsidRPr="003A7011" w:rsidRDefault="000D4F59" w:rsidP="002F74C9">
            <w:pPr>
              <w:spacing w:line="480" w:lineRule="auto"/>
              <w:jc w:val="center"/>
              <w:rPr>
                <w:color w:val="181818"/>
              </w:rPr>
            </w:pPr>
            <w:r>
              <w:rPr>
                <w:color w:val="181818"/>
              </w:rPr>
              <w:t>Avanse</w:t>
            </w:r>
          </w:p>
        </w:tc>
        <w:tc>
          <w:tcPr>
            <w:tcW w:w="2268" w:type="dxa"/>
          </w:tcPr>
          <w:p w14:paraId="4986A4CB" w14:textId="77777777" w:rsidR="000D4F59" w:rsidRPr="003A7011" w:rsidRDefault="000D4F59" w:rsidP="002F74C9">
            <w:pPr>
              <w:spacing w:line="480" w:lineRule="auto"/>
              <w:jc w:val="center"/>
              <w:rPr>
                <w:color w:val="181818"/>
              </w:rPr>
            </w:pPr>
            <w:r>
              <w:rPr>
                <w:color w:val="181818"/>
              </w:rPr>
              <w:t>InCred</w:t>
            </w:r>
          </w:p>
        </w:tc>
      </w:tr>
      <w:tr w:rsidR="000D4F59" w14:paraId="52188B2A" w14:textId="77777777" w:rsidTr="002F74C9">
        <w:tc>
          <w:tcPr>
            <w:tcW w:w="2547" w:type="dxa"/>
            <w:vAlign w:val="center"/>
          </w:tcPr>
          <w:p w14:paraId="61CD7938" w14:textId="77777777" w:rsidR="000D4F59" w:rsidRPr="003A7011" w:rsidRDefault="000D4F59" w:rsidP="002F74C9">
            <w:pPr>
              <w:spacing w:line="480" w:lineRule="auto"/>
              <w:jc w:val="center"/>
              <w:rPr>
                <w:b/>
                <w:bCs/>
              </w:rPr>
            </w:pPr>
            <w:r w:rsidRPr="003A7011">
              <w:rPr>
                <w:b/>
                <w:bCs/>
                <w:color w:val="181818"/>
              </w:rPr>
              <w:t>Rate of interest (p.a.)</w:t>
            </w:r>
          </w:p>
        </w:tc>
        <w:tc>
          <w:tcPr>
            <w:tcW w:w="2410" w:type="dxa"/>
            <w:vAlign w:val="center"/>
          </w:tcPr>
          <w:p w14:paraId="22B031FC" w14:textId="77777777" w:rsidR="000D4F59" w:rsidRPr="003A7011" w:rsidRDefault="000D4F59" w:rsidP="002F74C9">
            <w:pPr>
              <w:spacing w:line="480" w:lineRule="auto"/>
              <w:jc w:val="center"/>
            </w:pPr>
            <w:r w:rsidRPr="003A7011">
              <w:rPr>
                <w:color w:val="181818"/>
              </w:rPr>
              <w:t xml:space="preserve">10.5-13% </w:t>
            </w:r>
          </w:p>
          <w:p w14:paraId="5C7A65D0" w14:textId="77777777" w:rsidR="000D4F59" w:rsidRPr="003A7011" w:rsidRDefault="000D4F59" w:rsidP="002F74C9">
            <w:pPr>
              <w:spacing w:line="480" w:lineRule="auto"/>
              <w:jc w:val="center"/>
            </w:pPr>
          </w:p>
        </w:tc>
        <w:tc>
          <w:tcPr>
            <w:tcW w:w="2268" w:type="dxa"/>
          </w:tcPr>
          <w:p w14:paraId="5EA0D186" w14:textId="77777777" w:rsidR="000D4F59" w:rsidRPr="003A7011" w:rsidRDefault="000D4F59" w:rsidP="002F74C9">
            <w:pPr>
              <w:spacing w:line="480" w:lineRule="auto"/>
              <w:jc w:val="center"/>
              <w:rPr>
                <w:color w:val="181818"/>
              </w:rPr>
            </w:pPr>
            <w:r w:rsidRPr="003A7011">
              <w:rPr>
                <w:color w:val="181818"/>
              </w:rPr>
              <w:t xml:space="preserve">9.5-14%  </w:t>
            </w:r>
          </w:p>
        </w:tc>
        <w:tc>
          <w:tcPr>
            <w:tcW w:w="2268" w:type="dxa"/>
          </w:tcPr>
          <w:p w14:paraId="5A92F046" w14:textId="77777777" w:rsidR="000D4F59" w:rsidRPr="003A7011" w:rsidRDefault="000D4F59" w:rsidP="002F74C9">
            <w:pPr>
              <w:spacing w:line="480" w:lineRule="auto"/>
              <w:jc w:val="center"/>
              <w:rPr>
                <w:color w:val="181818"/>
              </w:rPr>
            </w:pPr>
            <w:r w:rsidRPr="003A7011">
              <w:t>10 - 13.5%</w:t>
            </w:r>
          </w:p>
        </w:tc>
      </w:tr>
      <w:tr w:rsidR="000D4F59" w14:paraId="0C137319" w14:textId="77777777" w:rsidTr="002F74C9">
        <w:tc>
          <w:tcPr>
            <w:tcW w:w="2547" w:type="dxa"/>
            <w:vAlign w:val="center"/>
          </w:tcPr>
          <w:p w14:paraId="129FAD04" w14:textId="77777777" w:rsidR="000D4F59" w:rsidRDefault="000D4F59" w:rsidP="002F74C9">
            <w:pPr>
              <w:spacing w:line="480" w:lineRule="auto"/>
              <w:jc w:val="center"/>
              <w:rPr>
                <w:b/>
                <w:bCs/>
              </w:rPr>
            </w:pPr>
            <w:r w:rsidRPr="008329A1">
              <w:rPr>
                <w:b/>
                <w:bCs/>
                <w:color w:val="181818"/>
              </w:rPr>
              <w:t>Loan amount</w:t>
            </w:r>
          </w:p>
        </w:tc>
        <w:tc>
          <w:tcPr>
            <w:tcW w:w="2410" w:type="dxa"/>
            <w:vAlign w:val="center"/>
          </w:tcPr>
          <w:p w14:paraId="12BD355E" w14:textId="77777777" w:rsidR="000D4F59" w:rsidRPr="004034F3" w:rsidRDefault="000D4F59" w:rsidP="002F74C9">
            <w:pPr>
              <w:spacing w:line="480" w:lineRule="auto"/>
              <w:jc w:val="center"/>
              <w:rPr>
                <w:color w:val="181818"/>
              </w:rPr>
            </w:pPr>
            <w:r w:rsidRPr="00901A25">
              <w:rPr>
                <w:color w:val="181818"/>
              </w:rPr>
              <w:t>Up to</w:t>
            </w:r>
            <w:r>
              <w:rPr>
                <w:color w:val="181818"/>
              </w:rPr>
              <w:t xml:space="preserve">  Rs.</w:t>
            </w:r>
            <w:r w:rsidRPr="00901A25">
              <w:rPr>
                <w:color w:val="181818"/>
              </w:rPr>
              <w:t xml:space="preserve"> 75 Lakh</w:t>
            </w:r>
            <w:r>
              <w:rPr>
                <w:color w:val="181818"/>
              </w:rPr>
              <w:t xml:space="preserve"> </w:t>
            </w:r>
          </w:p>
        </w:tc>
        <w:tc>
          <w:tcPr>
            <w:tcW w:w="2268" w:type="dxa"/>
          </w:tcPr>
          <w:p w14:paraId="7FB5127D" w14:textId="77777777" w:rsidR="000D4F59" w:rsidRPr="00901A25" w:rsidRDefault="000D4F59" w:rsidP="002F74C9">
            <w:pPr>
              <w:spacing w:line="480" w:lineRule="auto"/>
              <w:jc w:val="center"/>
              <w:rPr>
                <w:color w:val="181818"/>
              </w:rPr>
            </w:pPr>
            <w:r w:rsidRPr="00901A25">
              <w:rPr>
                <w:color w:val="181818"/>
              </w:rPr>
              <w:t>Up to</w:t>
            </w:r>
            <w:r>
              <w:rPr>
                <w:color w:val="181818"/>
              </w:rPr>
              <w:t xml:space="preserve"> Rs. 50 Lakh</w:t>
            </w:r>
          </w:p>
        </w:tc>
        <w:tc>
          <w:tcPr>
            <w:tcW w:w="2268" w:type="dxa"/>
          </w:tcPr>
          <w:p w14:paraId="60934037" w14:textId="77777777" w:rsidR="000D4F59" w:rsidRPr="00901A25" w:rsidRDefault="000D4F59" w:rsidP="002F74C9">
            <w:pPr>
              <w:spacing w:line="480" w:lineRule="auto"/>
              <w:jc w:val="center"/>
              <w:rPr>
                <w:color w:val="181818"/>
              </w:rPr>
            </w:pPr>
            <w:r w:rsidRPr="00901A25">
              <w:rPr>
                <w:color w:val="181818"/>
              </w:rPr>
              <w:t>Up to</w:t>
            </w:r>
            <w:r>
              <w:rPr>
                <w:color w:val="181818"/>
              </w:rPr>
              <w:t xml:space="preserve"> Rs. 80 Lakh</w:t>
            </w:r>
          </w:p>
        </w:tc>
      </w:tr>
      <w:tr w:rsidR="000D4F59" w14:paraId="0AAC73FB" w14:textId="77777777" w:rsidTr="002F74C9">
        <w:tc>
          <w:tcPr>
            <w:tcW w:w="2547" w:type="dxa"/>
            <w:vAlign w:val="center"/>
          </w:tcPr>
          <w:p w14:paraId="613335E2" w14:textId="77777777" w:rsidR="000D4F59" w:rsidRDefault="000D4F59" w:rsidP="002F74C9">
            <w:pPr>
              <w:spacing w:line="480" w:lineRule="auto"/>
              <w:jc w:val="center"/>
              <w:rPr>
                <w:b/>
                <w:bCs/>
                <w:color w:val="181818"/>
              </w:rPr>
            </w:pPr>
            <w:r w:rsidRPr="008329A1">
              <w:rPr>
                <w:b/>
                <w:bCs/>
                <w:color w:val="181818"/>
              </w:rPr>
              <w:t>Co-applicant minimum income</w:t>
            </w:r>
          </w:p>
          <w:p w14:paraId="04A71AF6" w14:textId="77777777" w:rsidR="000D4F59" w:rsidRDefault="000D4F59" w:rsidP="002F74C9">
            <w:pPr>
              <w:spacing w:line="480" w:lineRule="auto"/>
              <w:jc w:val="center"/>
              <w:rPr>
                <w:b/>
                <w:bCs/>
              </w:rPr>
            </w:pPr>
            <w:r w:rsidRPr="008329A1">
              <w:rPr>
                <w:b/>
                <w:bCs/>
                <w:color w:val="181818"/>
              </w:rPr>
              <w:t>(per month)</w:t>
            </w:r>
          </w:p>
        </w:tc>
        <w:tc>
          <w:tcPr>
            <w:tcW w:w="2410" w:type="dxa"/>
            <w:vAlign w:val="center"/>
          </w:tcPr>
          <w:p w14:paraId="19C20C83" w14:textId="77777777" w:rsidR="000D4F59" w:rsidRPr="004034F3" w:rsidRDefault="000D4F59" w:rsidP="002F74C9">
            <w:pPr>
              <w:spacing w:line="480" w:lineRule="auto"/>
              <w:jc w:val="center"/>
              <w:rPr>
                <w:color w:val="181818"/>
              </w:rPr>
            </w:pPr>
            <w:r>
              <w:rPr>
                <w:color w:val="181818"/>
              </w:rPr>
              <w:t>Varies depending on credit score, university and academic scores. Usually, Rs. 25,000+</w:t>
            </w:r>
          </w:p>
        </w:tc>
        <w:tc>
          <w:tcPr>
            <w:tcW w:w="2268" w:type="dxa"/>
          </w:tcPr>
          <w:p w14:paraId="4466B975" w14:textId="77777777" w:rsidR="000D4F59" w:rsidRDefault="000D4F59" w:rsidP="002F74C9">
            <w:pPr>
              <w:spacing w:line="480" w:lineRule="auto"/>
              <w:jc w:val="center"/>
              <w:rPr>
                <w:color w:val="181818"/>
              </w:rPr>
            </w:pPr>
            <w:r>
              <w:rPr>
                <w:color w:val="181818"/>
              </w:rPr>
              <w:t>Varies depending on credit score, university and academic scores. Usually, Rs. 25,000+</w:t>
            </w:r>
          </w:p>
        </w:tc>
        <w:tc>
          <w:tcPr>
            <w:tcW w:w="2268" w:type="dxa"/>
          </w:tcPr>
          <w:p w14:paraId="33E59C5D" w14:textId="77777777" w:rsidR="000D4F59" w:rsidRDefault="000D4F59" w:rsidP="002F74C9">
            <w:pPr>
              <w:spacing w:line="480" w:lineRule="auto"/>
              <w:jc w:val="center"/>
              <w:rPr>
                <w:color w:val="181818"/>
              </w:rPr>
            </w:pPr>
            <w:r>
              <w:rPr>
                <w:color w:val="181818"/>
              </w:rPr>
              <w:t>Varies depending on credit score, university and academic scores. Usually, Rs. 25,000+</w:t>
            </w:r>
          </w:p>
        </w:tc>
      </w:tr>
      <w:tr w:rsidR="000D4F59" w14:paraId="3F5C9A43" w14:textId="77777777" w:rsidTr="002F74C9">
        <w:tc>
          <w:tcPr>
            <w:tcW w:w="2547" w:type="dxa"/>
            <w:vAlign w:val="center"/>
          </w:tcPr>
          <w:p w14:paraId="14EA0FA5" w14:textId="77777777" w:rsidR="000D4F59" w:rsidRDefault="000D4F59" w:rsidP="002F74C9">
            <w:pPr>
              <w:spacing w:line="480" w:lineRule="auto"/>
              <w:jc w:val="center"/>
              <w:rPr>
                <w:b/>
                <w:bCs/>
              </w:rPr>
            </w:pPr>
            <w:r w:rsidRPr="008329A1">
              <w:rPr>
                <w:b/>
                <w:bCs/>
                <w:color w:val="181818"/>
              </w:rPr>
              <w:t>Monthly instalments during moratorium</w:t>
            </w:r>
          </w:p>
        </w:tc>
        <w:tc>
          <w:tcPr>
            <w:tcW w:w="2410" w:type="dxa"/>
            <w:vAlign w:val="center"/>
          </w:tcPr>
          <w:p w14:paraId="7266EDE7" w14:textId="77777777" w:rsidR="000D4F59" w:rsidRDefault="000D4F59" w:rsidP="002F74C9">
            <w:pPr>
              <w:spacing w:line="480" w:lineRule="auto"/>
              <w:jc w:val="center"/>
              <w:rPr>
                <w:b/>
                <w:bCs/>
              </w:rPr>
            </w:pPr>
            <w:r>
              <w:rPr>
                <w:color w:val="181818"/>
              </w:rPr>
              <w:t>Simple</w:t>
            </w:r>
            <w:r w:rsidRPr="00901A25">
              <w:rPr>
                <w:color w:val="181818"/>
              </w:rPr>
              <w:t xml:space="preserve"> interest</w:t>
            </w:r>
          </w:p>
        </w:tc>
        <w:tc>
          <w:tcPr>
            <w:tcW w:w="2268" w:type="dxa"/>
          </w:tcPr>
          <w:p w14:paraId="71C1A343" w14:textId="77777777" w:rsidR="000D4F59" w:rsidRDefault="000D4F59" w:rsidP="002F74C9">
            <w:pPr>
              <w:spacing w:line="480" w:lineRule="auto"/>
              <w:jc w:val="center"/>
              <w:rPr>
                <w:color w:val="181818"/>
              </w:rPr>
            </w:pPr>
            <w:r>
              <w:rPr>
                <w:color w:val="181818"/>
              </w:rPr>
              <w:t>Simple</w:t>
            </w:r>
            <w:r w:rsidRPr="00901A25">
              <w:rPr>
                <w:color w:val="181818"/>
              </w:rPr>
              <w:t xml:space="preserve"> interest</w:t>
            </w:r>
          </w:p>
        </w:tc>
        <w:tc>
          <w:tcPr>
            <w:tcW w:w="2268" w:type="dxa"/>
          </w:tcPr>
          <w:p w14:paraId="2CA13435" w14:textId="77777777" w:rsidR="000D4F59" w:rsidRDefault="000D4F59" w:rsidP="002F74C9">
            <w:pPr>
              <w:spacing w:line="480" w:lineRule="auto"/>
              <w:jc w:val="center"/>
              <w:rPr>
                <w:color w:val="181818"/>
              </w:rPr>
            </w:pPr>
            <w:r>
              <w:rPr>
                <w:color w:val="181818"/>
              </w:rPr>
              <w:t>Simple</w:t>
            </w:r>
            <w:r w:rsidRPr="00901A25">
              <w:rPr>
                <w:color w:val="181818"/>
              </w:rPr>
              <w:t xml:space="preserve"> interest</w:t>
            </w:r>
          </w:p>
        </w:tc>
      </w:tr>
    </w:tbl>
    <w:p w14:paraId="5E96E157" w14:textId="77777777" w:rsidR="000D4F59" w:rsidRPr="003D4999" w:rsidRDefault="000D4F59" w:rsidP="000D4F59">
      <w:pPr>
        <w:spacing w:line="480" w:lineRule="auto"/>
        <w:jc w:val="center"/>
      </w:pPr>
    </w:p>
    <w:p w14:paraId="5D4FC11D" w14:textId="6C292F4A" w:rsidR="000D4F59" w:rsidRPr="003D4999" w:rsidRDefault="000D4F59" w:rsidP="000D4F59">
      <w:pPr>
        <w:spacing w:line="480" w:lineRule="auto"/>
        <w:jc w:val="center"/>
      </w:pPr>
      <w:r w:rsidRPr="003D4999">
        <w:t xml:space="preserve">Table </w:t>
      </w:r>
      <w:r>
        <w:t xml:space="preserve">3 </w:t>
      </w:r>
      <w:r w:rsidRPr="003D4999">
        <w:t>Information on Accessibility of Education Loans for Domestic Higher Education for Credila, InCred and Avanse</w:t>
      </w:r>
    </w:p>
    <w:p w14:paraId="5A21112D" w14:textId="77777777" w:rsidR="00B97AB2" w:rsidRDefault="00B97AB2" w:rsidP="0002545D">
      <w:pPr>
        <w:spacing w:line="480" w:lineRule="auto"/>
      </w:pPr>
    </w:p>
    <w:p w14:paraId="0D6649AE" w14:textId="77777777" w:rsidR="00B97AB2" w:rsidRDefault="00B97AB2" w:rsidP="0002545D">
      <w:pPr>
        <w:spacing w:line="480" w:lineRule="auto"/>
        <w:rPr>
          <w:b/>
          <w:bCs/>
        </w:rPr>
      </w:pPr>
    </w:p>
    <w:p w14:paraId="2EABCEF3" w14:textId="47A5763A" w:rsidR="004556FF" w:rsidRPr="0002545D" w:rsidRDefault="004556FF" w:rsidP="0002545D">
      <w:pPr>
        <w:spacing w:line="480" w:lineRule="auto"/>
        <w:rPr>
          <w:b/>
          <w:bCs/>
        </w:rPr>
      </w:pPr>
      <w:r w:rsidRPr="0002545D">
        <w:rPr>
          <w:b/>
          <w:bCs/>
        </w:rPr>
        <w:br w:type="page"/>
      </w:r>
    </w:p>
    <w:p w14:paraId="4C5C5D6D" w14:textId="06A728B4" w:rsidR="003D4999" w:rsidRPr="003D4999" w:rsidRDefault="00B41B70" w:rsidP="003D4999">
      <w:pPr>
        <w:spacing w:line="480" w:lineRule="auto"/>
        <w:rPr>
          <w:b/>
          <w:bCs/>
        </w:rPr>
      </w:pPr>
      <w:r>
        <w:rPr>
          <w:b/>
          <w:bCs/>
        </w:rPr>
        <w:lastRenderedPageBreak/>
        <w:t>Affordability</w:t>
      </w:r>
    </w:p>
    <w:tbl>
      <w:tblPr>
        <w:tblStyle w:val="TableGrid"/>
        <w:tblW w:w="0" w:type="auto"/>
        <w:tblLook w:val="04A0" w:firstRow="1" w:lastRow="0" w:firstColumn="1" w:lastColumn="0" w:noHBand="0" w:noVBand="1"/>
      </w:tblPr>
      <w:tblGrid>
        <w:gridCol w:w="2254"/>
        <w:gridCol w:w="2254"/>
        <w:gridCol w:w="2254"/>
        <w:gridCol w:w="2254"/>
      </w:tblGrid>
      <w:tr w:rsidR="00901A25" w:rsidRPr="00901A25" w14:paraId="0C1CBDC7" w14:textId="77777777" w:rsidTr="00207234">
        <w:tc>
          <w:tcPr>
            <w:tcW w:w="2254" w:type="dxa"/>
            <w:vAlign w:val="center"/>
          </w:tcPr>
          <w:p w14:paraId="57EC087A" w14:textId="10F0F101" w:rsidR="00901A25" w:rsidRPr="00901A25" w:rsidRDefault="00901A25" w:rsidP="00901A25">
            <w:pPr>
              <w:spacing w:line="480" w:lineRule="auto"/>
              <w:rPr>
                <w:b/>
                <w:bCs/>
                <w:color w:val="000000" w:themeColor="text1"/>
              </w:rPr>
            </w:pPr>
          </w:p>
        </w:tc>
        <w:tc>
          <w:tcPr>
            <w:tcW w:w="2254" w:type="dxa"/>
            <w:vAlign w:val="center"/>
          </w:tcPr>
          <w:p w14:paraId="150E2489" w14:textId="09A3D6FB" w:rsidR="00901A25" w:rsidRPr="00901A25" w:rsidRDefault="00901A25" w:rsidP="00901A25">
            <w:pPr>
              <w:spacing w:line="480" w:lineRule="auto"/>
              <w:rPr>
                <w:b/>
                <w:bCs/>
                <w:color w:val="000000" w:themeColor="text1"/>
              </w:rPr>
            </w:pPr>
            <w:r w:rsidRPr="00901A25">
              <w:rPr>
                <w:b/>
                <w:bCs/>
                <w:color w:val="000000" w:themeColor="text1"/>
              </w:rPr>
              <w:t>GRE &gt; = 310</w:t>
            </w:r>
          </w:p>
        </w:tc>
        <w:tc>
          <w:tcPr>
            <w:tcW w:w="2254" w:type="dxa"/>
            <w:vAlign w:val="center"/>
          </w:tcPr>
          <w:p w14:paraId="5A9C6B0B" w14:textId="6D7B06CA" w:rsidR="00901A25" w:rsidRPr="00901A25" w:rsidRDefault="00901A25" w:rsidP="00901A25">
            <w:pPr>
              <w:spacing w:line="480" w:lineRule="auto"/>
              <w:rPr>
                <w:b/>
                <w:bCs/>
                <w:color w:val="000000" w:themeColor="text1"/>
              </w:rPr>
            </w:pPr>
            <w:r w:rsidRPr="00901A25">
              <w:rPr>
                <w:b/>
                <w:bCs/>
                <w:color w:val="000000" w:themeColor="text1"/>
              </w:rPr>
              <w:t>GRE 300 = &lt; 310</w:t>
            </w:r>
          </w:p>
        </w:tc>
        <w:tc>
          <w:tcPr>
            <w:tcW w:w="2254" w:type="dxa"/>
            <w:vAlign w:val="center"/>
          </w:tcPr>
          <w:p w14:paraId="3DC36594" w14:textId="23C068A6" w:rsidR="00901A25" w:rsidRPr="00901A25" w:rsidRDefault="00901A25" w:rsidP="00901A25">
            <w:pPr>
              <w:spacing w:line="480" w:lineRule="auto"/>
              <w:rPr>
                <w:b/>
                <w:bCs/>
                <w:color w:val="000000" w:themeColor="text1"/>
              </w:rPr>
            </w:pPr>
            <w:r w:rsidRPr="00901A25">
              <w:rPr>
                <w:b/>
                <w:bCs/>
                <w:color w:val="000000" w:themeColor="text1"/>
              </w:rPr>
              <w:t>GRE 285 = &lt; 299</w:t>
            </w:r>
          </w:p>
        </w:tc>
      </w:tr>
      <w:tr w:rsidR="00901A25" w:rsidRPr="00901A25" w14:paraId="036EB90D" w14:textId="77777777" w:rsidTr="00207234">
        <w:tc>
          <w:tcPr>
            <w:tcW w:w="2254" w:type="dxa"/>
            <w:vAlign w:val="center"/>
          </w:tcPr>
          <w:p w14:paraId="45A93B0F" w14:textId="407E2451" w:rsidR="00901A25" w:rsidRPr="008329A1" w:rsidRDefault="00901A25" w:rsidP="00901A25">
            <w:pPr>
              <w:spacing w:line="480" w:lineRule="auto"/>
              <w:rPr>
                <w:b/>
                <w:bCs/>
              </w:rPr>
            </w:pPr>
            <w:r w:rsidRPr="008329A1">
              <w:rPr>
                <w:b/>
                <w:bCs/>
                <w:color w:val="181818"/>
              </w:rPr>
              <w:t>Rate of interest</w:t>
            </w:r>
            <w:r w:rsidR="007A075F" w:rsidRPr="008329A1">
              <w:rPr>
                <w:b/>
                <w:bCs/>
                <w:color w:val="181818"/>
              </w:rPr>
              <w:t xml:space="preserve"> </w:t>
            </w:r>
            <w:r w:rsidR="00A15057" w:rsidRPr="008329A1">
              <w:rPr>
                <w:b/>
                <w:bCs/>
                <w:color w:val="181818"/>
              </w:rPr>
              <w:t>(p.a.)</w:t>
            </w:r>
          </w:p>
        </w:tc>
        <w:tc>
          <w:tcPr>
            <w:tcW w:w="2254" w:type="dxa"/>
            <w:vAlign w:val="center"/>
          </w:tcPr>
          <w:p w14:paraId="246C94C7" w14:textId="0318121B" w:rsidR="003543A5" w:rsidRDefault="00901A25" w:rsidP="00901A25">
            <w:pPr>
              <w:spacing w:line="480" w:lineRule="auto"/>
              <w:rPr>
                <w:color w:val="181818"/>
              </w:rPr>
            </w:pPr>
            <w:r w:rsidRPr="00901A25">
              <w:rPr>
                <w:color w:val="181818"/>
              </w:rPr>
              <w:t>11.25 - 11.75%</w:t>
            </w:r>
            <w:r w:rsidR="003543A5">
              <w:rPr>
                <w:color w:val="181818"/>
              </w:rPr>
              <w:t xml:space="preserve"> - Credila, </w:t>
            </w:r>
          </w:p>
          <w:p w14:paraId="4134498B" w14:textId="77777777" w:rsidR="00901A25" w:rsidRDefault="003543A5" w:rsidP="00901A25">
            <w:pPr>
              <w:spacing w:line="480" w:lineRule="auto"/>
              <w:rPr>
                <w:color w:val="181818"/>
              </w:rPr>
            </w:pPr>
            <w:r w:rsidRPr="003543A5">
              <w:rPr>
                <w:color w:val="181818"/>
              </w:rPr>
              <w:t>12.5 - 12.75%</w:t>
            </w:r>
            <w:r>
              <w:rPr>
                <w:color w:val="181818"/>
              </w:rPr>
              <w:t xml:space="preserve"> - Avanse </w:t>
            </w:r>
          </w:p>
          <w:p w14:paraId="5332270B" w14:textId="77777777" w:rsidR="008C61DE" w:rsidRDefault="008C61DE" w:rsidP="00901A25">
            <w:pPr>
              <w:spacing w:line="480" w:lineRule="auto"/>
              <w:rPr>
                <w:b/>
                <w:bCs/>
              </w:rPr>
            </w:pPr>
            <w:r w:rsidRPr="008C61DE">
              <w:rPr>
                <w:b/>
                <w:bCs/>
              </w:rPr>
              <w:t>12.25 - 12.75%</w:t>
            </w:r>
            <w:r>
              <w:rPr>
                <w:b/>
                <w:bCs/>
              </w:rPr>
              <w:t xml:space="preserve"> - </w:t>
            </w:r>
          </w:p>
          <w:p w14:paraId="084B7808" w14:textId="12B0B203" w:rsidR="008C61DE" w:rsidRPr="00901A25" w:rsidRDefault="008C61DE" w:rsidP="00901A25">
            <w:pPr>
              <w:spacing w:line="480" w:lineRule="auto"/>
              <w:rPr>
                <w:b/>
                <w:bCs/>
              </w:rPr>
            </w:pPr>
            <w:r>
              <w:rPr>
                <w:b/>
                <w:bCs/>
              </w:rPr>
              <w:t>InCred</w:t>
            </w:r>
          </w:p>
        </w:tc>
        <w:tc>
          <w:tcPr>
            <w:tcW w:w="2254" w:type="dxa"/>
            <w:vAlign w:val="center"/>
          </w:tcPr>
          <w:p w14:paraId="77E1D31C" w14:textId="2D49CBB1" w:rsidR="003543A5" w:rsidRDefault="00901A25" w:rsidP="00901A25">
            <w:pPr>
              <w:spacing w:line="480" w:lineRule="auto"/>
              <w:rPr>
                <w:color w:val="181818"/>
              </w:rPr>
            </w:pPr>
            <w:r w:rsidRPr="00901A25">
              <w:rPr>
                <w:color w:val="181818"/>
              </w:rPr>
              <w:t>11.75% - 12.5%</w:t>
            </w:r>
            <w:r w:rsidR="003543A5">
              <w:rPr>
                <w:color w:val="181818"/>
              </w:rPr>
              <w:t xml:space="preserve"> - Credila, </w:t>
            </w:r>
          </w:p>
          <w:p w14:paraId="52486A1D" w14:textId="77777777" w:rsidR="00901A25" w:rsidRDefault="003543A5" w:rsidP="00901A25">
            <w:pPr>
              <w:spacing w:line="480" w:lineRule="auto"/>
              <w:rPr>
                <w:color w:val="181818"/>
              </w:rPr>
            </w:pPr>
            <w:r w:rsidRPr="003543A5">
              <w:rPr>
                <w:color w:val="181818"/>
              </w:rPr>
              <w:t>12.75% - 13%</w:t>
            </w:r>
            <w:r>
              <w:rPr>
                <w:color w:val="181818"/>
              </w:rPr>
              <w:t xml:space="preserve"> - Avanse </w:t>
            </w:r>
          </w:p>
          <w:p w14:paraId="32028AEF" w14:textId="77777777" w:rsidR="008C61DE" w:rsidRDefault="008C61DE" w:rsidP="00901A25">
            <w:pPr>
              <w:spacing w:line="480" w:lineRule="auto"/>
              <w:rPr>
                <w:b/>
                <w:bCs/>
              </w:rPr>
            </w:pPr>
            <w:r w:rsidRPr="008C61DE">
              <w:rPr>
                <w:b/>
                <w:bCs/>
              </w:rPr>
              <w:t>12.75% - 13%</w:t>
            </w:r>
            <w:r>
              <w:rPr>
                <w:b/>
                <w:bCs/>
              </w:rPr>
              <w:t xml:space="preserve"> - </w:t>
            </w:r>
          </w:p>
          <w:p w14:paraId="52488C9E" w14:textId="3D09C41E" w:rsidR="008C61DE" w:rsidRPr="00901A25" w:rsidRDefault="008C61DE" w:rsidP="00901A25">
            <w:pPr>
              <w:spacing w:line="480" w:lineRule="auto"/>
              <w:rPr>
                <w:b/>
                <w:bCs/>
              </w:rPr>
            </w:pPr>
            <w:r>
              <w:rPr>
                <w:b/>
                <w:bCs/>
              </w:rPr>
              <w:t>InCred</w:t>
            </w:r>
          </w:p>
        </w:tc>
        <w:tc>
          <w:tcPr>
            <w:tcW w:w="2254" w:type="dxa"/>
            <w:vAlign w:val="center"/>
          </w:tcPr>
          <w:p w14:paraId="5C54EABA" w14:textId="77777777" w:rsidR="003543A5" w:rsidRDefault="00901A25" w:rsidP="00901A25">
            <w:pPr>
              <w:spacing w:line="480" w:lineRule="auto"/>
              <w:rPr>
                <w:color w:val="181818"/>
              </w:rPr>
            </w:pPr>
            <w:r w:rsidRPr="00901A25">
              <w:rPr>
                <w:color w:val="181818"/>
              </w:rPr>
              <w:t>12.5 - 13%</w:t>
            </w:r>
            <w:r w:rsidR="003543A5">
              <w:rPr>
                <w:color w:val="181818"/>
              </w:rPr>
              <w:t xml:space="preserve"> - </w:t>
            </w:r>
          </w:p>
          <w:p w14:paraId="0345DF77" w14:textId="62107AF4" w:rsidR="003543A5" w:rsidRDefault="003543A5" w:rsidP="00901A25">
            <w:pPr>
              <w:spacing w:line="480" w:lineRule="auto"/>
              <w:rPr>
                <w:color w:val="181818"/>
              </w:rPr>
            </w:pPr>
            <w:r>
              <w:rPr>
                <w:color w:val="181818"/>
              </w:rPr>
              <w:t>Credila,</w:t>
            </w:r>
          </w:p>
          <w:p w14:paraId="07F0F948" w14:textId="77777777" w:rsidR="003543A5" w:rsidRDefault="003543A5" w:rsidP="00901A25">
            <w:pPr>
              <w:spacing w:line="480" w:lineRule="auto"/>
              <w:rPr>
                <w:color w:val="181818"/>
              </w:rPr>
            </w:pPr>
            <w:r>
              <w:rPr>
                <w:color w:val="181818"/>
              </w:rPr>
              <w:t xml:space="preserve"> </w:t>
            </w:r>
            <w:r w:rsidRPr="003543A5">
              <w:rPr>
                <w:color w:val="181818"/>
              </w:rPr>
              <w:t>13 - 14%</w:t>
            </w:r>
            <w:r>
              <w:rPr>
                <w:color w:val="181818"/>
              </w:rPr>
              <w:t xml:space="preserve"> - </w:t>
            </w:r>
          </w:p>
          <w:p w14:paraId="63A84C07" w14:textId="5D0FB27E" w:rsidR="003543A5" w:rsidRDefault="003543A5" w:rsidP="00901A25">
            <w:pPr>
              <w:spacing w:line="480" w:lineRule="auto"/>
              <w:rPr>
                <w:color w:val="181818"/>
              </w:rPr>
            </w:pPr>
            <w:r>
              <w:rPr>
                <w:color w:val="181818"/>
              </w:rPr>
              <w:t>Avanse</w:t>
            </w:r>
            <w:r w:rsidR="008C61DE">
              <w:rPr>
                <w:color w:val="181818"/>
              </w:rPr>
              <w:t xml:space="preserve"> and InCred</w:t>
            </w:r>
          </w:p>
          <w:p w14:paraId="44476EB4" w14:textId="39DB5EDA" w:rsidR="008C61DE" w:rsidRPr="003543A5" w:rsidRDefault="008C61DE" w:rsidP="00901A25">
            <w:pPr>
              <w:spacing w:line="480" w:lineRule="auto"/>
              <w:rPr>
                <w:color w:val="181818"/>
              </w:rPr>
            </w:pPr>
          </w:p>
        </w:tc>
      </w:tr>
      <w:tr w:rsidR="00901A25" w:rsidRPr="00901A25" w14:paraId="118520D6" w14:textId="77777777" w:rsidTr="00207234">
        <w:tc>
          <w:tcPr>
            <w:tcW w:w="2254" w:type="dxa"/>
            <w:vAlign w:val="center"/>
          </w:tcPr>
          <w:p w14:paraId="49BDCA0A" w14:textId="2DABCDE7" w:rsidR="00901A25" w:rsidRPr="008329A1" w:rsidRDefault="00901A25" w:rsidP="00901A25">
            <w:pPr>
              <w:spacing w:line="480" w:lineRule="auto"/>
              <w:rPr>
                <w:b/>
                <w:bCs/>
              </w:rPr>
            </w:pPr>
            <w:r w:rsidRPr="008329A1">
              <w:rPr>
                <w:b/>
                <w:bCs/>
                <w:color w:val="181818"/>
              </w:rPr>
              <w:t>Loan amount</w:t>
            </w:r>
          </w:p>
        </w:tc>
        <w:tc>
          <w:tcPr>
            <w:tcW w:w="2254" w:type="dxa"/>
            <w:vAlign w:val="center"/>
          </w:tcPr>
          <w:p w14:paraId="37082299" w14:textId="77777777" w:rsidR="003543A5" w:rsidRDefault="00901A25" w:rsidP="00901A25">
            <w:pPr>
              <w:spacing w:line="480" w:lineRule="auto"/>
              <w:rPr>
                <w:color w:val="181818"/>
              </w:rPr>
            </w:pPr>
            <w:r w:rsidRPr="00901A25">
              <w:rPr>
                <w:color w:val="181818"/>
              </w:rPr>
              <w:t>Up to</w:t>
            </w:r>
          </w:p>
          <w:p w14:paraId="22A7A9D7" w14:textId="4BA293AD" w:rsidR="00901A25" w:rsidRDefault="00901A25" w:rsidP="00901A25">
            <w:pPr>
              <w:spacing w:line="480" w:lineRule="auto"/>
              <w:rPr>
                <w:color w:val="181818"/>
              </w:rPr>
            </w:pPr>
            <w:r w:rsidRPr="00901A25">
              <w:rPr>
                <w:color w:val="181818"/>
              </w:rPr>
              <w:t xml:space="preserve"> </w:t>
            </w:r>
            <w:r w:rsidR="00B6724C">
              <w:rPr>
                <w:color w:val="181818"/>
              </w:rPr>
              <w:t>R</w:t>
            </w:r>
            <w:r w:rsidR="000F6026">
              <w:rPr>
                <w:color w:val="181818"/>
              </w:rPr>
              <w:t>s</w:t>
            </w:r>
            <w:r w:rsidR="00B6724C">
              <w:rPr>
                <w:color w:val="181818"/>
              </w:rPr>
              <w:t>.</w:t>
            </w:r>
            <w:r w:rsidRPr="00901A25">
              <w:rPr>
                <w:color w:val="181818"/>
              </w:rPr>
              <w:t xml:space="preserve"> 75 Lakh</w:t>
            </w:r>
            <w:r w:rsidR="003543A5">
              <w:rPr>
                <w:color w:val="181818"/>
              </w:rPr>
              <w:t xml:space="preserve"> – Credila</w:t>
            </w:r>
          </w:p>
          <w:p w14:paraId="5A96243E" w14:textId="6085168D" w:rsidR="003543A5" w:rsidRDefault="003543A5" w:rsidP="00901A25">
            <w:pPr>
              <w:spacing w:line="480" w:lineRule="auto"/>
              <w:rPr>
                <w:color w:val="181818"/>
              </w:rPr>
            </w:pPr>
            <w:r>
              <w:rPr>
                <w:color w:val="181818"/>
              </w:rPr>
              <w:t xml:space="preserve">Rs. 50 Lakh – </w:t>
            </w:r>
          </w:p>
          <w:p w14:paraId="4AD17126" w14:textId="27E27124" w:rsidR="003543A5" w:rsidRDefault="003543A5" w:rsidP="00901A25">
            <w:pPr>
              <w:spacing w:line="480" w:lineRule="auto"/>
              <w:rPr>
                <w:color w:val="181818"/>
              </w:rPr>
            </w:pPr>
            <w:r>
              <w:rPr>
                <w:color w:val="181818"/>
              </w:rPr>
              <w:t>Avanse</w:t>
            </w:r>
          </w:p>
          <w:p w14:paraId="4EC84993" w14:textId="55735D01" w:rsidR="00B20B45" w:rsidRDefault="00D27E56" w:rsidP="00D27E56">
            <w:pPr>
              <w:spacing w:line="480" w:lineRule="auto"/>
              <w:rPr>
                <w:color w:val="181818"/>
              </w:rPr>
            </w:pPr>
            <w:r>
              <w:rPr>
                <w:color w:val="181818"/>
              </w:rPr>
              <w:t xml:space="preserve">Rs. 60 Lakh </w:t>
            </w:r>
            <w:r w:rsidR="00B20B45">
              <w:rPr>
                <w:color w:val="181818"/>
              </w:rPr>
              <w:t>–</w:t>
            </w:r>
            <w:r>
              <w:rPr>
                <w:color w:val="181818"/>
              </w:rPr>
              <w:t xml:space="preserve"> </w:t>
            </w:r>
          </w:p>
          <w:p w14:paraId="619D2028" w14:textId="75A4CFE4" w:rsidR="00D27E56" w:rsidRPr="00D27E56" w:rsidRDefault="00D27E56" w:rsidP="00D27E56">
            <w:pPr>
              <w:spacing w:line="480" w:lineRule="auto"/>
              <w:rPr>
                <w:rFonts w:eastAsiaTheme="minorHAnsi"/>
                <w:color w:val="181818"/>
                <w:lang w:bidi="ar-SA"/>
              </w:rPr>
            </w:pPr>
            <w:r w:rsidRPr="00D27E56">
              <w:rPr>
                <w:rFonts w:eastAsiaTheme="minorHAnsi"/>
                <w:color w:val="181818"/>
                <w:lang w:bidi="ar-SA"/>
              </w:rPr>
              <w:t>InCred</w:t>
            </w:r>
          </w:p>
          <w:p w14:paraId="10FCC2D1" w14:textId="63E79524" w:rsidR="003543A5" w:rsidRPr="00901A25" w:rsidRDefault="003543A5" w:rsidP="00901A25">
            <w:pPr>
              <w:spacing w:line="480" w:lineRule="auto"/>
              <w:rPr>
                <w:b/>
                <w:bCs/>
              </w:rPr>
            </w:pPr>
          </w:p>
        </w:tc>
        <w:tc>
          <w:tcPr>
            <w:tcW w:w="2254" w:type="dxa"/>
            <w:vAlign w:val="center"/>
          </w:tcPr>
          <w:p w14:paraId="7022EBBC" w14:textId="77777777" w:rsidR="003543A5" w:rsidRDefault="00901A25" w:rsidP="00901A25">
            <w:pPr>
              <w:spacing w:line="480" w:lineRule="auto"/>
              <w:rPr>
                <w:color w:val="181818"/>
              </w:rPr>
            </w:pPr>
            <w:r w:rsidRPr="00901A25">
              <w:rPr>
                <w:color w:val="181818"/>
              </w:rPr>
              <w:t xml:space="preserve">Up to </w:t>
            </w:r>
          </w:p>
          <w:p w14:paraId="3B6FD74D" w14:textId="38221947" w:rsidR="00901A25" w:rsidRDefault="00B6724C" w:rsidP="00901A25">
            <w:pPr>
              <w:spacing w:line="480" w:lineRule="auto"/>
              <w:rPr>
                <w:color w:val="181818"/>
              </w:rPr>
            </w:pPr>
            <w:r>
              <w:rPr>
                <w:color w:val="181818"/>
              </w:rPr>
              <w:t>R</w:t>
            </w:r>
            <w:r w:rsidR="000F6026">
              <w:rPr>
                <w:color w:val="181818"/>
              </w:rPr>
              <w:t>s</w:t>
            </w:r>
            <w:r>
              <w:rPr>
                <w:color w:val="181818"/>
              </w:rPr>
              <w:t>.</w:t>
            </w:r>
            <w:r w:rsidR="00901A25" w:rsidRPr="00901A25">
              <w:rPr>
                <w:color w:val="181818"/>
              </w:rPr>
              <w:t xml:space="preserve"> 50 Lakh</w:t>
            </w:r>
            <w:r w:rsidR="003543A5">
              <w:rPr>
                <w:color w:val="181818"/>
              </w:rPr>
              <w:t xml:space="preserve"> – Credila</w:t>
            </w:r>
          </w:p>
          <w:p w14:paraId="27BB1435" w14:textId="41CBCFE2" w:rsidR="003543A5" w:rsidRDefault="003543A5" w:rsidP="00901A25">
            <w:pPr>
              <w:spacing w:line="480" w:lineRule="auto"/>
            </w:pPr>
            <w:r>
              <w:t>Rs. 40 Lakh –</w:t>
            </w:r>
          </w:p>
          <w:p w14:paraId="739A3A5A" w14:textId="77777777" w:rsidR="00D27E56" w:rsidRDefault="003543A5" w:rsidP="00D27E56">
            <w:pPr>
              <w:spacing w:line="480" w:lineRule="auto"/>
              <w:rPr>
                <w:color w:val="181818"/>
              </w:rPr>
            </w:pPr>
            <w:r>
              <w:t>Avanse</w:t>
            </w:r>
            <w:r w:rsidR="00D27E56">
              <w:t xml:space="preserve"> and </w:t>
            </w:r>
            <w:r w:rsidR="00D27E56" w:rsidRPr="00D27E56">
              <w:rPr>
                <w:rFonts w:eastAsiaTheme="minorHAnsi"/>
                <w:color w:val="181818"/>
                <w:lang w:bidi="ar-SA"/>
              </w:rPr>
              <w:t>InCred</w:t>
            </w:r>
          </w:p>
          <w:p w14:paraId="03389F7F" w14:textId="77777777" w:rsidR="00B20B45" w:rsidRDefault="00B20B45" w:rsidP="00D27E56">
            <w:pPr>
              <w:spacing w:line="480" w:lineRule="auto"/>
              <w:rPr>
                <w:color w:val="181818"/>
              </w:rPr>
            </w:pPr>
          </w:p>
          <w:p w14:paraId="2848384E" w14:textId="77777777" w:rsidR="00B20B45" w:rsidRPr="00D27E56" w:rsidRDefault="00B20B45" w:rsidP="00D27E56">
            <w:pPr>
              <w:spacing w:line="480" w:lineRule="auto"/>
              <w:rPr>
                <w:rFonts w:eastAsiaTheme="minorHAnsi"/>
                <w:color w:val="181818"/>
                <w:lang w:bidi="ar-SA"/>
              </w:rPr>
            </w:pPr>
          </w:p>
          <w:p w14:paraId="4BCA95F4" w14:textId="7EBD81B5" w:rsidR="003543A5" w:rsidRPr="003543A5" w:rsidRDefault="003543A5" w:rsidP="00901A25">
            <w:pPr>
              <w:spacing w:line="480" w:lineRule="auto"/>
            </w:pPr>
          </w:p>
        </w:tc>
        <w:tc>
          <w:tcPr>
            <w:tcW w:w="2254" w:type="dxa"/>
            <w:vAlign w:val="center"/>
          </w:tcPr>
          <w:p w14:paraId="55D636F9" w14:textId="77777777" w:rsidR="003543A5" w:rsidRDefault="00901A25" w:rsidP="00901A25">
            <w:pPr>
              <w:spacing w:line="480" w:lineRule="auto"/>
              <w:rPr>
                <w:color w:val="181818"/>
              </w:rPr>
            </w:pPr>
            <w:r w:rsidRPr="00901A25">
              <w:rPr>
                <w:color w:val="181818"/>
              </w:rPr>
              <w:t xml:space="preserve">Up to </w:t>
            </w:r>
          </w:p>
          <w:p w14:paraId="3D1C230D" w14:textId="1647A6C9" w:rsidR="00901A25" w:rsidRDefault="000F6026" w:rsidP="00901A25">
            <w:pPr>
              <w:spacing w:line="480" w:lineRule="auto"/>
              <w:rPr>
                <w:color w:val="181818"/>
              </w:rPr>
            </w:pPr>
            <w:r>
              <w:rPr>
                <w:color w:val="181818"/>
              </w:rPr>
              <w:t>Rs</w:t>
            </w:r>
            <w:r w:rsidR="00B6724C">
              <w:rPr>
                <w:color w:val="181818"/>
              </w:rPr>
              <w:t>.</w:t>
            </w:r>
            <w:r w:rsidR="00901A25" w:rsidRPr="00901A25">
              <w:rPr>
                <w:color w:val="181818"/>
              </w:rPr>
              <w:t xml:space="preserve"> 40 Lakh</w:t>
            </w:r>
            <w:r w:rsidR="003543A5">
              <w:rPr>
                <w:color w:val="181818"/>
              </w:rPr>
              <w:t xml:space="preserve"> – Credila</w:t>
            </w:r>
          </w:p>
          <w:p w14:paraId="4536EACA" w14:textId="20A76869" w:rsidR="003543A5" w:rsidRDefault="003543A5" w:rsidP="00901A25">
            <w:pPr>
              <w:spacing w:line="480" w:lineRule="auto"/>
              <w:rPr>
                <w:color w:val="181818"/>
              </w:rPr>
            </w:pPr>
            <w:r>
              <w:rPr>
                <w:color w:val="181818"/>
              </w:rPr>
              <w:t xml:space="preserve">Rs. 35 Lakh – </w:t>
            </w:r>
          </w:p>
          <w:p w14:paraId="165DA0A7" w14:textId="304A00DE" w:rsidR="00D27E56" w:rsidRDefault="003543A5" w:rsidP="00D27E56">
            <w:pPr>
              <w:spacing w:line="480" w:lineRule="auto"/>
              <w:rPr>
                <w:color w:val="181818"/>
              </w:rPr>
            </w:pPr>
            <w:r>
              <w:rPr>
                <w:color w:val="181818"/>
              </w:rPr>
              <w:t>Avanse</w:t>
            </w:r>
            <w:r w:rsidR="00D27E56">
              <w:rPr>
                <w:color w:val="181818"/>
              </w:rPr>
              <w:t xml:space="preserve"> and </w:t>
            </w:r>
            <w:r w:rsidR="00D27E56" w:rsidRPr="00D27E56">
              <w:rPr>
                <w:rFonts w:eastAsiaTheme="minorHAnsi"/>
                <w:color w:val="181818"/>
                <w:lang w:bidi="ar-SA"/>
              </w:rPr>
              <w:t>InCred</w:t>
            </w:r>
          </w:p>
          <w:p w14:paraId="22D1CCDD" w14:textId="77777777" w:rsidR="00B20B45" w:rsidRPr="00D27E56" w:rsidRDefault="00B20B45" w:rsidP="00D27E56">
            <w:pPr>
              <w:spacing w:line="480" w:lineRule="auto"/>
              <w:rPr>
                <w:rFonts w:eastAsiaTheme="minorHAnsi"/>
                <w:color w:val="181818"/>
                <w:lang w:bidi="ar-SA"/>
              </w:rPr>
            </w:pPr>
          </w:p>
          <w:p w14:paraId="10DC0412" w14:textId="20E8DC2B" w:rsidR="003543A5" w:rsidRDefault="003543A5" w:rsidP="00901A25">
            <w:pPr>
              <w:spacing w:line="480" w:lineRule="auto"/>
              <w:rPr>
                <w:color w:val="181818"/>
              </w:rPr>
            </w:pPr>
          </w:p>
          <w:p w14:paraId="35E79D2A" w14:textId="18202B8C" w:rsidR="003543A5" w:rsidRPr="00901A25" w:rsidRDefault="003543A5" w:rsidP="00901A25">
            <w:pPr>
              <w:spacing w:line="480" w:lineRule="auto"/>
              <w:rPr>
                <w:b/>
                <w:bCs/>
              </w:rPr>
            </w:pPr>
          </w:p>
        </w:tc>
      </w:tr>
      <w:tr w:rsidR="00901A25" w:rsidRPr="00901A25" w14:paraId="02CBBBB7" w14:textId="77777777" w:rsidTr="00207234">
        <w:tc>
          <w:tcPr>
            <w:tcW w:w="2254" w:type="dxa"/>
            <w:vAlign w:val="center"/>
          </w:tcPr>
          <w:p w14:paraId="3B497DA5" w14:textId="63B8F138" w:rsidR="00901A25" w:rsidRPr="008329A1" w:rsidRDefault="00901A25" w:rsidP="00901A25">
            <w:pPr>
              <w:spacing w:line="480" w:lineRule="auto"/>
              <w:rPr>
                <w:b/>
                <w:bCs/>
              </w:rPr>
            </w:pPr>
            <w:r w:rsidRPr="008329A1">
              <w:rPr>
                <w:b/>
                <w:bCs/>
                <w:color w:val="181818"/>
              </w:rPr>
              <w:t>Co-applicant minimum income</w:t>
            </w:r>
            <w:r w:rsidR="00E743BE" w:rsidRPr="008329A1">
              <w:rPr>
                <w:b/>
                <w:bCs/>
                <w:color w:val="181818"/>
              </w:rPr>
              <w:t xml:space="preserve"> (per month)</w:t>
            </w:r>
          </w:p>
        </w:tc>
        <w:tc>
          <w:tcPr>
            <w:tcW w:w="2254" w:type="dxa"/>
            <w:vAlign w:val="center"/>
          </w:tcPr>
          <w:p w14:paraId="0EC29B2B" w14:textId="743C866C" w:rsidR="00901A25" w:rsidRDefault="00B6724C" w:rsidP="00901A25">
            <w:pPr>
              <w:spacing w:line="480" w:lineRule="auto"/>
              <w:rPr>
                <w:color w:val="181818"/>
              </w:rPr>
            </w:pPr>
            <w:r>
              <w:rPr>
                <w:color w:val="181818"/>
              </w:rPr>
              <w:t>R</w:t>
            </w:r>
            <w:r w:rsidR="008571B2">
              <w:rPr>
                <w:color w:val="181818"/>
              </w:rPr>
              <w:t>s</w:t>
            </w:r>
            <w:r>
              <w:rPr>
                <w:color w:val="181818"/>
              </w:rPr>
              <w:t>.</w:t>
            </w:r>
            <w:r w:rsidR="00901A25" w:rsidRPr="00901A25">
              <w:rPr>
                <w:color w:val="181818"/>
              </w:rPr>
              <w:t xml:space="preserve"> </w:t>
            </w:r>
            <w:r w:rsidR="0033522F">
              <w:rPr>
                <w:color w:val="181818"/>
              </w:rPr>
              <w:t>20</w:t>
            </w:r>
            <w:r w:rsidR="003543A5">
              <w:rPr>
                <w:color w:val="181818"/>
              </w:rPr>
              <w:t>,000– Credila</w:t>
            </w:r>
          </w:p>
          <w:p w14:paraId="3319E668" w14:textId="1F94D6E7" w:rsidR="0033522F" w:rsidRDefault="003543A5" w:rsidP="00901A25">
            <w:pPr>
              <w:spacing w:line="480" w:lineRule="auto"/>
              <w:rPr>
                <w:color w:val="181818"/>
              </w:rPr>
            </w:pPr>
            <w:r>
              <w:rPr>
                <w:color w:val="181818"/>
              </w:rPr>
              <w:t xml:space="preserve">Rs. 30,000 </w:t>
            </w:r>
            <w:r w:rsidR="0033522F">
              <w:rPr>
                <w:color w:val="181818"/>
              </w:rPr>
              <w:t>–</w:t>
            </w:r>
            <w:r>
              <w:rPr>
                <w:color w:val="181818"/>
              </w:rPr>
              <w:t xml:space="preserve"> Avanse</w:t>
            </w:r>
            <w:r w:rsidR="0033522F">
              <w:rPr>
                <w:color w:val="181818"/>
              </w:rPr>
              <w:t xml:space="preserve"> and InCred</w:t>
            </w:r>
          </w:p>
          <w:p w14:paraId="0D65FCDC" w14:textId="18167A90" w:rsidR="003543A5" w:rsidRPr="00901A25" w:rsidRDefault="003543A5" w:rsidP="00901A25">
            <w:pPr>
              <w:spacing w:line="480" w:lineRule="auto"/>
              <w:rPr>
                <w:b/>
                <w:bCs/>
              </w:rPr>
            </w:pPr>
          </w:p>
        </w:tc>
        <w:tc>
          <w:tcPr>
            <w:tcW w:w="2254" w:type="dxa"/>
            <w:vAlign w:val="center"/>
          </w:tcPr>
          <w:p w14:paraId="25117B8F" w14:textId="0D4B5128" w:rsidR="00901A25" w:rsidRDefault="00B6724C" w:rsidP="00901A25">
            <w:pPr>
              <w:spacing w:line="480" w:lineRule="auto"/>
              <w:rPr>
                <w:color w:val="181818"/>
              </w:rPr>
            </w:pPr>
            <w:r>
              <w:rPr>
                <w:color w:val="181818"/>
              </w:rPr>
              <w:t>R</w:t>
            </w:r>
            <w:r w:rsidR="008571B2">
              <w:rPr>
                <w:color w:val="181818"/>
              </w:rPr>
              <w:t>s</w:t>
            </w:r>
            <w:r>
              <w:rPr>
                <w:color w:val="181818"/>
              </w:rPr>
              <w:t>.</w:t>
            </w:r>
            <w:r w:rsidR="00901A25" w:rsidRPr="00901A25">
              <w:rPr>
                <w:color w:val="181818"/>
              </w:rPr>
              <w:t xml:space="preserve"> 30</w:t>
            </w:r>
            <w:r w:rsidR="003543A5">
              <w:rPr>
                <w:color w:val="181818"/>
              </w:rPr>
              <w:t>,000</w:t>
            </w:r>
            <w:r w:rsidR="00001CCE">
              <w:rPr>
                <w:color w:val="181818"/>
              </w:rPr>
              <w:t xml:space="preserve"> - Credila</w:t>
            </w:r>
          </w:p>
          <w:p w14:paraId="24B90993" w14:textId="48B690FE" w:rsidR="003543A5" w:rsidRDefault="003543A5" w:rsidP="00901A25">
            <w:pPr>
              <w:spacing w:line="480" w:lineRule="auto"/>
            </w:pPr>
            <w:r>
              <w:t xml:space="preserve">Rs. 35,000 </w:t>
            </w:r>
            <w:r w:rsidR="0033522F">
              <w:t>–</w:t>
            </w:r>
            <w:r>
              <w:t xml:space="preserve"> Avanse</w:t>
            </w:r>
          </w:p>
          <w:p w14:paraId="3A8E10F2" w14:textId="77777777" w:rsidR="0033522F" w:rsidRDefault="0033522F" w:rsidP="00901A25">
            <w:pPr>
              <w:spacing w:line="480" w:lineRule="auto"/>
            </w:pPr>
            <w:r>
              <w:t>And InCred</w:t>
            </w:r>
          </w:p>
          <w:p w14:paraId="1CA23634" w14:textId="4852C098" w:rsidR="00B20B45" w:rsidRPr="003543A5" w:rsidRDefault="00B20B45" w:rsidP="00901A25">
            <w:pPr>
              <w:spacing w:line="480" w:lineRule="auto"/>
            </w:pPr>
          </w:p>
        </w:tc>
        <w:tc>
          <w:tcPr>
            <w:tcW w:w="2254" w:type="dxa"/>
            <w:vAlign w:val="center"/>
          </w:tcPr>
          <w:p w14:paraId="2D69DD16" w14:textId="0E84C5CE" w:rsidR="00901A25" w:rsidRDefault="00B6724C" w:rsidP="00901A25">
            <w:pPr>
              <w:spacing w:line="480" w:lineRule="auto"/>
              <w:rPr>
                <w:color w:val="181818"/>
              </w:rPr>
            </w:pPr>
            <w:r>
              <w:rPr>
                <w:color w:val="181818"/>
              </w:rPr>
              <w:t>R</w:t>
            </w:r>
            <w:r w:rsidR="008571B2">
              <w:rPr>
                <w:color w:val="181818"/>
              </w:rPr>
              <w:t>s</w:t>
            </w:r>
            <w:r>
              <w:rPr>
                <w:color w:val="181818"/>
              </w:rPr>
              <w:t>.</w:t>
            </w:r>
            <w:r w:rsidR="00901A25" w:rsidRPr="00901A25">
              <w:rPr>
                <w:color w:val="181818"/>
              </w:rPr>
              <w:t xml:space="preserve"> 30</w:t>
            </w:r>
            <w:r w:rsidR="003543A5">
              <w:rPr>
                <w:color w:val="181818"/>
              </w:rPr>
              <w:t>,000 - Credila</w:t>
            </w:r>
          </w:p>
          <w:p w14:paraId="1195B7B2" w14:textId="77777777" w:rsidR="003543A5" w:rsidRDefault="003543A5" w:rsidP="00901A25">
            <w:pPr>
              <w:spacing w:line="480" w:lineRule="auto"/>
              <w:rPr>
                <w:color w:val="181818"/>
              </w:rPr>
            </w:pPr>
            <w:r>
              <w:rPr>
                <w:color w:val="181818"/>
              </w:rPr>
              <w:t xml:space="preserve">Rs. 35,000 </w:t>
            </w:r>
            <w:r w:rsidR="0033522F">
              <w:rPr>
                <w:color w:val="181818"/>
              </w:rPr>
              <w:t>–</w:t>
            </w:r>
            <w:r>
              <w:rPr>
                <w:color w:val="181818"/>
              </w:rPr>
              <w:t xml:space="preserve"> Avanse</w:t>
            </w:r>
            <w:r w:rsidR="0033522F">
              <w:rPr>
                <w:color w:val="181818"/>
              </w:rPr>
              <w:t xml:space="preserve"> and InCred</w:t>
            </w:r>
          </w:p>
          <w:p w14:paraId="160617CC" w14:textId="676A3C0B" w:rsidR="00B20B45" w:rsidRPr="00901A25" w:rsidRDefault="00B20B45" w:rsidP="00901A25">
            <w:pPr>
              <w:spacing w:line="480" w:lineRule="auto"/>
              <w:rPr>
                <w:b/>
                <w:bCs/>
              </w:rPr>
            </w:pPr>
          </w:p>
        </w:tc>
      </w:tr>
      <w:tr w:rsidR="00901A25" w:rsidRPr="00901A25" w14:paraId="58CD6070" w14:textId="77777777" w:rsidTr="00207234">
        <w:tc>
          <w:tcPr>
            <w:tcW w:w="2254" w:type="dxa"/>
            <w:vAlign w:val="center"/>
          </w:tcPr>
          <w:p w14:paraId="5CECFD59" w14:textId="7F57BE1F" w:rsidR="00901A25" w:rsidRPr="008329A1" w:rsidRDefault="00901A25" w:rsidP="00901A25">
            <w:pPr>
              <w:spacing w:line="480" w:lineRule="auto"/>
              <w:rPr>
                <w:b/>
                <w:bCs/>
              </w:rPr>
            </w:pPr>
            <w:r w:rsidRPr="008329A1">
              <w:rPr>
                <w:b/>
                <w:bCs/>
                <w:color w:val="181818"/>
              </w:rPr>
              <w:t xml:space="preserve">Monthly instalments during moratorium </w:t>
            </w:r>
          </w:p>
        </w:tc>
        <w:tc>
          <w:tcPr>
            <w:tcW w:w="2254" w:type="dxa"/>
            <w:vAlign w:val="center"/>
          </w:tcPr>
          <w:p w14:paraId="0AC01D13" w14:textId="4BEDF405" w:rsidR="00901A25" w:rsidRPr="00901A25" w:rsidRDefault="00901A25" w:rsidP="00901A25">
            <w:pPr>
              <w:spacing w:line="480" w:lineRule="auto"/>
              <w:rPr>
                <w:b/>
                <w:bCs/>
              </w:rPr>
            </w:pPr>
            <w:r w:rsidRPr="00901A25">
              <w:rPr>
                <w:color w:val="181818"/>
              </w:rPr>
              <w:t>Partial simple interest</w:t>
            </w:r>
            <w:r w:rsidR="003543A5">
              <w:rPr>
                <w:color w:val="181818"/>
              </w:rPr>
              <w:t xml:space="preserve"> – Credila</w:t>
            </w:r>
            <w:r w:rsidR="00440342">
              <w:rPr>
                <w:color w:val="181818"/>
              </w:rPr>
              <w:t xml:space="preserve">, </w:t>
            </w:r>
            <w:r w:rsidR="003543A5">
              <w:rPr>
                <w:color w:val="181818"/>
              </w:rPr>
              <w:t>Avanse</w:t>
            </w:r>
            <w:r w:rsidR="00440342">
              <w:rPr>
                <w:color w:val="181818"/>
              </w:rPr>
              <w:t xml:space="preserve"> and InCred</w:t>
            </w:r>
          </w:p>
        </w:tc>
        <w:tc>
          <w:tcPr>
            <w:tcW w:w="2254" w:type="dxa"/>
            <w:vAlign w:val="center"/>
          </w:tcPr>
          <w:p w14:paraId="07280EF0" w14:textId="23B2C85A" w:rsidR="00901A25" w:rsidRPr="00901A25" w:rsidRDefault="00901A25" w:rsidP="00901A25">
            <w:pPr>
              <w:spacing w:line="480" w:lineRule="auto"/>
              <w:rPr>
                <w:b/>
                <w:bCs/>
              </w:rPr>
            </w:pPr>
            <w:r w:rsidRPr="00901A25">
              <w:rPr>
                <w:color w:val="181818"/>
              </w:rPr>
              <w:t xml:space="preserve">Partial simple </w:t>
            </w:r>
            <w:r w:rsidR="00020986" w:rsidRPr="00901A25">
              <w:rPr>
                <w:color w:val="181818"/>
              </w:rPr>
              <w:t>interest</w:t>
            </w:r>
            <w:r w:rsidR="00020986">
              <w:rPr>
                <w:color w:val="181818"/>
              </w:rPr>
              <w:t xml:space="preserve"> –</w:t>
            </w:r>
            <w:r w:rsidR="003543A5">
              <w:rPr>
                <w:color w:val="181818"/>
              </w:rPr>
              <w:t xml:space="preserve"> Credila</w:t>
            </w:r>
            <w:r w:rsidR="00440342">
              <w:rPr>
                <w:color w:val="181818"/>
              </w:rPr>
              <w:t xml:space="preserve">, </w:t>
            </w:r>
            <w:r w:rsidR="003543A5">
              <w:rPr>
                <w:color w:val="181818"/>
              </w:rPr>
              <w:t>Avanse</w:t>
            </w:r>
            <w:r w:rsidR="00440342">
              <w:rPr>
                <w:color w:val="181818"/>
              </w:rPr>
              <w:t>, and InCred</w:t>
            </w:r>
          </w:p>
        </w:tc>
        <w:tc>
          <w:tcPr>
            <w:tcW w:w="2254" w:type="dxa"/>
            <w:vAlign w:val="center"/>
          </w:tcPr>
          <w:p w14:paraId="26D1C709" w14:textId="187A6310" w:rsidR="00901A25" w:rsidRPr="00901A25" w:rsidRDefault="00901A25" w:rsidP="00901A25">
            <w:pPr>
              <w:spacing w:line="480" w:lineRule="auto"/>
              <w:rPr>
                <w:b/>
                <w:bCs/>
              </w:rPr>
            </w:pPr>
            <w:r w:rsidRPr="00901A25">
              <w:rPr>
                <w:color w:val="181818"/>
              </w:rPr>
              <w:t xml:space="preserve">Simple </w:t>
            </w:r>
            <w:r w:rsidR="00020986" w:rsidRPr="00901A25">
              <w:rPr>
                <w:color w:val="181818"/>
              </w:rPr>
              <w:t>interest</w:t>
            </w:r>
            <w:r w:rsidR="00020986">
              <w:rPr>
                <w:color w:val="181818"/>
              </w:rPr>
              <w:t xml:space="preserve"> –</w:t>
            </w:r>
            <w:r w:rsidR="003543A5">
              <w:rPr>
                <w:color w:val="181818"/>
              </w:rPr>
              <w:t xml:space="preserve"> Credila</w:t>
            </w:r>
            <w:r w:rsidR="00440342">
              <w:rPr>
                <w:color w:val="181818"/>
              </w:rPr>
              <w:t xml:space="preserve">, </w:t>
            </w:r>
            <w:r w:rsidR="003543A5">
              <w:rPr>
                <w:color w:val="181818"/>
              </w:rPr>
              <w:t>Avanse</w:t>
            </w:r>
            <w:r w:rsidR="00440342">
              <w:rPr>
                <w:color w:val="181818"/>
              </w:rPr>
              <w:t xml:space="preserve">, </w:t>
            </w:r>
            <w:r w:rsidR="00CE5705">
              <w:rPr>
                <w:color w:val="181818"/>
              </w:rPr>
              <w:t>and InCred</w:t>
            </w:r>
          </w:p>
        </w:tc>
      </w:tr>
    </w:tbl>
    <w:p w14:paraId="31ACC05D" w14:textId="45385426" w:rsidR="003D4999" w:rsidRPr="00C3677D" w:rsidRDefault="003D4999" w:rsidP="00C3677D">
      <w:pPr>
        <w:spacing w:line="480" w:lineRule="auto"/>
        <w:jc w:val="center"/>
        <w:rPr>
          <w:lang w:val="en-US"/>
        </w:rPr>
      </w:pPr>
      <w:r>
        <w:t xml:space="preserve">Table </w:t>
      </w:r>
      <w:r w:rsidR="000D4F59">
        <w:t xml:space="preserve">4 </w:t>
      </w:r>
      <w:r w:rsidRPr="00207B11">
        <w:rPr>
          <w:lang w:val="en-US"/>
        </w:rPr>
        <w:t>Information on Accessibility of Education Loans in the United States for Credila, InCred and Avanse(Gyandhan)</w:t>
      </w:r>
    </w:p>
    <w:tbl>
      <w:tblPr>
        <w:tblStyle w:val="TableGrid"/>
        <w:tblW w:w="0" w:type="auto"/>
        <w:tblLook w:val="04A0" w:firstRow="1" w:lastRow="0" w:firstColumn="1" w:lastColumn="0" w:noHBand="0" w:noVBand="1"/>
      </w:tblPr>
      <w:tblGrid>
        <w:gridCol w:w="1469"/>
        <w:gridCol w:w="2009"/>
        <w:gridCol w:w="2329"/>
        <w:gridCol w:w="1688"/>
        <w:gridCol w:w="1521"/>
      </w:tblGrid>
      <w:tr w:rsidR="000A4E33" w:rsidRPr="00901A25" w14:paraId="7BB0E6CB" w14:textId="77777777" w:rsidTr="003D4999">
        <w:trPr>
          <w:trHeight w:val="1325"/>
        </w:trPr>
        <w:tc>
          <w:tcPr>
            <w:tcW w:w="1469" w:type="dxa"/>
            <w:vAlign w:val="center"/>
          </w:tcPr>
          <w:p w14:paraId="5586E0DA" w14:textId="77777777" w:rsidR="00901A25" w:rsidRPr="00901A25" w:rsidRDefault="00901A25" w:rsidP="00901A25">
            <w:pPr>
              <w:spacing w:line="480" w:lineRule="auto"/>
              <w:rPr>
                <w:color w:val="181818"/>
              </w:rPr>
            </w:pPr>
          </w:p>
        </w:tc>
        <w:tc>
          <w:tcPr>
            <w:tcW w:w="2009" w:type="dxa"/>
            <w:vAlign w:val="center"/>
          </w:tcPr>
          <w:p w14:paraId="326CF49F" w14:textId="33664E00" w:rsidR="00901A25" w:rsidRPr="00901A25" w:rsidRDefault="00901A25" w:rsidP="00901A25">
            <w:pPr>
              <w:spacing w:line="480" w:lineRule="auto"/>
              <w:rPr>
                <w:color w:val="000000" w:themeColor="text1"/>
              </w:rPr>
            </w:pPr>
            <w:r>
              <w:rPr>
                <w:b/>
                <w:bCs/>
                <w:color w:val="000000" w:themeColor="text1"/>
              </w:rPr>
              <w:t>Oceania</w:t>
            </w:r>
            <w:r w:rsidR="00AB324A">
              <w:rPr>
                <w:b/>
                <w:bCs/>
                <w:color w:val="000000" w:themeColor="text1"/>
              </w:rPr>
              <w:t xml:space="preserve"> </w:t>
            </w:r>
          </w:p>
        </w:tc>
        <w:tc>
          <w:tcPr>
            <w:tcW w:w="2329" w:type="dxa"/>
            <w:vAlign w:val="center"/>
          </w:tcPr>
          <w:p w14:paraId="18F1410B" w14:textId="16DC6F44" w:rsidR="00901A25" w:rsidRPr="00901A25" w:rsidRDefault="00901A25" w:rsidP="00901A25">
            <w:pPr>
              <w:spacing w:line="480" w:lineRule="auto"/>
              <w:rPr>
                <w:color w:val="000000" w:themeColor="text1"/>
              </w:rPr>
            </w:pPr>
            <w:r w:rsidRPr="00901A25">
              <w:rPr>
                <w:b/>
                <w:bCs/>
                <w:color w:val="000000" w:themeColor="text1"/>
              </w:rPr>
              <w:t>Canada</w:t>
            </w:r>
          </w:p>
        </w:tc>
        <w:tc>
          <w:tcPr>
            <w:tcW w:w="1688" w:type="dxa"/>
            <w:vAlign w:val="center"/>
          </w:tcPr>
          <w:p w14:paraId="7A590F32" w14:textId="4B3EDBE4" w:rsidR="00901A25" w:rsidRPr="00901A25" w:rsidRDefault="00901A25" w:rsidP="00901A25">
            <w:pPr>
              <w:spacing w:line="480" w:lineRule="auto"/>
              <w:rPr>
                <w:color w:val="000000" w:themeColor="text1"/>
              </w:rPr>
            </w:pPr>
            <w:r>
              <w:rPr>
                <w:b/>
                <w:bCs/>
                <w:color w:val="000000" w:themeColor="text1"/>
              </w:rPr>
              <w:t>United Kingdom</w:t>
            </w:r>
          </w:p>
        </w:tc>
        <w:tc>
          <w:tcPr>
            <w:tcW w:w="1521" w:type="dxa"/>
            <w:vAlign w:val="center"/>
          </w:tcPr>
          <w:p w14:paraId="45A8E6F4" w14:textId="45F9EB37" w:rsidR="00901A25" w:rsidRPr="00901A25" w:rsidRDefault="00901A25" w:rsidP="00901A25">
            <w:pPr>
              <w:spacing w:line="480" w:lineRule="auto"/>
              <w:rPr>
                <w:color w:val="000000" w:themeColor="text1"/>
              </w:rPr>
            </w:pPr>
            <w:r w:rsidRPr="00901A25">
              <w:rPr>
                <w:b/>
                <w:bCs/>
                <w:color w:val="000000" w:themeColor="text1"/>
              </w:rPr>
              <w:t>Germany/ Italy</w:t>
            </w:r>
            <w:r>
              <w:rPr>
                <w:b/>
                <w:bCs/>
                <w:color w:val="000000" w:themeColor="text1"/>
              </w:rPr>
              <w:t xml:space="preserve">/ </w:t>
            </w:r>
            <w:r w:rsidRPr="00901A25">
              <w:rPr>
                <w:b/>
                <w:bCs/>
                <w:color w:val="000000" w:themeColor="text1"/>
              </w:rPr>
              <w:t xml:space="preserve">France/ Ireland </w:t>
            </w:r>
          </w:p>
        </w:tc>
      </w:tr>
      <w:tr w:rsidR="000A4E33" w:rsidRPr="00901A25" w14:paraId="52BCEAEF" w14:textId="686F9B17" w:rsidTr="003D4999">
        <w:tc>
          <w:tcPr>
            <w:tcW w:w="1469" w:type="dxa"/>
            <w:vAlign w:val="center"/>
          </w:tcPr>
          <w:p w14:paraId="18B2A69F" w14:textId="10B4FC22" w:rsidR="00901A25" w:rsidRPr="00D70603" w:rsidRDefault="00901A25" w:rsidP="00901A25">
            <w:pPr>
              <w:spacing w:line="480" w:lineRule="auto"/>
              <w:rPr>
                <w:b/>
                <w:bCs/>
                <w:color w:val="000000" w:themeColor="text1"/>
              </w:rPr>
            </w:pPr>
            <w:r w:rsidRPr="00D70603">
              <w:rPr>
                <w:b/>
                <w:bCs/>
                <w:color w:val="181818"/>
              </w:rPr>
              <w:t xml:space="preserve">Rate of </w:t>
            </w:r>
            <w:r w:rsidRPr="003952DD">
              <w:rPr>
                <w:b/>
                <w:bCs/>
                <w:color w:val="181818"/>
              </w:rPr>
              <w:t>interest</w:t>
            </w:r>
            <w:r w:rsidR="008329A1" w:rsidRPr="003952DD">
              <w:rPr>
                <w:b/>
                <w:bCs/>
                <w:color w:val="181818"/>
              </w:rPr>
              <w:t xml:space="preserve"> (p.a.)</w:t>
            </w:r>
          </w:p>
        </w:tc>
        <w:tc>
          <w:tcPr>
            <w:tcW w:w="2009" w:type="dxa"/>
            <w:vAlign w:val="center"/>
          </w:tcPr>
          <w:p w14:paraId="36C1DBBA" w14:textId="0D05E2C2" w:rsidR="000A4E33" w:rsidRPr="00C709D6" w:rsidRDefault="00901A25" w:rsidP="00901A25">
            <w:pPr>
              <w:spacing w:line="480" w:lineRule="auto"/>
              <w:rPr>
                <w:color w:val="181818"/>
              </w:rPr>
            </w:pPr>
            <w:r w:rsidRPr="000A4E33">
              <w:rPr>
                <w:color w:val="181818"/>
              </w:rPr>
              <w:t>12 - 13%</w:t>
            </w:r>
            <w:r w:rsidR="00001CCE" w:rsidRPr="000A4E33">
              <w:rPr>
                <w:color w:val="181818"/>
              </w:rPr>
              <w:t xml:space="preserve"> - Credila</w:t>
            </w:r>
          </w:p>
          <w:p w14:paraId="02C97DC8" w14:textId="35D8E593" w:rsidR="000A4E33" w:rsidRPr="00C709D6" w:rsidRDefault="00001CCE" w:rsidP="00901A25">
            <w:pPr>
              <w:spacing w:line="480" w:lineRule="auto"/>
              <w:rPr>
                <w:color w:val="181818"/>
              </w:rPr>
            </w:pPr>
            <w:r w:rsidRPr="000A4E33">
              <w:rPr>
                <w:color w:val="000000" w:themeColor="text1"/>
              </w:rPr>
              <w:t>12.5 - 12.75% - Avanse</w:t>
            </w:r>
          </w:p>
          <w:p w14:paraId="2ECC56D3" w14:textId="77777777" w:rsidR="000A4E33" w:rsidRDefault="000A4E33" w:rsidP="00901A25">
            <w:pPr>
              <w:spacing w:line="480" w:lineRule="auto"/>
              <w:rPr>
                <w:color w:val="000000" w:themeColor="text1"/>
              </w:rPr>
            </w:pPr>
            <w:r w:rsidRPr="000A4E33">
              <w:rPr>
                <w:color w:val="000000" w:themeColor="text1"/>
              </w:rPr>
              <w:t>12.25 - 13%</w:t>
            </w:r>
            <w:r>
              <w:rPr>
                <w:color w:val="000000" w:themeColor="text1"/>
              </w:rPr>
              <w:t xml:space="preserve"> - InCred</w:t>
            </w:r>
          </w:p>
          <w:p w14:paraId="18AECE46" w14:textId="46173142" w:rsidR="00B20B45" w:rsidRPr="000A4E33" w:rsidRDefault="00B20B45" w:rsidP="00901A25">
            <w:pPr>
              <w:spacing w:line="480" w:lineRule="auto"/>
              <w:rPr>
                <w:color w:val="000000" w:themeColor="text1"/>
              </w:rPr>
            </w:pPr>
          </w:p>
        </w:tc>
        <w:tc>
          <w:tcPr>
            <w:tcW w:w="2329" w:type="dxa"/>
            <w:vAlign w:val="center"/>
          </w:tcPr>
          <w:p w14:paraId="1899D3C3" w14:textId="64208D40" w:rsidR="000A4E33" w:rsidRPr="000A4E33" w:rsidRDefault="00901A25" w:rsidP="00901A25">
            <w:pPr>
              <w:spacing w:line="480" w:lineRule="auto"/>
              <w:rPr>
                <w:color w:val="181818"/>
              </w:rPr>
            </w:pPr>
            <w:r w:rsidRPr="000A4E33">
              <w:rPr>
                <w:color w:val="181818"/>
              </w:rPr>
              <w:t>11.75 - 12.5%</w:t>
            </w:r>
            <w:r w:rsidR="00001CCE" w:rsidRPr="000A4E33">
              <w:rPr>
                <w:color w:val="181818"/>
              </w:rPr>
              <w:t>- Credila</w:t>
            </w:r>
          </w:p>
          <w:p w14:paraId="02566BAD" w14:textId="5CEBFB9D" w:rsidR="000A4E33" w:rsidRDefault="00001CCE" w:rsidP="00901A25">
            <w:pPr>
              <w:spacing w:line="480" w:lineRule="auto"/>
              <w:rPr>
                <w:color w:val="181818"/>
              </w:rPr>
            </w:pPr>
            <w:r w:rsidRPr="000A4E33">
              <w:rPr>
                <w:color w:val="181818"/>
              </w:rPr>
              <w:t>12.5 - 13% - Avanse</w:t>
            </w:r>
          </w:p>
          <w:p w14:paraId="5D54DCEA" w14:textId="77777777" w:rsidR="000A4E33" w:rsidRDefault="000A4E33" w:rsidP="00901A25">
            <w:pPr>
              <w:spacing w:line="480" w:lineRule="auto"/>
              <w:rPr>
                <w:color w:val="181818"/>
              </w:rPr>
            </w:pPr>
            <w:r w:rsidRPr="000A4E33">
              <w:rPr>
                <w:color w:val="181818"/>
              </w:rPr>
              <w:t>12 - 13%</w:t>
            </w:r>
            <w:r>
              <w:rPr>
                <w:color w:val="181818"/>
              </w:rPr>
              <w:t xml:space="preserve"> - </w:t>
            </w:r>
          </w:p>
          <w:p w14:paraId="4EAF7EF7" w14:textId="3DA6B6FA" w:rsidR="000A4E33" w:rsidRDefault="000A4E33" w:rsidP="00901A25">
            <w:pPr>
              <w:spacing w:line="480" w:lineRule="auto"/>
              <w:rPr>
                <w:color w:val="181818"/>
              </w:rPr>
            </w:pPr>
            <w:r>
              <w:rPr>
                <w:color w:val="000000" w:themeColor="text1"/>
              </w:rPr>
              <w:t>InCred</w:t>
            </w:r>
          </w:p>
          <w:p w14:paraId="052C02DD" w14:textId="34551420" w:rsidR="000A4E33" w:rsidRPr="000A4E33" w:rsidRDefault="000A4E33" w:rsidP="00901A25">
            <w:pPr>
              <w:spacing w:line="480" w:lineRule="auto"/>
              <w:rPr>
                <w:color w:val="181818"/>
              </w:rPr>
            </w:pPr>
          </w:p>
        </w:tc>
        <w:tc>
          <w:tcPr>
            <w:tcW w:w="1688" w:type="dxa"/>
            <w:vAlign w:val="center"/>
          </w:tcPr>
          <w:p w14:paraId="2B34AD11" w14:textId="4FD7BA93" w:rsidR="000A4E33" w:rsidRPr="000A4E33" w:rsidRDefault="00901A25" w:rsidP="00901A25">
            <w:pPr>
              <w:spacing w:line="480" w:lineRule="auto"/>
              <w:rPr>
                <w:color w:val="181818"/>
              </w:rPr>
            </w:pPr>
            <w:r w:rsidRPr="000A4E33">
              <w:rPr>
                <w:color w:val="181818"/>
              </w:rPr>
              <w:t>12 - 13%</w:t>
            </w:r>
            <w:r w:rsidR="00001CCE" w:rsidRPr="000A4E33">
              <w:rPr>
                <w:color w:val="181818"/>
              </w:rPr>
              <w:t xml:space="preserve"> - Credila</w:t>
            </w:r>
          </w:p>
          <w:p w14:paraId="288E8D1C" w14:textId="3D66A16C" w:rsidR="000A4E33" w:rsidRDefault="00001CCE" w:rsidP="00901A25">
            <w:pPr>
              <w:spacing w:line="480" w:lineRule="auto"/>
              <w:rPr>
                <w:color w:val="000000" w:themeColor="text1"/>
              </w:rPr>
            </w:pPr>
            <w:r w:rsidRPr="000A4E33">
              <w:rPr>
                <w:color w:val="000000" w:themeColor="text1"/>
              </w:rPr>
              <w:t xml:space="preserve">12.5 - 13.5% - Avanse </w:t>
            </w:r>
            <w:r w:rsidR="000A4E33">
              <w:rPr>
                <w:color w:val="000000" w:themeColor="text1"/>
              </w:rPr>
              <w:t>and InCred</w:t>
            </w:r>
          </w:p>
          <w:p w14:paraId="04768AF1" w14:textId="4EE3F287" w:rsidR="000A4E33" w:rsidRPr="000A4E33" w:rsidRDefault="000A4E33" w:rsidP="00901A25">
            <w:pPr>
              <w:spacing w:line="480" w:lineRule="auto"/>
              <w:rPr>
                <w:color w:val="000000" w:themeColor="text1"/>
              </w:rPr>
            </w:pPr>
          </w:p>
        </w:tc>
        <w:tc>
          <w:tcPr>
            <w:tcW w:w="1521" w:type="dxa"/>
            <w:vAlign w:val="center"/>
          </w:tcPr>
          <w:p w14:paraId="5F333C58" w14:textId="221D6994" w:rsidR="000A4E33" w:rsidRPr="000A4E33" w:rsidRDefault="00901A25" w:rsidP="00901A25">
            <w:pPr>
              <w:spacing w:line="480" w:lineRule="auto"/>
              <w:rPr>
                <w:color w:val="181818"/>
              </w:rPr>
            </w:pPr>
            <w:r w:rsidRPr="000A4E33">
              <w:rPr>
                <w:color w:val="181818"/>
              </w:rPr>
              <w:t>12 - 12.75%</w:t>
            </w:r>
            <w:r w:rsidR="00001CCE" w:rsidRPr="000A4E33">
              <w:rPr>
                <w:color w:val="181818"/>
              </w:rPr>
              <w:t xml:space="preserve"> - Credila</w:t>
            </w:r>
          </w:p>
          <w:p w14:paraId="533C488A" w14:textId="77777777" w:rsidR="00001CCE" w:rsidRDefault="00001CCE" w:rsidP="00901A25">
            <w:pPr>
              <w:spacing w:line="480" w:lineRule="auto"/>
              <w:rPr>
                <w:color w:val="181818"/>
              </w:rPr>
            </w:pPr>
            <w:r w:rsidRPr="000A4E33">
              <w:rPr>
                <w:color w:val="181818"/>
              </w:rPr>
              <w:t>12.5 - 13.5% - Avanse</w:t>
            </w:r>
            <w:r w:rsidR="000A4E33">
              <w:rPr>
                <w:color w:val="181818"/>
              </w:rPr>
              <w:t xml:space="preserve"> and InCred</w:t>
            </w:r>
          </w:p>
          <w:p w14:paraId="1C9DA22A" w14:textId="7C5E6730" w:rsidR="00B20B45" w:rsidRPr="000A4E33" w:rsidRDefault="00B20B45" w:rsidP="00901A25">
            <w:pPr>
              <w:spacing w:line="480" w:lineRule="auto"/>
              <w:rPr>
                <w:color w:val="181818"/>
              </w:rPr>
            </w:pPr>
          </w:p>
        </w:tc>
      </w:tr>
      <w:tr w:rsidR="000A4E33" w:rsidRPr="00901A25" w14:paraId="235FDC97" w14:textId="6662F2CE" w:rsidTr="003D4999">
        <w:tc>
          <w:tcPr>
            <w:tcW w:w="1469" w:type="dxa"/>
            <w:vAlign w:val="center"/>
          </w:tcPr>
          <w:p w14:paraId="348DB32F" w14:textId="5E6B4368" w:rsidR="00901A25" w:rsidRPr="00D70603" w:rsidRDefault="00901A25" w:rsidP="00901A25">
            <w:pPr>
              <w:spacing w:line="480" w:lineRule="auto"/>
              <w:rPr>
                <w:b/>
                <w:bCs/>
              </w:rPr>
            </w:pPr>
            <w:r w:rsidRPr="00D70603">
              <w:rPr>
                <w:b/>
                <w:bCs/>
                <w:color w:val="181818"/>
              </w:rPr>
              <w:t>Loan amount</w:t>
            </w:r>
          </w:p>
        </w:tc>
        <w:tc>
          <w:tcPr>
            <w:tcW w:w="2009" w:type="dxa"/>
            <w:vAlign w:val="center"/>
          </w:tcPr>
          <w:p w14:paraId="103D0C67" w14:textId="77777777" w:rsidR="00901A25" w:rsidRPr="000A4E33" w:rsidRDefault="00B6724C" w:rsidP="00901A25">
            <w:pPr>
              <w:spacing w:line="480" w:lineRule="auto"/>
              <w:rPr>
                <w:color w:val="181818"/>
              </w:rPr>
            </w:pPr>
            <w:r w:rsidRPr="000A4E33">
              <w:rPr>
                <w:color w:val="181818"/>
              </w:rPr>
              <w:t>R</w:t>
            </w:r>
            <w:r w:rsidR="00001CCE" w:rsidRPr="000A4E33">
              <w:rPr>
                <w:color w:val="181818"/>
              </w:rPr>
              <w:t>s</w:t>
            </w:r>
            <w:r w:rsidRPr="000A4E33">
              <w:rPr>
                <w:color w:val="181818"/>
              </w:rPr>
              <w:t>.</w:t>
            </w:r>
            <w:r w:rsidR="00901A25" w:rsidRPr="000A4E33">
              <w:rPr>
                <w:color w:val="181818"/>
              </w:rPr>
              <w:t xml:space="preserve"> 25 Lakh</w:t>
            </w:r>
            <w:r w:rsidR="00001CCE" w:rsidRPr="000A4E33">
              <w:rPr>
                <w:color w:val="181818"/>
              </w:rPr>
              <w:t xml:space="preserve"> – Credila</w:t>
            </w:r>
          </w:p>
          <w:p w14:paraId="04A1DF01" w14:textId="5A78746F" w:rsidR="00001CCE" w:rsidRDefault="00001CCE" w:rsidP="00901A25">
            <w:pPr>
              <w:spacing w:line="480" w:lineRule="auto"/>
            </w:pPr>
            <w:r w:rsidRPr="000A4E33">
              <w:t xml:space="preserve">Rs. 40 Lakh </w:t>
            </w:r>
            <w:r w:rsidR="000A4E33">
              <w:t>–</w:t>
            </w:r>
            <w:r w:rsidRPr="000A4E33">
              <w:t xml:space="preserve"> Avanse</w:t>
            </w:r>
          </w:p>
          <w:p w14:paraId="3B1FDC2E" w14:textId="2C1D5EC6" w:rsidR="000A4E33" w:rsidRPr="000A4E33" w:rsidRDefault="000A4E33" w:rsidP="00901A25">
            <w:pPr>
              <w:spacing w:line="480" w:lineRule="auto"/>
            </w:pPr>
            <w:r>
              <w:t xml:space="preserve">Rs. 20 Lakh - </w:t>
            </w:r>
            <w:r>
              <w:rPr>
                <w:color w:val="000000" w:themeColor="text1"/>
              </w:rPr>
              <w:t>InCred</w:t>
            </w:r>
          </w:p>
        </w:tc>
        <w:tc>
          <w:tcPr>
            <w:tcW w:w="2329" w:type="dxa"/>
            <w:vAlign w:val="center"/>
          </w:tcPr>
          <w:p w14:paraId="4342C16A" w14:textId="77777777" w:rsidR="00901A25" w:rsidRPr="000A4E33" w:rsidRDefault="00B6724C" w:rsidP="00901A25">
            <w:pPr>
              <w:spacing w:line="480" w:lineRule="auto"/>
              <w:rPr>
                <w:color w:val="181818"/>
              </w:rPr>
            </w:pPr>
            <w:r w:rsidRPr="000A4E33">
              <w:rPr>
                <w:color w:val="181818"/>
              </w:rPr>
              <w:t>Rs.</w:t>
            </w:r>
            <w:r w:rsidR="00901A25" w:rsidRPr="000A4E33">
              <w:rPr>
                <w:color w:val="181818"/>
              </w:rPr>
              <w:t xml:space="preserve"> 40 Lakh</w:t>
            </w:r>
            <w:r w:rsidR="00001CCE" w:rsidRPr="000A4E33">
              <w:rPr>
                <w:color w:val="181818"/>
              </w:rPr>
              <w:t xml:space="preserve"> – Credila</w:t>
            </w:r>
          </w:p>
          <w:p w14:paraId="7511C92A" w14:textId="4EC47176" w:rsidR="00001CCE" w:rsidRDefault="00001CCE" w:rsidP="00901A25">
            <w:pPr>
              <w:spacing w:line="480" w:lineRule="auto"/>
            </w:pPr>
            <w:r w:rsidRPr="000A4E33">
              <w:t xml:space="preserve">Rs. 20-25 Lakh </w:t>
            </w:r>
            <w:r w:rsidR="000A4E33">
              <w:t>–</w:t>
            </w:r>
            <w:r w:rsidRPr="000A4E33">
              <w:t xml:space="preserve"> Avanse</w:t>
            </w:r>
          </w:p>
          <w:p w14:paraId="0276C5B0" w14:textId="5D511983" w:rsidR="000A4E33" w:rsidRDefault="000A4E33" w:rsidP="00901A25">
            <w:pPr>
              <w:spacing w:line="480" w:lineRule="auto"/>
              <w:rPr>
                <w:color w:val="000000" w:themeColor="text1"/>
              </w:rPr>
            </w:pPr>
            <w:r>
              <w:t xml:space="preserve">Rs. 30 Lakh </w:t>
            </w:r>
            <w:r w:rsidR="00B20B45">
              <w:t>–</w:t>
            </w:r>
            <w:r>
              <w:t xml:space="preserve"> </w:t>
            </w:r>
            <w:r>
              <w:rPr>
                <w:color w:val="000000" w:themeColor="text1"/>
              </w:rPr>
              <w:t>InCred</w:t>
            </w:r>
          </w:p>
          <w:p w14:paraId="504E9CD6" w14:textId="1815A05C" w:rsidR="00B20B45" w:rsidRPr="000A4E33" w:rsidRDefault="00B20B45" w:rsidP="00901A25">
            <w:pPr>
              <w:spacing w:line="480" w:lineRule="auto"/>
            </w:pPr>
          </w:p>
        </w:tc>
        <w:tc>
          <w:tcPr>
            <w:tcW w:w="1688" w:type="dxa"/>
            <w:vAlign w:val="center"/>
          </w:tcPr>
          <w:p w14:paraId="1333BECD" w14:textId="77777777" w:rsidR="000A4E33" w:rsidRDefault="00B6724C" w:rsidP="00901A25">
            <w:pPr>
              <w:spacing w:line="480" w:lineRule="auto"/>
              <w:rPr>
                <w:color w:val="000000" w:themeColor="text1"/>
              </w:rPr>
            </w:pPr>
            <w:r w:rsidRPr="000A4E33">
              <w:rPr>
                <w:color w:val="181818"/>
              </w:rPr>
              <w:t>Rs.</w:t>
            </w:r>
            <w:r w:rsidR="00901A25" w:rsidRPr="000A4E33">
              <w:rPr>
                <w:color w:val="181818"/>
              </w:rPr>
              <w:t xml:space="preserve"> 40 Lakh</w:t>
            </w:r>
            <w:r w:rsidR="00001CCE" w:rsidRPr="000A4E33">
              <w:rPr>
                <w:color w:val="181818"/>
              </w:rPr>
              <w:t xml:space="preserve"> – Credila</w:t>
            </w:r>
            <w:r w:rsidR="000A4E33">
              <w:rPr>
                <w:color w:val="181818"/>
              </w:rPr>
              <w:t xml:space="preserve">, </w:t>
            </w:r>
            <w:r w:rsidR="00001CCE" w:rsidRPr="000A4E33">
              <w:rPr>
                <w:color w:val="181818"/>
              </w:rPr>
              <w:t>Avans</w:t>
            </w:r>
            <w:r w:rsidR="000A4E33">
              <w:rPr>
                <w:color w:val="181818"/>
              </w:rPr>
              <w:t xml:space="preserve">e and </w:t>
            </w:r>
            <w:r w:rsidR="000A4E33">
              <w:rPr>
                <w:color w:val="000000" w:themeColor="text1"/>
              </w:rPr>
              <w:t>InCred</w:t>
            </w:r>
          </w:p>
          <w:p w14:paraId="1A7A18AF" w14:textId="77777777" w:rsidR="00B20B45" w:rsidRDefault="00B20B45" w:rsidP="00901A25">
            <w:pPr>
              <w:spacing w:line="480" w:lineRule="auto"/>
              <w:rPr>
                <w:color w:val="000000" w:themeColor="text1"/>
              </w:rPr>
            </w:pPr>
          </w:p>
          <w:p w14:paraId="72E3AC8F" w14:textId="02E98F73" w:rsidR="00B20B45" w:rsidRPr="000A4E33" w:rsidRDefault="00B20B45" w:rsidP="00901A25">
            <w:pPr>
              <w:spacing w:line="480" w:lineRule="auto"/>
              <w:rPr>
                <w:color w:val="181818"/>
              </w:rPr>
            </w:pPr>
          </w:p>
        </w:tc>
        <w:tc>
          <w:tcPr>
            <w:tcW w:w="1521" w:type="dxa"/>
            <w:vAlign w:val="center"/>
          </w:tcPr>
          <w:p w14:paraId="562E3970" w14:textId="2FC04024" w:rsidR="00901A25" w:rsidRPr="000A4E33" w:rsidRDefault="00B6724C" w:rsidP="00901A25">
            <w:pPr>
              <w:spacing w:line="480" w:lineRule="auto"/>
              <w:rPr>
                <w:color w:val="181818"/>
              </w:rPr>
            </w:pPr>
            <w:r w:rsidRPr="000A4E33">
              <w:rPr>
                <w:color w:val="181818"/>
              </w:rPr>
              <w:t>Rs.</w:t>
            </w:r>
            <w:r w:rsidR="00901A25" w:rsidRPr="000A4E33">
              <w:rPr>
                <w:color w:val="181818"/>
              </w:rPr>
              <w:t xml:space="preserve"> 25 Lakh</w:t>
            </w:r>
            <w:r w:rsidR="00001CCE" w:rsidRPr="000A4E33">
              <w:rPr>
                <w:color w:val="181818"/>
              </w:rPr>
              <w:t xml:space="preserve"> – Credila</w:t>
            </w:r>
          </w:p>
          <w:p w14:paraId="747D2BEC" w14:textId="77777777" w:rsidR="00001CCE" w:rsidRDefault="00001CCE" w:rsidP="00901A25">
            <w:pPr>
              <w:spacing w:line="480" w:lineRule="auto"/>
              <w:rPr>
                <w:color w:val="000000" w:themeColor="text1"/>
              </w:rPr>
            </w:pPr>
            <w:r w:rsidRPr="000A4E33">
              <w:rPr>
                <w:color w:val="181818"/>
              </w:rPr>
              <w:t xml:space="preserve">Rs. 20 Lakh </w:t>
            </w:r>
            <w:r w:rsidR="000A4E33">
              <w:rPr>
                <w:color w:val="181818"/>
              </w:rPr>
              <w:t>–</w:t>
            </w:r>
            <w:r w:rsidRPr="000A4E33">
              <w:rPr>
                <w:color w:val="181818"/>
              </w:rPr>
              <w:t xml:space="preserve"> Avanse</w:t>
            </w:r>
            <w:r w:rsidR="000A4E33">
              <w:rPr>
                <w:color w:val="181818"/>
              </w:rPr>
              <w:t xml:space="preserve"> and </w:t>
            </w:r>
            <w:r w:rsidR="000A4E33">
              <w:rPr>
                <w:color w:val="000000" w:themeColor="text1"/>
              </w:rPr>
              <w:t>InCred</w:t>
            </w:r>
          </w:p>
          <w:p w14:paraId="7D09C8F6" w14:textId="00572431" w:rsidR="00B20B45" w:rsidRPr="000A4E33" w:rsidRDefault="00B20B45" w:rsidP="00901A25">
            <w:pPr>
              <w:spacing w:line="480" w:lineRule="auto"/>
              <w:rPr>
                <w:color w:val="181818"/>
              </w:rPr>
            </w:pPr>
          </w:p>
        </w:tc>
      </w:tr>
      <w:tr w:rsidR="000A4E33" w:rsidRPr="00901A25" w14:paraId="6A51110B" w14:textId="7B6F766E" w:rsidTr="003D4999">
        <w:tc>
          <w:tcPr>
            <w:tcW w:w="1469" w:type="dxa"/>
            <w:vAlign w:val="center"/>
          </w:tcPr>
          <w:p w14:paraId="2F9E6340" w14:textId="4E2396DE" w:rsidR="00901A25" w:rsidRPr="00D70603" w:rsidRDefault="00901A25" w:rsidP="00901A25">
            <w:pPr>
              <w:spacing w:line="480" w:lineRule="auto"/>
              <w:rPr>
                <w:b/>
                <w:bCs/>
              </w:rPr>
            </w:pPr>
            <w:r w:rsidRPr="00D70603">
              <w:rPr>
                <w:b/>
                <w:bCs/>
                <w:color w:val="181818"/>
              </w:rPr>
              <w:t>Co-applicant minimum income</w:t>
            </w:r>
            <w:r w:rsidR="007A075F">
              <w:rPr>
                <w:b/>
                <w:bCs/>
                <w:color w:val="181818"/>
              </w:rPr>
              <w:t xml:space="preserve"> (per month)</w:t>
            </w:r>
          </w:p>
        </w:tc>
        <w:tc>
          <w:tcPr>
            <w:tcW w:w="2009" w:type="dxa"/>
            <w:vAlign w:val="center"/>
          </w:tcPr>
          <w:p w14:paraId="77BAF571" w14:textId="48232F80" w:rsidR="000B568D" w:rsidRPr="000A4E33" w:rsidRDefault="00EA2D6A" w:rsidP="00901A25">
            <w:pPr>
              <w:spacing w:line="480" w:lineRule="auto"/>
              <w:rPr>
                <w:color w:val="181818"/>
              </w:rPr>
            </w:pPr>
            <w:r w:rsidRPr="000A4E33">
              <w:rPr>
                <w:color w:val="181818"/>
              </w:rPr>
              <w:t>Rs.</w:t>
            </w:r>
            <w:r w:rsidR="00901A25" w:rsidRPr="000A4E33">
              <w:rPr>
                <w:color w:val="181818"/>
              </w:rPr>
              <w:t xml:space="preserve"> 60</w:t>
            </w:r>
            <w:r w:rsidRPr="000A4E33">
              <w:rPr>
                <w:color w:val="181818"/>
              </w:rPr>
              <w:t>,000</w:t>
            </w:r>
            <w:r w:rsidR="000B568D" w:rsidRPr="000A4E33">
              <w:rPr>
                <w:color w:val="181818"/>
              </w:rPr>
              <w:t xml:space="preserve"> – Credila</w:t>
            </w:r>
            <w:r w:rsidR="00C709D6">
              <w:rPr>
                <w:color w:val="181818"/>
              </w:rPr>
              <w:t xml:space="preserve"> and </w:t>
            </w:r>
            <w:r w:rsidR="00C709D6">
              <w:rPr>
                <w:color w:val="000000" w:themeColor="text1"/>
              </w:rPr>
              <w:t>InCred</w:t>
            </w:r>
          </w:p>
          <w:p w14:paraId="7CCF72A8" w14:textId="5370CFCA" w:rsidR="000B568D" w:rsidRDefault="000B568D" w:rsidP="00901A25">
            <w:pPr>
              <w:spacing w:line="480" w:lineRule="auto"/>
              <w:rPr>
                <w:color w:val="181818"/>
              </w:rPr>
            </w:pPr>
            <w:r w:rsidRPr="000A4E33">
              <w:rPr>
                <w:color w:val="181818"/>
              </w:rPr>
              <w:t xml:space="preserve">Rs. 35,000 </w:t>
            </w:r>
            <w:r w:rsidR="00C709D6">
              <w:rPr>
                <w:color w:val="181818"/>
              </w:rPr>
              <w:t>–</w:t>
            </w:r>
            <w:r w:rsidRPr="000A4E33">
              <w:rPr>
                <w:color w:val="181818"/>
              </w:rPr>
              <w:t xml:space="preserve"> Avanse</w:t>
            </w:r>
          </w:p>
          <w:p w14:paraId="6A525248" w14:textId="16BA5343" w:rsidR="00C709D6" w:rsidRPr="000A4E33" w:rsidRDefault="00C709D6" w:rsidP="00901A25">
            <w:pPr>
              <w:spacing w:line="480" w:lineRule="auto"/>
              <w:rPr>
                <w:color w:val="181818"/>
              </w:rPr>
            </w:pPr>
          </w:p>
        </w:tc>
        <w:tc>
          <w:tcPr>
            <w:tcW w:w="2329" w:type="dxa"/>
            <w:vAlign w:val="center"/>
          </w:tcPr>
          <w:p w14:paraId="5EB34936" w14:textId="1F0C7BA1" w:rsidR="00D25100" w:rsidRDefault="00B6724C" w:rsidP="00901A25">
            <w:pPr>
              <w:spacing w:line="480" w:lineRule="auto"/>
              <w:rPr>
                <w:color w:val="000000" w:themeColor="text1"/>
              </w:rPr>
            </w:pPr>
            <w:r w:rsidRPr="000A4E33">
              <w:rPr>
                <w:color w:val="181818"/>
              </w:rPr>
              <w:t>Rs.</w:t>
            </w:r>
            <w:r w:rsidR="00901A25" w:rsidRPr="000A4E33">
              <w:rPr>
                <w:color w:val="181818"/>
              </w:rPr>
              <w:t xml:space="preserve"> 35</w:t>
            </w:r>
            <w:r w:rsidR="003543A5" w:rsidRPr="000A4E33">
              <w:rPr>
                <w:color w:val="181818"/>
              </w:rPr>
              <w:t>,000</w:t>
            </w:r>
            <w:r w:rsidR="000B568D" w:rsidRPr="000A4E33">
              <w:rPr>
                <w:color w:val="181818"/>
              </w:rPr>
              <w:t xml:space="preserve"> – Credila</w:t>
            </w:r>
            <w:r w:rsidR="00C709D6">
              <w:rPr>
                <w:color w:val="181818"/>
              </w:rPr>
              <w:t xml:space="preserve">, </w:t>
            </w:r>
            <w:r w:rsidR="000B568D" w:rsidRPr="000A4E33">
              <w:rPr>
                <w:color w:val="181818"/>
              </w:rPr>
              <w:t>Avanse</w:t>
            </w:r>
            <w:r w:rsidR="00C709D6">
              <w:rPr>
                <w:color w:val="181818"/>
              </w:rPr>
              <w:t xml:space="preserve"> and </w:t>
            </w:r>
            <w:r w:rsidR="00C709D6">
              <w:rPr>
                <w:color w:val="000000" w:themeColor="text1"/>
              </w:rPr>
              <w:t>InCred</w:t>
            </w:r>
          </w:p>
          <w:p w14:paraId="3136CAF1" w14:textId="77777777" w:rsidR="00D25100" w:rsidRDefault="00D25100" w:rsidP="00901A25">
            <w:pPr>
              <w:spacing w:line="480" w:lineRule="auto"/>
              <w:rPr>
                <w:color w:val="000000" w:themeColor="text1"/>
              </w:rPr>
            </w:pPr>
          </w:p>
          <w:p w14:paraId="4D577A31" w14:textId="77777777" w:rsidR="00D25100" w:rsidRDefault="00D25100" w:rsidP="00901A25">
            <w:pPr>
              <w:spacing w:line="480" w:lineRule="auto"/>
              <w:rPr>
                <w:color w:val="000000" w:themeColor="text1"/>
              </w:rPr>
            </w:pPr>
          </w:p>
          <w:p w14:paraId="5D4A6F56" w14:textId="77777777" w:rsidR="00B20B45" w:rsidRDefault="00B20B45" w:rsidP="00901A25">
            <w:pPr>
              <w:spacing w:line="480" w:lineRule="auto"/>
              <w:rPr>
                <w:color w:val="000000" w:themeColor="text1"/>
              </w:rPr>
            </w:pPr>
          </w:p>
          <w:p w14:paraId="732B91A9" w14:textId="3AFEE428" w:rsidR="00B20B45" w:rsidRPr="000A4E33" w:rsidRDefault="00B20B45" w:rsidP="00901A25">
            <w:pPr>
              <w:spacing w:line="480" w:lineRule="auto"/>
              <w:rPr>
                <w:color w:val="181818"/>
              </w:rPr>
            </w:pPr>
          </w:p>
        </w:tc>
        <w:tc>
          <w:tcPr>
            <w:tcW w:w="1688" w:type="dxa"/>
            <w:vAlign w:val="center"/>
          </w:tcPr>
          <w:p w14:paraId="1EB4AF3B" w14:textId="3863D03D" w:rsidR="00901A25" w:rsidRPr="000A4E33" w:rsidRDefault="00B6724C" w:rsidP="00901A25">
            <w:pPr>
              <w:spacing w:line="480" w:lineRule="auto"/>
              <w:rPr>
                <w:color w:val="181818"/>
              </w:rPr>
            </w:pPr>
            <w:r w:rsidRPr="000A4E33">
              <w:rPr>
                <w:color w:val="181818"/>
              </w:rPr>
              <w:t>Rs.</w:t>
            </w:r>
            <w:r w:rsidR="00901A25" w:rsidRPr="000A4E33">
              <w:rPr>
                <w:color w:val="181818"/>
              </w:rPr>
              <w:t xml:space="preserve"> 35</w:t>
            </w:r>
            <w:r w:rsidR="003543A5" w:rsidRPr="000A4E33">
              <w:rPr>
                <w:color w:val="181818"/>
              </w:rPr>
              <w:t>,000</w:t>
            </w:r>
            <w:r w:rsidR="000B568D" w:rsidRPr="000A4E33">
              <w:rPr>
                <w:color w:val="181818"/>
              </w:rPr>
              <w:t xml:space="preserve"> – Credila</w:t>
            </w:r>
          </w:p>
          <w:p w14:paraId="4B687574" w14:textId="77777777" w:rsidR="000B568D" w:rsidRDefault="000B568D" w:rsidP="00901A25">
            <w:pPr>
              <w:spacing w:line="480" w:lineRule="auto"/>
              <w:rPr>
                <w:color w:val="000000" w:themeColor="text1"/>
              </w:rPr>
            </w:pPr>
            <w:r w:rsidRPr="000A4E33">
              <w:t xml:space="preserve">Rs. 40,000 </w:t>
            </w:r>
            <w:r w:rsidR="00C709D6">
              <w:t>–</w:t>
            </w:r>
            <w:r w:rsidRPr="000A4E33">
              <w:t xml:space="preserve"> Avanse</w:t>
            </w:r>
            <w:r w:rsidR="00C709D6">
              <w:t xml:space="preserve"> and </w:t>
            </w:r>
            <w:r w:rsidR="00C709D6">
              <w:rPr>
                <w:color w:val="000000" w:themeColor="text1"/>
              </w:rPr>
              <w:t>InCred</w:t>
            </w:r>
          </w:p>
          <w:p w14:paraId="697FE3BF" w14:textId="4E37A4B5" w:rsidR="00B20B45" w:rsidRPr="000A4E33" w:rsidRDefault="00B20B45" w:rsidP="00901A25">
            <w:pPr>
              <w:spacing w:line="480" w:lineRule="auto"/>
            </w:pPr>
          </w:p>
        </w:tc>
        <w:tc>
          <w:tcPr>
            <w:tcW w:w="1521" w:type="dxa"/>
            <w:vAlign w:val="center"/>
          </w:tcPr>
          <w:p w14:paraId="3B5A2244" w14:textId="77777777" w:rsidR="00901A25" w:rsidRPr="000A4E33" w:rsidRDefault="00B6724C" w:rsidP="00901A25">
            <w:pPr>
              <w:spacing w:line="480" w:lineRule="auto"/>
              <w:rPr>
                <w:color w:val="181818"/>
              </w:rPr>
            </w:pPr>
            <w:r w:rsidRPr="000A4E33">
              <w:rPr>
                <w:color w:val="181818"/>
              </w:rPr>
              <w:t>Rs.</w:t>
            </w:r>
            <w:r w:rsidR="00901A25" w:rsidRPr="000A4E33">
              <w:rPr>
                <w:color w:val="181818"/>
              </w:rPr>
              <w:t xml:space="preserve"> 35</w:t>
            </w:r>
            <w:r w:rsidR="003543A5" w:rsidRPr="000A4E33">
              <w:rPr>
                <w:color w:val="181818"/>
              </w:rPr>
              <w:t>,000</w:t>
            </w:r>
            <w:r w:rsidR="000B568D" w:rsidRPr="000A4E33">
              <w:rPr>
                <w:color w:val="181818"/>
              </w:rPr>
              <w:t xml:space="preserve"> – Credila,</w:t>
            </w:r>
          </w:p>
          <w:p w14:paraId="19CEB125" w14:textId="77777777" w:rsidR="00D25100" w:rsidRDefault="000B568D" w:rsidP="00901A25">
            <w:pPr>
              <w:spacing w:line="480" w:lineRule="auto"/>
              <w:rPr>
                <w:color w:val="000000" w:themeColor="text1"/>
              </w:rPr>
            </w:pPr>
            <w:r w:rsidRPr="000A4E33">
              <w:rPr>
                <w:color w:val="181818"/>
              </w:rPr>
              <w:t xml:space="preserve">Rs. 40,000 </w:t>
            </w:r>
            <w:r w:rsidR="00C709D6">
              <w:rPr>
                <w:color w:val="181818"/>
              </w:rPr>
              <w:t>–</w:t>
            </w:r>
            <w:r w:rsidRPr="000A4E33">
              <w:rPr>
                <w:color w:val="181818"/>
              </w:rPr>
              <w:t xml:space="preserve"> Avanse</w:t>
            </w:r>
            <w:r w:rsidR="00C709D6">
              <w:rPr>
                <w:color w:val="181818"/>
              </w:rPr>
              <w:t xml:space="preserve"> and </w:t>
            </w:r>
            <w:r w:rsidR="00C709D6">
              <w:rPr>
                <w:color w:val="000000" w:themeColor="text1"/>
              </w:rPr>
              <w:t>InCred</w:t>
            </w:r>
          </w:p>
          <w:p w14:paraId="7E1F5DE8" w14:textId="22A3E27E" w:rsidR="00210983" w:rsidRPr="00D25100" w:rsidRDefault="00210983" w:rsidP="00901A25">
            <w:pPr>
              <w:spacing w:line="480" w:lineRule="auto"/>
              <w:rPr>
                <w:color w:val="000000" w:themeColor="text1"/>
              </w:rPr>
            </w:pPr>
          </w:p>
        </w:tc>
      </w:tr>
    </w:tbl>
    <w:p w14:paraId="353F6367" w14:textId="77777777" w:rsidR="00C3677D" w:rsidRDefault="00C3677D" w:rsidP="00C3677D">
      <w:pPr>
        <w:spacing w:line="480" w:lineRule="auto"/>
        <w:jc w:val="center"/>
      </w:pPr>
    </w:p>
    <w:p w14:paraId="1081CD7A" w14:textId="27CD8F11" w:rsidR="00210983" w:rsidRPr="00DB45DB" w:rsidRDefault="00C3677D" w:rsidP="00DB45DB">
      <w:pPr>
        <w:spacing w:line="480" w:lineRule="auto"/>
        <w:jc w:val="center"/>
      </w:pPr>
      <w:r w:rsidRPr="003D4999">
        <w:t xml:space="preserve">Table </w:t>
      </w:r>
      <w:r w:rsidR="000D4F59">
        <w:t>5</w:t>
      </w:r>
      <w:r w:rsidRPr="003D4999">
        <w:t xml:space="preserve"> Information on Accessibility of Education Loans in other Countries for Credila, InCred and Avanse (Gyandhan)</w:t>
      </w:r>
    </w:p>
    <w:p w14:paraId="0E5D50AD" w14:textId="13F64C48" w:rsidR="0020750B" w:rsidRDefault="0020750B">
      <w:pPr>
        <w:rPr>
          <w:b/>
          <w:bCs/>
        </w:rPr>
      </w:pPr>
    </w:p>
    <w:p w14:paraId="4D4AE885" w14:textId="014BF7B1" w:rsidR="0020750B" w:rsidRDefault="003D4999" w:rsidP="00901A25">
      <w:pPr>
        <w:spacing w:line="480" w:lineRule="auto"/>
        <w:rPr>
          <w:b/>
          <w:bCs/>
        </w:rPr>
      </w:pPr>
      <w:r>
        <w:rPr>
          <w:b/>
          <w:bCs/>
        </w:rPr>
        <w:t>Scheduled Commercial Banks (SCBs) Data</w:t>
      </w:r>
    </w:p>
    <w:p w14:paraId="0B7FF664" w14:textId="77777777" w:rsidR="008F66A7" w:rsidRDefault="008F66A7" w:rsidP="00901A25">
      <w:pPr>
        <w:spacing w:line="480" w:lineRule="auto"/>
        <w:rPr>
          <w:b/>
          <w:bCs/>
        </w:rPr>
      </w:pPr>
    </w:p>
    <w:tbl>
      <w:tblPr>
        <w:tblStyle w:val="TableGrid"/>
        <w:tblW w:w="0" w:type="auto"/>
        <w:tblLook w:val="04A0" w:firstRow="1" w:lastRow="0" w:firstColumn="1" w:lastColumn="0" w:noHBand="0" w:noVBand="1"/>
      </w:tblPr>
      <w:tblGrid>
        <w:gridCol w:w="2254"/>
        <w:gridCol w:w="2254"/>
        <w:gridCol w:w="2254"/>
        <w:gridCol w:w="2254"/>
      </w:tblGrid>
      <w:tr w:rsidR="008F66A7" w14:paraId="7CF1443A" w14:textId="77777777" w:rsidTr="008F66A7">
        <w:tc>
          <w:tcPr>
            <w:tcW w:w="2254" w:type="dxa"/>
          </w:tcPr>
          <w:p w14:paraId="3B2698B2" w14:textId="77777777" w:rsidR="008F66A7" w:rsidRDefault="008F66A7" w:rsidP="00901A25">
            <w:pPr>
              <w:spacing w:line="480" w:lineRule="auto"/>
              <w:rPr>
                <w:b/>
                <w:bCs/>
              </w:rPr>
            </w:pPr>
          </w:p>
        </w:tc>
        <w:tc>
          <w:tcPr>
            <w:tcW w:w="2254" w:type="dxa"/>
          </w:tcPr>
          <w:p w14:paraId="52BCC180" w14:textId="73442DD1" w:rsidR="008F66A7" w:rsidRDefault="008F66A7" w:rsidP="00901A25">
            <w:pPr>
              <w:spacing w:line="480" w:lineRule="auto"/>
              <w:rPr>
                <w:b/>
                <w:bCs/>
              </w:rPr>
            </w:pPr>
            <w:r>
              <w:rPr>
                <w:b/>
                <w:bCs/>
              </w:rPr>
              <w:t>State Bank of India (SBI)</w:t>
            </w:r>
          </w:p>
        </w:tc>
        <w:tc>
          <w:tcPr>
            <w:tcW w:w="2254" w:type="dxa"/>
          </w:tcPr>
          <w:p w14:paraId="2E58275D" w14:textId="1A2C49EE" w:rsidR="008F66A7" w:rsidRDefault="008F66A7" w:rsidP="00901A25">
            <w:pPr>
              <w:spacing w:line="480" w:lineRule="auto"/>
              <w:rPr>
                <w:b/>
                <w:bCs/>
              </w:rPr>
            </w:pPr>
            <w:r>
              <w:rPr>
                <w:b/>
                <w:bCs/>
              </w:rPr>
              <w:t>Punjab National Bank (PNB)</w:t>
            </w:r>
          </w:p>
        </w:tc>
        <w:tc>
          <w:tcPr>
            <w:tcW w:w="2254" w:type="dxa"/>
          </w:tcPr>
          <w:p w14:paraId="06EAE8CA" w14:textId="48181D89" w:rsidR="008F66A7" w:rsidRDefault="0020750B" w:rsidP="00901A25">
            <w:pPr>
              <w:spacing w:line="480" w:lineRule="auto"/>
              <w:rPr>
                <w:b/>
                <w:bCs/>
              </w:rPr>
            </w:pPr>
            <w:r>
              <w:rPr>
                <w:b/>
                <w:bCs/>
              </w:rPr>
              <w:t>Bank of Baroda (BoB)</w:t>
            </w:r>
          </w:p>
        </w:tc>
      </w:tr>
      <w:tr w:rsidR="00AA45AC" w14:paraId="6324A3AB" w14:textId="77777777" w:rsidTr="006F40B6">
        <w:tc>
          <w:tcPr>
            <w:tcW w:w="2254" w:type="dxa"/>
            <w:vAlign w:val="center"/>
          </w:tcPr>
          <w:p w14:paraId="4ED363C6" w14:textId="4FDCE4E4" w:rsidR="00AA45AC" w:rsidRDefault="00AA45AC" w:rsidP="00AA45AC">
            <w:pPr>
              <w:spacing w:line="480" w:lineRule="auto"/>
              <w:rPr>
                <w:b/>
                <w:bCs/>
              </w:rPr>
            </w:pPr>
            <w:r w:rsidRPr="003A7011">
              <w:rPr>
                <w:b/>
                <w:bCs/>
                <w:color w:val="181818"/>
              </w:rPr>
              <w:t>Rate of interest (p.a.)</w:t>
            </w:r>
            <w:r>
              <w:rPr>
                <w:b/>
                <w:bCs/>
                <w:color w:val="181818"/>
              </w:rPr>
              <w:t xml:space="preserve"> for Domestic Education</w:t>
            </w:r>
          </w:p>
        </w:tc>
        <w:tc>
          <w:tcPr>
            <w:tcW w:w="2254" w:type="dxa"/>
          </w:tcPr>
          <w:p w14:paraId="1EA782C4" w14:textId="1ACA8EA9" w:rsidR="00AA45AC" w:rsidRPr="006D5CCE" w:rsidRDefault="00AA45AC" w:rsidP="00AA45AC">
            <w:pPr>
              <w:spacing w:line="480" w:lineRule="auto"/>
            </w:pPr>
            <w:r w:rsidRPr="006D5CCE">
              <w:t>8.15-11.15%</w:t>
            </w:r>
          </w:p>
        </w:tc>
        <w:tc>
          <w:tcPr>
            <w:tcW w:w="2254" w:type="dxa"/>
          </w:tcPr>
          <w:p w14:paraId="1B5058E5" w14:textId="1F8D0DDB" w:rsidR="00AA45AC" w:rsidRPr="006D5CCE" w:rsidRDefault="00AA45AC" w:rsidP="00AA45AC">
            <w:pPr>
              <w:spacing w:line="480" w:lineRule="auto"/>
            </w:pPr>
            <w:r w:rsidRPr="006D5CCE">
              <w:t>Starting at 8.55%</w:t>
            </w:r>
          </w:p>
        </w:tc>
        <w:tc>
          <w:tcPr>
            <w:tcW w:w="2254" w:type="dxa"/>
          </w:tcPr>
          <w:p w14:paraId="746F0BCD" w14:textId="69D2E954" w:rsidR="00AA45AC" w:rsidRPr="006D5CCE" w:rsidRDefault="0053082D" w:rsidP="00AA45AC">
            <w:pPr>
              <w:spacing w:line="480" w:lineRule="auto"/>
            </w:pPr>
            <w:r w:rsidRPr="006D5CCE">
              <w:t>7.90 – 11.70%</w:t>
            </w:r>
          </w:p>
        </w:tc>
      </w:tr>
      <w:tr w:rsidR="00AA45AC" w14:paraId="5F2B4425" w14:textId="77777777" w:rsidTr="006F40B6">
        <w:tc>
          <w:tcPr>
            <w:tcW w:w="2254" w:type="dxa"/>
            <w:vAlign w:val="center"/>
          </w:tcPr>
          <w:p w14:paraId="0FA7BC0E" w14:textId="0324FA6B" w:rsidR="00AA45AC" w:rsidRDefault="00AA45AC" w:rsidP="00AA45AC">
            <w:pPr>
              <w:spacing w:line="480" w:lineRule="auto"/>
              <w:rPr>
                <w:b/>
                <w:bCs/>
              </w:rPr>
            </w:pPr>
            <w:r>
              <w:rPr>
                <w:b/>
                <w:bCs/>
              </w:rPr>
              <w:t xml:space="preserve">Rate of interest (p.a.) for </w:t>
            </w:r>
            <w:r w:rsidR="00C060C6">
              <w:rPr>
                <w:b/>
                <w:bCs/>
                <w:color w:val="181818"/>
              </w:rPr>
              <w:t>Foreign</w:t>
            </w:r>
            <w:r>
              <w:rPr>
                <w:b/>
                <w:bCs/>
                <w:color w:val="181818"/>
              </w:rPr>
              <w:t xml:space="preserve"> Education</w:t>
            </w:r>
          </w:p>
        </w:tc>
        <w:tc>
          <w:tcPr>
            <w:tcW w:w="2254" w:type="dxa"/>
          </w:tcPr>
          <w:p w14:paraId="30E60BE6" w14:textId="59CBD774" w:rsidR="00AA45AC" w:rsidRPr="006D5CCE" w:rsidRDefault="00AA45AC" w:rsidP="00AA45AC">
            <w:pPr>
              <w:spacing w:line="480" w:lineRule="auto"/>
            </w:pPr>
            <w:r w:rsidRPr="006D5CCE">
              <w:t>9.65-11.15%</w:t>
            </w:r>
          </w:p>
        </w:tc>
        <w:tc>
          <w:tcPr>
            <w:tcW w:w="2254" w:type="dxa"/>
          </w:tcPr>
          <w:p w14:paraId="046353D8" w14:textId="39BDAD9E" w:rsidR="00AA45AC" w:rsidRPr="006D5CCE" w:rsidRDefault="00592E8A" w:rsidP="00AA45AC">
            <w:pPr>
              <w:spacing w:line="480" w:lineRule="auto"/>
            </w:pPr>
            <w:r w:rsidRPr="006D5CCE">
              <w:t>9.15-12.35%</w:t>
            </w:r>
          </w:p>
        </w:tc>
        <w:tc>
          <w:tcPr>
            <w:tcW w:w="2254" w:type="dxa"/>
          </w:tcPr>
          <w:p w14:paraId="71943E69" w14:textId="6C7292C0" w:rsidR="00AA45AC" w:rsidRPr="006D5CCE" w:rsidRDefault="0053082D" w:rsidP="00AA45AC">
            <w:pPr>
              <w:spacing w:line="480" w:lineRule="auto"/>
            </w:pPr>
            <w:r w:rsidRPr="006D5CCE">
              <w:t>Starting at 10.90%</w:t>
            </w:r>
          </w:p>
        </w:tc>
      </w:tr>
      <w:tr w:rsidR="003F0C5B" w14:paraId="3ED6DA86" w14:textId="77777777" w:rsidTr="008F66A7">
        <w:tc>
          <w:tcPr>
            <w:tcW w:w="2254" w:type="dxa"/>
          </w:tcPr>
          <w:p w14:paraId="19E21EFA" w14:textId="54AAE724" w:rsidR="003F0C5B" w:rsidRDefault="003F0C5B" w:rsidP="003F0C5B">
            <w:pPr>
              <w:spacing w:line="480" w:lineRule="auto"/>
              <w:rPr>
                <w:b/>
                <w:bCs/>
              </w:rPr>
            </w:pPr>
            <w:r w:rsidRPr="008329A1">
              <w:rPr>
                <w:b/>
                <w:bCs/>
                <w:color w:val="181818"/>
              </w:rPr>
              <w:t>Loan amount</w:t>
            </w:r>
          </w:p>
        </w:tc>
        <w:tc>
          <w:tcPr>
            <w:tcW w:w="2254" w:type="dxa"/>
          </w:tcPr>
          <w:p w14:paraId="12CB2701" w14:textId="7550B0EE" w:rsidR="003F0C5B" w:rsidRPr="00F52F05" w:rsidRDefault="003F0C5B" w:rsidP="003F0C5B">
            <w:pPr>
              <w:spacing w:line="480" w:lineRule="auto"/>
            </w:pPr>
            <w:r w:rsidRPr="00F52F05">
              <w:t>Upto Rs. 10L (Domestic), Rs. 1.5 Cr. (Study Abroad)</w:t>
            </w:r>
          </w:p>
        </w:tc>
        <w:tc>
          <w:tcPr>
            <w:tcW w:w="2254" w:type="dxa"/>
          </w:tcPr>
          <w:p w14:paraId="16A3FE19" w14:textId="7D865C6B" w:rsidR="003F0C5B" w:rsidRPr="00F52F05" w:rsidRDefault="003F0C5B" w:rsidP="003F0C5B">
            <w:pPr>
              <w:spacing w:line="480" w:lineRule="auto"/>
            </w:pPr>
            <w:r w:rsidRPr="00F52F05">
              <w:t>Upto Rs. 10L (Domestic), Rs. 20L (Study Abroad)</w:t>
            </w:r>
          </w:p>
        </w:tc>
        <w:tc>
          <w:tcPr>
            <w:tcW w:w="2254" w:type="dxa"/>
          </w:tcPr>
          <w:p w14:paraId="2C57C96B" w14:textId="4DDD9885" w:rsidR="003F0C5B" w:rsidRPr="00F52F05" w:rsidRDefault="003F0C5B" w:rsidP="003F0C5B">
            <w:pPr>
              <w:spacing w:line="480" w:lineRule="auto"/>
            </w:pPr>
            <w:r w:rsidRPr="00F52F05">
              <w:t xml:space="preserve">Upto Rs. 20L (Premier Domestic Institutes), Rs. 10L (Non-Premier Standard), Rs. 1.5 Cr. (Study Abroad) </w:t>
            </w:r>
          </w:p>
        </w:tc>
      </w:tr>
    </w:tbl>
    <w:p w14:paraId="66E4763C" w14:textId="77777777" w:rsidR="008F66A7" w:rsidRDefault="008F66A7" w:rsidP="00901A25">
      <w:pPr>
        <w:spacing w:line="480" w:lineRule="auto"/>
        <w:rPr>
          <w:b/>
          <w:bCs/>
        </w:rPr>
      </w:pPr>
    </w:p>
    <w:p w14:paraId="40BB439B" w14:textId="27B23DF3" w:rsidR="00130F44" w:rsidRPr="00130F44" w:rsidRDefault="00C060C6" w:rsidP="00130F44">
      <w:pPr>
        <w:spacing w:line="480" w:lineRule="auto"/>
        <w:jc w:val="center"/>
      </w:pPr>
      <w:r w:rsidRPr="00130F44">
        <w:t xml:space="preserve">Table </w:t>
      </w:r>
      <w:r w:rsidR="00130F44" w:rsidRPr="00130F44">
        <w:t xml:space="preserve">6 </w:t>
      </w:r>
      <w:r w:rsidRPr="00130F44">
        <w:t>Affordability information on PSBs under IBA for Education</w:t>
      </w:r>
      <w:r w:rsidR="00130F44" w:rsidRPr="00130F44">
        <w:t xml:space="preserve"> (Note - All PSBs are capped at 7.5L without Collateral)</w:t>
      </w:r>
    </w:p>
    <w:p w14:paraId="1160B554" w14:textId="6B1D64A0" w:rsidR="00C060C6" w:rsidRDefault="00C060C6" w:rsidP="00901A25">
      <w:pPr>
        <w:spacing w:line="480" w:lineRule="auto"/>
        <w:rPr>
          <w:b/>
          <w:bCs/>
        </w:rPr>
      </w:pPr>
    </w:p>
    <w:p w14:paraId="4A573D7B" w14:textId="77777777" w:rsidR="00C060C6" w:rsidRDefault="00C060C6" w:rsidP="00901A25">
      <w:pPr>
        <w:spacing w:line="480" w:lineRule="auto"/>
        <w:rPr>
          <w:b/>
          <w:bCs/>
        </w:rPr>
      </w:pPr>
    </w:p>
    <w:p w14:paraId="737C7329" w14:textId="77777777" w:rsidR="00713768" w:rsidRDefault="00713768">
      <w:pPr>
        <w:rPr>
          <w:b/>
          <w:bCs/>
        </w:rPr>
      </w:pPr>
      <w:r>
        <w:rPr>
          <w:b/>
          <w:bCs/>
        </w:rPr>
        <w:br w:type="page"/>
      </w:r>
    </w:p>
    <w:p w14:paraId="3780E692" w14:textId="77777777" w:rsidR="008A62CB" w:rsidRDefault="008A62CB" w:rsidP="00901A25">
      <w:pPr>
        <w:spacing w:line="480" w:lineRule="auto"/>
        <w:rPr>
          <w:b/>
          <w:bCs/>
        </w:rPr>
      </w:pPr>
    </w:p>
    <w:p w14:paraId="0EFD66E5" w14:textId="4DC705D1" w:rsidR="0020750B" w:rsidRDefault="0020750B">
      <w:pPr>
        <w:rPr>
          <w:b/>
          <w:bCs/>
        </w:rPr>
      </w:pPr>
    </w:p>
    <w:p w14:paraId="61876154" w14:textId="77777777" w:rsidR="0020750B" w:rsidRDefault="0020750B">
      <w:pPr>
        <w:rPr>
          <w:b/>
          <w:bCs/>
        </w:rPr>
      </w:pPr>
    </w:p>
    <w:tbl>
      <w:tblPr>
        <w:tblStyle w:val="TableGrid"/>
        <w:tblW w:w="0" w:type="auto"/>
        <w:tblLook w:val="04A0" w:firstRow="1" w:lastRow="0" w:firstColumn="1" w:lastColumn="0" w:noHBand="0" w:noVBand="1"/>
      </w:tblPr>
      <w:tblGrid>
        <w:gridCol w:w="2254"/>
        <w:gridCol w:w="2254"/>
        <w:gridCol w:w="2254"/>
        <w:gridCol w:w="2254"/>
      </w:tblGrid>
      <w:tr w:rsidR="0020750B" w14:paraId="20860D4B" w14:textId="77777777" w:rsidTr="002F74C9">
        <w:tc>
          <w:tcPr>
            <w:tcW w:w="2254" w:type="dxa"/>
          </w:tcPr>
          <w:p w14:paraId="21ADAB2F" w14:textId="77777777" w:rsidR="0020750B" w:rsidRDefault="0020750B" w:rsidP="002F74C9">
            <w:pPr>
              <w:spacing w:line="480" w:lineRule="auto"/>
              <w:rPr>
                <w:b/>
                <w:bCs/>
              </w:rPr>
            </w:pPr>
          </w:p>
        </w:tc>
        <w:tc>
          <w:tcPr>
            <w:tcW w:w="2254" w:type="dxa"/>
          </w:tcPr>
          <w:p w14:paraId="1E8CF17C" w14:textId="567267B4" w:rsidR="0020750B" w:rsidRDefault="0020750B" w:rsidP="002F74C9">
            <w:pPr>
              <w:spacing w:line="480" w:lineRule="auto"/>
              <w:rPr>
                <w:b/>
                <w:bCs/>
              </w:rPr>
            </w:pPr>
            <w:r>
              <w:rPr>
                <w:b/>
                <w:bCs/>
              </w:rPr>
              <w:t>ICICI Bank</w:t>
            </w:r>
          </w:p>
        </w:tc>
        <w:tc>
          <w:tcPr>
            <w:tcW w:w="2254" w:type="dxa"/>
          </w:tcPr>
          <w:p w14:paraId="2018D97F" w14:textId="78F8267A" w:rsidR="0020750B" w:rsidRDefault="0020750B" w:rsidP="002F74C9">
            <w:pPr>
              <w:spacing w:line="480" w:lineRule="auto"/>
              <w:rPr>
                <w:b/>
                <w:bCs/>
              </w:rPr>
            </w:pPr>
            <w:r>
              <w:rPr>
                <w:b/>
                <w:bCs/>
              </w:rPr>
              <w:t>Axis Bank</w:t>
            </w:r>
          </w:p>
        </w:tc>
        <w:tc>
          <w:tcPr>
            <w:tcW w:w="2254" w:type="dxa"/>
          </w:tcPr>
          <w:p w14:paraId="745CA07F" w14:textId="55D337B2" w:rsidR="0020750B" w:rsidRDefault="0020750B" w:rsidP="002F74C9">
            <w:pPr>
              <w:spacing w:line="480" w:lineRule="auto"/>
              <w:rPr>
                <w:b/>
                <w:bCs/>
              </w:rPr>
            </w:pPr>
            <w:r>
              <w:rPr>
                <w:b/>
                <w:bCs/>
              </w:rPr>
              <w:t>HDFC bank</w:t>
            </w:r>
          </w:p>
        </w:tc>
      </w:tr>
      <w:tr w:rsidR="0020750B" w14:paraId="691CD852" w14:textId="77777777" w:rsidTr="002F74C9">
        <w:tc>
          <w:tcPr>
            <w:tcW w:w="2254" w:type="dxa"/>
          </w:tcPr>
          <w:p w14:paraId="51B8B1F7" w14:textId="5A049048" w:rsidR="0020750B" w:rsidRDefault="006A1140" w:rsidP="002F74C9">
            <w:pPr>
              <w:spacing w:line="480" w:lineRule="auto"/>
              <w:rPr>
                <w:b/>
                <w:bCs/>
              </w:rPr>
            </w:pPr>
            <w:r>
              <w:rPr>
                <w:b/>
                <w:bCs/>
              </w:rPr>
              <w:t>Rate of Interest</w:t>
            </w:r>
          </w:p>
        </w:tc>
        <w:tc>
          <w:tcPr>
            <w:tcW w:w="2254" w:type="dxa"/>
          </w:tcPr>
          <w:p w14:paraId="359021A7" w14:textId="64BAABFD" w:rsidR="0020750B" w:rsidRPr="00D74853" w:rsidRDefault="00C824E6" w:rsidP="002F74C9">
            <w:pPr>
              <w:spacing w:line="480" w:lineRule="auto"/>
            </w:pPr>
            <w:r w:rsidRPr="00D74853">
              <w:t>10.85 – 12%</w:t>
            </w:r>
          </w:p>
        </w:tc>
        <w:tc>
          <w:tcPr>
            <w:tcW w:w="2254" w:type="dxa"/>
          </w:tcPr>
          <w:p w14:paraId="7567E419" w14:textId="01F5D516" w:rsidR="0020750B" w:rsidRPr="00D74853" w:rsidRDefault="00C94DC1" w:rsidP="002F74C9">
            <w:pPr>
              <w:spacing w:line="480" w:lineRule="auto"/>
            </w:pPr>
            <w:r w:rsidRPr="00D74853">
              <w:t>13.</w:t>
            </w:r>
            <w:r w:rsidR="008367CF" w:rsidRPr="00D74853">
              <w:t>7</w:t>
            </w:r>
            <w:r w:rsidRPr="00D74853">
              <w:t>-15.2%</w:t>
            </w:r>
          </w:p>
        </w:tc>
        <w:tc>
          <w:tcPr>
            <w:tcW w:w="2254" w:type="dxa"/>
          </w:tcPr>
          <w:p w14:paraId="2DA68A85" w14:textId="690ECB8B" w:rsidR="0020750B" w:rsidRPr="00D74853" w:rsidRDefault="006A1140" w:rsidP="002F74C9">
            <w:pPr>
              <w:spacing w:line="480" w:lineRule="auto"/>
            </w:pPr>
            <w:r w:rsidRPr="00D74853">
              <w:t>Starting at 10.50%</w:t>
            </w:r>
          </w:p>
        </w:tc>
      </w:tr>
      <w:tr w:rsidR="0020750B" w14:paraId="6933E84D" w14:textId="77777777" w:rsidTr="002F74C9">
        <w:tc>
          <w:tcPr>
            <w:tcW w:w="2254" w:type="dxa"/>
          </w:tcPr>
          <w:p w14:paraId="12A3B0FC" w14:textId="430162B9" w:rsidR="0020750B" w:rsidRPr="00CC009C" w:rsidRDefault="003F013A" w:rsidP="002F74C9">
            <w:pPr>
              <w:spacing w:line="480" w:lineRule="auto"/>
              <w:rPr>
                <w:b/>
                <w:bCs/>
              </w:rPr>
            </w:pPr>
            <w:r w:rsidRPr="00CC009C">
              <w:rPr>
                <w:b/>
                <w:bCs/>
              </w:rPr>
              <w:t>Loan Amount</w:t>
            </w:r>
            <w:r w:rsidR="008A62CB" w:rsidRPr="00CC009C">
              <w:rPr>
                <w:b/>
                <w:bCs/>
              </w:rPr>
              <w:t xml:space="preserve"> (Without Collateral) </w:t>
            </w:r>
          </w:p>
        </w:tc>
        <w:tc>
          <w:tcPr>
            <w:tcW w:w="2254" w:type="dxa"/>
          </w:tcPr>
          <w:p w14:paraId="2CC97C4E" w14:textId="3C2A76AF" w:rsidR="0020750B" w:rsidRPr="00CC009C" w:rsidRDefault="008A62CB" w:rsidP="002F74C9">
            <w:pPr>
              <w:spacing w:line="480" w:lineRule="auto"/>
            </w:pPr>
            <w:r w:rsidRPr="00CC009C">
              <w:t>Upto Rs. 50L</w:t>
            </w:r>
            <w:r w:rsidR="00713768" w:rsidRPr="00CC009C">
              <w:t xml:space="preserve"> depending on university, academic profile and co-signer</w:t>
            </w:r>
          </w:p>
        </w:tc>
        <w:tc>
          <w:tcPr>
            <w:tcW w:w="2254" w:type="dxa"/>
          </w:tcPr>
          <w:p w14:paraId="77E272B9" w14:textId="41DB1A8C" w:rsidR="0020750B" w:rsidRPr="00CC009C" w:rsidRDefault="008A62CB" w:rsidP="002F74C9">
            <w:pPr>
              <w:spacing w:line="480" w:lineRule="auto"/>
            </w:pPr>
            <w:r w:rsidRPr="00CC009C">
              <w:t>Upto Rs. 40L</w:t>
            </w:r>
            <w:r w:rsidR="00713768" w:rsidRPr="00CC009C">
              <w:t xml:space="preserve"> depending on university, academic profile and co-signer</w:t>
            </w:r>
          </w:p>
          <w:p w14:paraId="48B27E1F" w14:textId="69FF304F" w:rsidR="00713768" w:rsidRPr="00CC009C" w:rsidRDefault="00713768" w:rsidP="002F74C9">
            <w:pPr>
              <w:spacing w:line="480" w:lineRule="auto"/>
            </w:pPr>
          </w:p>
        </w:tc>
        <w:tc>
          <w:tcPr>
            <w:tcW w:w="2254" w:type="dxa"/>
          </w:tcPr>
          <w:p w14:paraId="029D578A" w14:textId="6225A8C0" w:rsidR="0020750B" w:rsidRPr="00CC009C" w:rsidRDefault="008A62CB" w:rsidP="002F74C9">
            <w:pPr>
              <w:spacing w:line="480" w:lineRule="auto"/>
            </w:pPr>
            <w:r w:rsidRPr="00CC009C">
              <w:t>Upto Rs. 45L</w:t>
            </w:r>
            <w:r w:rsidR="00713768" w:rsidRPr="00CC009C">
              <w:t xml:space="preserve"> depending on university, academic profile and co-signer</w:t>
            </w:r>
          </w:p>
        </w:tc>
      </w:tr>
      <w:tr w:rsidR="0020750B" w14:paraId="0E4ABC09" w14:textId="77777777" w:rsidTr="002F74C9">
        <w:tc>
          <w:tcPr>
            <w:tcW w:w="2254" w:type="dxa"/>
          </w:tcPr>
          <w:p w14:paraId="0763C166" w14:textId="75CB8C8B" w:rsidR="0020750B" w:rsidRDefault="00D74853" w:rsidP="002F74C9">
            <w:pPr>
              <w:spacing w:line="480" w:lineRule="auto"/>
              <w:rPr>
                <w:b/>
                <w:bCs/>
              </w:rPr>
            </w:pPr>
            <w:r w:rsidRPr="00CC009C">
              <w:rPr>
                <w:b/>
                <w:bCs/>
              </w:rPr>
              <w:t>Loan Amount (</w:t>
            </w:r>
            <w:r>
              <w:rPr>
                <w:b/>
                <w:bCs/>
              </w:rPr>
              <w:t>With</w:t>
            </w:r>
            <w:r w:rsidRPr="00CC009C">
              <w:rPr>
                <w:b/>
                <w:bCs/>
              </w:rPr>
              <w:t xml:space="preserve"> Collateral)</w:t>
            </w:r>
          </w:p>
        </w:tc>
        <w:tc>
          <w:tcPr>
            <w:tcW w:w="2254" w:type="dxa"/>
          </w:tcPr>
          <w:p w14:paraId="18FF0DFF" w14:textId="05101002" w:rsidR="0020750B" w:rsidRDefault="00E479FA" w:rsidP="002F74C9">
            <w:pPr>
              <w:spacing w:line="480" w:lineRule="auto"/>
              <w:rPr>
                <w:b/>
                <w:bCs/>
              </w:rPr>
            </w:pPr>
            <w:r w:rsidRPr="00CC009C">
              <w:t xml:space="preserve">Upto Rs. </w:t>
            </w:r>
            <w:r>
              <w:t>1 Cr.</w:t>
            </w:r>
          </w:p>
        </w:tc>
        <w:tc>
          <w:tcPr>
            <w:tcW w:w="2254" w:type="dxa"/>
          </w:tcPr>
          <w:p w14:paraId="0BC89BFF" w14:textId="7CF4F095" w:rsidR="0020750B" w:rsidRDefault="00AB6C54" w:rsidP="002F74C9">
            <w:pPr>
              <w:spacing w:line="480" w:lineRule="auto"/>
              <w:rPr>
                <w:b/>
                <w:bCs/>
              </w:rPr>
            </w:pPr>
            <w:r w:rsidRPr="00CC009C">
              <w:t xml:space="preserve">Upto Rs. </w:t>
            </w:r>
            <w:r>
              <w:t>1 Cr.</w:t>
            </w:r>
          </w:p>
        </w:tc>
        <w:tc>
          <w:tcPr>
            <w:tcW w:w="2254" w:type="dxa"/>
          </w:tcPr>
          <w:p w14:paraId="2A154D7F" w14:textId="6F05E964" w:rsidR="0020750B" w:rsidRDefault="00AB6C54" w:rsidP="002F74C9">
            <w:pPr>
              <w:spacing w:line="480" w:lineRule="auto"/>
              <w:rPr>
                <w:b/>
                <w:bCs/>
              </w:rPr>
            </w:pPr>
            <w:r w:rsidRPr="00CC009C">
              <w:t xml:space="preserve">Upto Rs. </w:t>
            </w:r>
            <w:r>
              <w:t>3 Cr.</w:t>
            </w:r>
          </w:p>
        </w:tc>
      </w:tr>
    </w:tbl>
    <w:p w14:paraId="262ED35B" w14:textId="77777777" w:rsidR="00904730" w:rsidRDefault="00904730">
      <w:pPr>
        <w:rPr>
          <w:b/>
          <w:bCs/>
        </w:rPr>
      </w:pPr>
    </w:p>
    <w:p w14:paraId="2D219A01" w14:textId="3CFF97BC" w:rsidR="00FE5283" w:rsidRPr="00523A79" w:rsidRDefault="00FE5283" w:rsidP="00B957A4">
      <w:pPr>
        <w:spacing w:line="480" w:lineRule="auto"/>
        <w:jc w:val="center"/>
      </w:pPr>
      <w:r w:rsidRPr="00523A79">
        <w:t xml:space="preserve">Table </w:t>
      </w:r>
      <w:r w:rsidR="00523A79" w:rsidRPr="00523A79">
        <w:t xml:space="preserve">7 </w:t>
      </w:r>
      <w:r w:rsidRPr="00523A79">
        <w:t>Affordability information on Private Sector Banks under IBA for Education</w:t>
      </w:r>
    </w:p>
    <w:p w14:paraId="003DADF0" w14:textId="77777777" w:rsidR="00FE5283" w:rsidRDefault="00FE5283" w:rsidP="00523A79">
      <w:pPr>
        <w:spacing w:line="480" w:lineRule="auto"/>
        <w:rPr>
          <w:b/>
          <w:bCs/>
        </w:rPr>
      </w:pPr>
    </w:p>
    <w:p w14:paraId="171BCE08" w14:textId="1560CECF" w:rsidR="00884657" w:rsidRDefault="00884657" w:rsidP="00523A79">
      <w:pPr>
        <w:spacing w:line="480" w:lineRule="auto"/>
      </w:pPr>
      <w:r>
        <w:t xml:space="preserve">When collateral is required, it is usually in the form of Non-Agricultural Land, Fixed Deposits (FD), Apartment, House, Mutual Fund, Life Insurance, Shares. The value of collateral required is decided on the basis of amount of loan, financial profile, academic background and institution ranking and prestige.  </w:t>
      </w:r>
    </w:p>
    <w:p w14:paraId="6C44DF70" w14:textId="77777777" w:rsidR="00884657" w:rsidRDefault="00884657" w:rsidP="00523A79">
      <w:pPr>
        <w:spacing w:line="480" w:lineRule="auto"/>
        <w:rPr>
          <w:b/>
          <w:bCs/>
        </w:rPr>
      </w:pPr>
    </w:p>
    <w:p w14:paraId="7E8B6CB9" w14:textId="40709BE3" w:rsidR="00523A79" w:rsidRPr="00884657" w:rsidRDefault="00884657" w:rsidP="00523A79">
      <w:pPr>
        <w:spacing w:line="480" w:lineRule="auto"/>
        <w:rPr>
          <w:b/>
          <w:bCs/>
        </w:rPr>
      </w:pPr>
      <w:r>
        <w:rPr>
          <w:b/>
          <w:bCs/>
        </w:rPr>
        <w:t>Summary of Government Schemes (CGFSEL and CSIS)</w:t>
      </w:r>
    </w:p>
    <w:p w14:paraId="6E473A50" w14:textId="166B0313" w:rsidR="00AB324A" w:rsidRPr="00907775" w:rsidRDefault="00884657" w:rsidP="00CC3965">
      <w:pPr>
        <w:spacing w:line="480" w:lineRule="auto"/>
      </w:pPr>
      <w:r w:rsidRPr="00884657">
        <w:t xml:space="preserve">Credit Guarantee Fund Scheme for Education Loans </w:t>
      </w:r>
      <w:r>
        <w:t xml:space="preserve">(CGFSEL) </w:t>
      </w:r>
      <w:r w:rsidR="00523A79" w:rsidRPr="00523A79">
        <w:t>provides a 75% guarantee on loans up to</w:t>
      </w:r>
      <w:r w:rsidR="00904730" w:rsidRPr="00523A79">
        <w:t xml:space="preserve"> 7.5L </w:t>
      </w:r>
      <w:r w:rsidR="00DD0E10" w:rsidRPr="00523A79">
        <w:t xml:space="preserve">amounts </w:t>
      </w:r>
      <w:r w:rsidR="00523A79" w:rsidRPr="00523A79">
        <w:t xml:space="preserve">by the Government of India, </w:t>
      </w:r>
      <w:r w:rsidR="00904730" w:rsidRPr="00523A79">
        <w:t>without collateral</w:t>
      </w:r>
      <w:r w:rsidR="00523A79" w:rsidRPr="00523A79">
        <w:t>,</w:t>
      </w:r>
      <w:r w:rsidR="00904730" w:rsidRPr="00523A79">
        <w:t xml:space="preserve"> and </w:t>
      </w:r>
      <w:r w:rsidRPr="00884657">
        <w:t xml:space="preserve">Central Sector Interest Subsidy (CSIS) </w:t>
      </w:r>
      <w:r>
        <w:t xml:space="preserve">scheme </w:t>
      </w:r>
      <w:r w:rsidR="00523A79" w:rsidRPr="00523A79">
        <w:t>guarantees full interest subvention during study period for students with family income</w:t>
      </w:r>
      <w:r w:rsidR="00904730" w:rsidRPr="00523A79">
        <w:t xml:space="preserve"> below 4.5 L </w:t>
      </w:r>
      <w:r w:rsidR="00523A79" w:rsidRPr="00523A79">
        <w:t xml:space="preserve">income </w:t>
      </w:r>
      <w:r w:rsidR="00904730" w:rsidRPr="00523A79">
        <w:t>per year</w:t>
      </w:r>
      <w:r w:rsidR="00523A79" w:rsidRPr="00523A79">
        <w:t>.</w:t>
      </w:r>
      <w:r w:rsidR="00DC4345" w:rsidRPr="00DC4345">
        <w:t xml:space="preserve"> </w:t>
      </w:r>
    </w:p>
    <w:p w14:paraId="1DE44CF5" w14:textId="77777777" w:rsidR="00CC3965" w:rsidRDefault="00CC3965" w:rsidP="00CC3965">
      <w:pPr>
        <w:spacing w:line="480" w:lineRule="auto"/>
      </w:pPr>
    </w:p>
    <w:tbl>
      <w:tblPr>
        <w:tblStyle w:val="TableGrid"/>
        <w:tblW w:w="0" w:type="auto"/>
        <w:tblLook w:val="04A0" w:firstRow="1" w:lastRow="0" w:firstColumn="1" w:lastColumn="0" w:noHBand="0" w:noVBand="1"/>
      </w:tblPr>
      <w:tblGrid>
        <w:gridCol w:w="1413"/>
        <w:gridCol w:w="1671"/>
        <w:gridCol w:w="1397"/>
        <w:gridCol w:w="1312"/>
        <w:gridCol w:w="1627"/>
        <w:gridCol w:w="1596"/>
      </w:tblGrid>
      <w:tr w:rsidR="00505413" w14:paraId="0706BFF3" w14:textId="5256B5D5" w:rsidTr="00505413">
        <w:tc>
          <w:tcPr>
            <w:tcW w:w="1413" w:type="dxa"/>
            <w:vAlign w:val="center"/>
          </w:tcPr>
          <w:p w14:paraId="6767E57A" w14:textId="7C7BBCB0" w:rsidR="00505413" w:rsidRDefault="00505413" w:rsidP="000E28A5">
            <w:pPr>
              <w:spacing w:line="480" w:lineRule="auto"/>
              <w:jc w:val="center"/>
              <w:rPr>
                <w:b/>
                <w:bCs/>
              </w:rPr>
            </w:pPr>
            <w:r>
              <w:rPr>
                <w:b/>
                <w:bCs/>
              </w:rPr>
              <w:lastRenderedPageBreak/>
              <w:t>Student Type</w:t>
            </w:r>
          </w:p>
        </w:tc>
        <w:tc>
          <w:tcPr>
            <w:tcW w:w="1671" w:type="dxa"/>
            <w:vAlign w:val="center"/>
          </w:tcPr>
          <w:p w14:paraId="17DB5C27" w14:textId="3202B715" w:rsidR="00505413" w:rsidRDefault="00505413" w:rsidP="000E28A5">
            <w:pPr>
              <w:spacing w:line="480" w:lineRule="auto"/>
              <w:jc w:val="center"/>
              <w:rPr>
                <w:b/>
                <w:bCs/>
              </w:rPr>
            </w:pPr>
            <w:r>
              <w:rPr>
                <w:b/>
                <w:bCs/>
              </w:rPr>
              <w:t>Interest Support</w:t>
            </w:r>
          </w:p>
        </w:tc>
        <w:tc>
          <w:tcPr>
            <w:tcW w:w="1397" w:type="dxa"/>
          </w:tcPr>
          <w:p w14:paraId="52AD0A3D" w14:textId="5D88BF4D" w:rsidR="00505413" w:rsidRDefault="00505413" w:rsidP="000E28A5">
            <w:pPr>
              <w:spacing w:line="480" w:lineRule="auto"/>
              <w:jc w:val="center"/>
              <w:rPr>
                <w:b/>
                <w:bCs/>
              </w:rPr>
            </w:pPr>
            <w:r>
              <w:rPr>
                <w:b/>
                <w:bCs/>
              </w:rPr>
              <w:t>Repayment Principal</w:t>
            </w:r>
          </w:p>
        </w:tc>
        <w:tc>
          <w:tcPr>
            <w:tcW w:w="1312" w:type="dxa"/>
          </w:tcPr>
          <w:p w14:paraId="08277E2B" w14:textId="3712434F" w:rsidR="00505413" w:rsidRDefault="00505413" w:rsidP="000E28A5">
            <w:pPr>
              <w:spacing w:line="480" w:lineRule="auto"/>
              <w:jc w:val="center"/>
              <w:rPr>
                <w:b/>
                <w:bCs/>
              </w:rPr>
            </w:pPr>
            <w:r>
              <w:rPr>
                <w:b/>
                <w:bCs/>
              </w:rPr>
              <w:t>Interest Rate</w:t>
            </w:r>
          </w:p>
        </w:tc>
        <w:tc>
          <w:tcPr>
            <w:tcW w:w="1627" w:type="dxa"/>
            <w:vAlign w:val="center"/>
          </w:tcPr>
          <w:p w14:paraId="556B0E0C" w14:textId="472C4387" w:rsidR="00505413" w:rsidRDefault="00505413" w:rsidP="000E28A5">
            <w:pPr>
              <w:spacing w:line="480" w:lineRule="auto"/>
              <w:jc w:val="center"/>
              <w:rPr>
                <w:b/>
                <w:bCs/>
              </w:rPr>
            </w:pPr>
            <w:r>
              <w:rPr>
                <w:b/>
                <w:bCs/>
              </w:rPr>
              <w:t>EMI (₹/month)</w:t>
            </w:r>
          </w:p>
        </w:tc>
        <w:tc>
          <w:tcPr>
            <w:tcW w:w="1596" w:type="dxa"/>
          </w:tcPr>
          <w:p w14:paraId="638A7DE6" w14:textId="55A525B1" w:rsidR="00505413" w:rsidRDefault="00505413" w:rsidP="000E28A5">
            <w:pPr>
              <w:spacing w:line="480" w:lineRule="auto"/>
              <w:jc w:val="center"/>
              <w:rPr>
                <w:b/>
                <w:bCs/>
              </w:rPr>
            </w:pPr>
            <w:r>
              <w:rPr>
                <w:b/>
                <w:bCs/>
              </w:rPr>
              <w:t>Total Repayment</w:t>
            </w:r>
          </w:p>
        </w:tc>
      </w:tr>
      <w:tr w:rsidR="00505413" w14:paraId="45D689C9" w14:textId="530CD25F" w:rsidTr="00505413">
        <w:tc>
          <w:tcPr>
            <w:tcW w:w="1413" w:type="dxa"/>
            <w:vAlign w:val="center"/>
          </w:tcPr>
          <w:p w14:paraId="28FE7BBC" w14:textId="1A0B8D0D" w:rsidR="00505413" w:rsidRDefault="00505413" w:rsidP="000E28A5">
            <w:pPr>
              <w:spacing w:line="480" w:lineRule="auto"/>
              <w:jc w:val="center"/>
              <w:rPr>
                <w:b/>
                <w:bCs/>
              </w:rPr>
            </w:pPr>
            <w:r>
              <w:rPr>
                <w:rStyle w:val="Strong"/>
                <w:rFonts w:eastAsiaTheme="majorEastAsia"/>
              </w:rPr>
              <w:t>Low-income (≤ ₹4.5L)</w:t>
            </w:r>
          </w:p>
        </w:tc>
        <w:tc>
          <w:tcPr>
            <w:tcW w:w="1671" w:type="dxa"/>
            <w:vAlign w:val="center"/>
          </w:tcPr>
          <w:p w14:paraId="11C47D61" w14:textId="77777777" w:rsidR="00505413" w:rsidRDefault="00505413" w:rsidP="000E28A5">
            <w:pPr>
              <w:spacing w:line="480" w:lineRule="auto"/>
              <w:jc w:val="center"/>
            </w:pPr>
            <w:r>
              <w:t>CSIS + 3% subvention</w:t>
            </w:r>
          </w:p>
          <w:p w14:paraId="45DDA673" w14:textId="34326BA7" w:rsidR="00505413" w:rsidRDefault="00505413" w:rsidP="000E28A5">
            <w:pPr>
              <w:spacing w:line="480" w:lineRule="auto"/>
              <w:jc w:val="center"/>
              <w:rPr>
                <w:b/>
                <w:bCs/>
              </w:rPr>
            </w:pPr>
          </w:p>
        </w:tc>
        <w:tc>
          <w:tcPr>
            <w:tcW w:w="1397" w:type="dxa"/>
          </w:tcPr>
          <w:p w14:paraId="558FB696" w14:textId="04584E37" w:rsidR="00505413" w:rsidRDefault="00505413" w:rsidP="000E28A5">
            <w:pPr>
              <w:spacing w:line="480" w:lineRule="auto"/>
              <w:jc w:val="center"/>
            </w:pPr>
            <w:r>
              <w:t>Rs. 10L</w:t>
            </w:r>
          </w:p>
        </w:tc>
        <w:tc>
          <w:tcPr>
            <w:tcW w:w="1312" w:type="dxa"/>
          </w:tcPr>
          <w:p w14:paraId="5A2908A4" w14:textId="536E9D27" w:rsidR="00505413" w:rsidRDefault="00505413" w:rsidP="000E28A5">
            <w:pPr>
              <w:spacing w:line="480" w:lineRule="auto"/>
              <w:jc w:val="center"/>
            </w:pPr>
            <w:r>
              <w:t>7% for 5 years</w:t>
            </w:r>
          </w:p>
        </w:tc>
        <w:tc>
          <w:tcPr>
            <w:tcW w:w="1627" w:type="dxa"/>
            <w:vAlign w:val="center"/>
          </w:tcPr>
          <w:p w14:paraId="63476ABC" w14:textId="6E1FEF37" w:rsidR="00505413" w:rsidRDefault="00505413" w:rsidP="000E28A5">
            <w:pPr>
              <w:spacing w:line="480" w:lineRule="auto"/>
              <w:jc w:val="center"/>
              <w:rPr>
                <w:b/>
                <w:bCs/>
              </w:rPr>
            </w:pPr>
            <w:r>
              <w:t>₹19,801.20</w:t>
            </w:r>
          </w:p>
        </w:tc>
        <w:tc>
          <w:tcPr>
            <w:tcW w:w="1596" w:type="dxa"/>
            <w:vAlign w:val="center"/>
          </w:tcPr>
          <w:p w14:paraId="2DEF5CFB" w14:textId="5053D6FA" w:rsidR="00505413" w:rsidRPr="00505413" w:rsidRDefault="00505413" w:rsidP="000E28A5">
            <w:pPr>
              <w:spacing w:line="480" w:lineRule="auto"/>
              <w:jc w:val="center"/>
              <w:rPr>
                <w:b/>
                <w:bCs/>
                <w:u w:val="single"/>
              </w:rPr>
            </w:pPr>
            <w:r w:rsidRPr="00505413">
              <w:rPr>
                <w:b/>
                <w:bCs/>
                <w:u w:val="single"/>
              </w:rPr>
              <w:t>₹11,88,072.00</w:t>
            </w:r>
          </w:p>
        </w:tc>
      </w:tr>
      <w:tr w:rsidR="00505413" w14:paraId="64F20A63" w14:textId="52CED430" w:rsidTr="00505413">
        <w:tc>
          <w:tcPr>
            <w:tcW w:w="1413" w:type="dxa"/>
            <w:vAlign w:val="center"/>
          </w:tcPr>
          <w:p w14:paraId="5270B58A" w14:textId="15AAC20C" w:rsidR="00505413" w:rsidRDefault="00505413" w:rsidP="000E28A5">
            <w:pPr>
              <w:spacing w:line="480" w:lineRule="auto"/>
              <w:jc w:val="center"/>
              <w:rPr>
                <w:b/>
                <w:bCs/>
              </w:rPr>
            </w:pPr>
            <w:r>
              <w:rPr>
                <w:rStyle w:val="Strong"/>
                <w:rFonts w:eastAsiaTheme="majorEastAsia"/>
              </w:rPr>
              <w:t>Middle-income (₹4.5L–₹8L)</w:t>
            </w:r>
          </w:p>
        </w:tc>
        <w:tc>
          <w:tcPr>
            <w:tcW w:w="1671" w:type="dxa"/>
            <w:vAlign w:val="center"/>
          </w:tcPr>
          <w:p w14:paraId="48F160F3" w14:textId="06BDA367" w:rsidR="00505413" w:rsidRDefault="00505413" w:rsidP="000E28A5">
            <w:pPr>
              <w:spacing w:line="480" w:lineRule="auto"/>
              <w:jc w:val="center"/>
              <w:rPr>
                <w:b/>
                <w:bCs/>
              </w:rPr>
            </w:pPr>
            <w:r>
              <w:t>3% subvention, interest capitalized during moratorium</w:t>
            </w:r>
          </w:p>
        </w:tc>
        <w:tc>
          <w:tcPr>
            <w:tcW w:w="1397" w:type="dxa"/>
          </w:tcPr>
          <w:p w14:paraId="470273E5" w14:textId="60B74D19" w:rsidR="00505413" w:rsidRDefault="00505413" w:rsidP="000E28A5">
            <w:pPr>
              <w:spacing w:line="480" w:lineRule="auto"/>
              <w:jc w:val="center"/>
            </w:pPr>
            <w:r>
              <w:t>Rs. 11.4L</w:t>
            </w:r>
          </w:p>
        </w:tc>
        <w:tc>
          <w:tcPr>
            <w:tcW w:w="1312" w:type="dxa"/>
          </w:tcPr>
          <w:p w14:paraId="137B761D" w14:textId="055C7508" w:rsidR="00505413" w:rsidRDefault="00505413" w:rsidP="000E28A5">
            <w:pPr>
              <w:spacing w:line="480" w:lineRule="auto"/>
              <w:jc w:val="center"/>
            </w:pPr>
            <w:r>
              <w:t>7% for 5 years</w:t>
            </w:r>
          </w:p>
        </w:tc>
        <w:tc>
          <w:tcPr>
            <w:tcW w:w="1627" w:type="dxa"/>
            <w:vAlign w:val="center"/>
          </w:tcPr>
          <w:p w14:paraId="6F2120BE" w14:textId="733D5890" w:rsidR="00505413" w:rsidRDefault="00505413" w:rsidP="000E28A5">
            <w:pPr>
              <w:spacing w:line="480" w:lineRule="auto"/>
              <w:jc w:val="center"/>
              <w:rPr>
                <w:b/>
                <w:bCs/>
              </w:rPr>
            </w:pPr>
            <w:r>
              <w:t>₹22,573.37</w:t>
            </w:r>
          </w:p>
        </w:tc>
        <w:tc>
          <w:tcPr>
            <w:tcW w:w="1596" w:type="dxa"/>
            <w:vAlign w:val="center"/>
          </w:tcPr>
          <w:p w14:paraId="63AF0875" w14:textId="0BDC81F8" w:rsidR="00505413" w:rsidRPr="00505413" w:rsidRDefault="00505413" w:rsidP="000E28A5">
            <w:pPr>
              <w:spacing w:line="480" w:lineRule="auto"/>
              <w:jc w:val="center"/>
              <w:rPr>
                <w:b/>
                <w:bCs/>
                <w:u w:val="single"/>
              </w:rPr>
            </w:pPr>
            <w:r w:rsidRPr="00505413">
              <w:rPr>
                <w:b/>
                <w:bCs/>
                <w:u w:val="single"/>
              </w:rPr>
              <w:t>₹13,54,402.20</w:t>
            </w:r>
          </w:p>
        </w:tc>
      </w:tr>
      <w:tr w:rsidR="00505413" w14:paraId="3684D287" w14:textId="4CE4543C" w:rsidTr="00E97D1C">
        <w:tc>
          <w:tcPr>
            <w:tcW w:w="1413" w:type="dxa"/>
            <w:vAlign w:val="center"/>
          </w:tcPr>
          <w:p w14:paraId="215C5681" w14:textId="0786227A" w:rsidR="00505413" w:rsidRDefault="00505413" w:rsidP="000E28A5">
            <w:pPr>
              <w:spacing w:line="480" w:lineRule="auto"/>
              <w:jc w:val="center"/>
              <w:rPr>
                <w:b/>
                <w:bCs/>
              </w:rPr>
            </w:pPr>
            <w:r>
              <w:rPr>
                <w:rStyle w:val="Strong"/>
                <w:rFonts w:eastAsiaTheme="majorEastAsia"/>
              </w:rPr>
              <w:t>High-income (&gt; ₹8L)</w:t>
            </w:r>
          </w:p>
        </w:tc>
        <w:tc>
          <w:tcPr>
            <w:tcW w:w="1671" w:type="dxa"/>
            <w:vAlign w:val="center"/>
          </w:tcPr>
          <w:p w14:paraId="6E6F4D01" w14:textId="1FC63AC4" w:rsidR="00505413" w:rsidRDefault="00505413" w:rsidP="000E28A5">
            <w:pPr>
              <w:spacing w:line="480" w:lineRule="auto"/>
              <w:jc w:val="center"/>
              <w:rPr>
                <w:b/>
                <w:bCs/>
              </w:rPr>
            </w:pPr>
            <w:r>
              <w:t>No support, interest capitalized during moratorium</w:t>
            </w:r>
          </w:p>
        </w:tc>
        <w:tc>
          <w:tcPr>
            <w:tcW w:w="1397" w:type="dxa"/>
          </w:tcPr>
          <w:p w14:paraId="5918268F" w14:textId="6C514F65" w:rsidR="00505413" w:rsidRDefault="00505413" w:rsidP="000E28A5">
            <w:pPr>
              <w:spacing w:line="480" w:lineRule="auto"/>
              <w:jc w:val="center"/>
            </w:pPr>
            <w:r>
              <w:t>Rs. 13L</w:t>
            </w:r>
          </w:p>
        </w:tc>
        <w:tc>
          <w:tcPr>
            <w:tcW w:w="1312" w:type="dxa"/>
          </w:tcPr>
          <w:p w14:paraId="76D1A734" w14:textId="4424F6AD" w:rsidR="00505413" w:rsidRDefault="00505413" w:rsidP="000E28A5">
            <w:pPr>
              <w:spacing w:line="480" w:lineRule="auto"/>
              <w:jc w:val="center"/>
            </w:pPr>
            <w:r>
              <w:t>10% for 5 years</w:t>
            </w:r>
          </w:p>
        </w:tc>
        <w:tc>
          <w:tcPr>
            <w:tcW w:w="1627" w:type="dxa"/>
            <w:vAlign w:val="center"/>
          </w:tcPr>
          <w:p w14:paraId="3EEA1DC5" w14:textId="026EFC4C" w:rsidR="00505413" w:rsidRDefault="00505413" w:rsidP="000E28A5">
            <w:pPr>
              <w:spacing w:line="480" w:lineRule="auto"/>
              <w:jc w:val="center"/>
              <w:rPr>
                <w:b/>
                <w:bCs/>
              </w:rPr>
            </w:pPr>
            <w:r>
              <w:t>₹25,496.45</w:t>
            </w:r>
          </w:p>
        </w:tc>
        <w:tc>
          <w:tcPr>
            <w:tcW w:w="1596" w:type="dxa"/>
            <w:vAlign w:val="center"/>
          </w:tcPr>
          <w:p w14:paraId="6E805291" w14:textId="7D432D8A" w:rsidR="00505413" w:rsidRPr="00505413" w:rsidRDefault="00505413" w:rsidP="000E28A5">
            <w:pPr>
              <w:spacing w:line="480" w:lineRule="auto"/>
              <w:jc w:val="center"/>
              <w:rPr>
                <w:b/>
                <w:bCs/>
                <w:u w:val="single"/>
              </w:rPr>
            </w:pPr>
            <w:r w:rsidRPr="00505413">
              <w:rPr>
                <w:b/>
                <w:bCs/>
                <w:u w:val="single"/>
              </w:rPr>
              <w:t>₹15,29,787.00</w:t>
            </w:r>
          </w:p>
        </w:tc>
      </w:tr>
    </w:tbl>
    <w:p w14:paraId="59C0A635" w14:textId="77777777" w:rsidR="00540513" w:rsidRDefault="00540513" w:rsidP="00CC3965">
      <w:pPr>
        <w:spacing w:line="480" w:lineRule="auto"/>
        <w:rPr>
          <w:b/>
          <w:bCs/>
        </w:rPr>
      </w:pPr>
    </w:p>
    <w:p w14:paraId="245AE20C" w14:textId="77777777" w:rsidR="00880D0F" w:rsidRDefault="0042150E" w:rsidP="00880D0F">
      <w:pPr>
        <w:spacing w:line="480" w:lineRule="auto"/>
        <w:jc w:val="center"/>
      </w:pPr>
      <w:r w:rsidRPr="00523A79">
        <w:t>Table</w:t>
      </w:r>
      <w:r w:rsidR="00523A79" w:rsidRPr="00523A79">
        <w:t xml:space="preserve"> 8</w:t>
      </w:r>
      <w:r w:rsidRPr="00523A79">
        <w:t xml:space="preserve"> </w:t>
      </w:r>
      <w:r w:rsidR="00733FA0" w:rsidRPr="00523A79">
        <w:t xml:space="preserve">Rs. 10L loan for a period of 5 years at a standard 10% interest rate, under the </w:t>
      </w:r>
      <w:r w:rsidR="00733FA0" w:rsidRPr="00523A79">
        <w:rPr>
          <w:u w:val="single"/>
        </w:rPr>
        <w:t>IBA Model Education Loan Scheme</w:t>
      </w:r>
      <w:r w:rsidR="00733FA0" w:rsidRPr="00523A79">
        <w:t xml:space="preserve"> </w:t>
      </w:r>
      <w:r w:rsidR="00523A79">
        <w:t>with 3 year moratorium period (2 year education period)</w:t>
      </w:r>
    </w:p>
    <w:p w14:paraId="074C03BC" w14:textId="372F158F" w:rsidR="00733FA0" w:rsidRDefault="006B1F7A" w:rsidP="00880D0F">
      <w:pPr>
        <w:spacing w:line="480" w:lineRule="auto"/>
        <w:jc w:val="center"/>
      </w:pPr>
      <w:r>
        <w:t xml:space="preserve">(Note - </w:t>
      </w:r>
      <w:r w:rsidR="00540513" w:rsidRPr="006B1F7A">
        <w:t>Repayment principal reflects accrued interest during the 3-year moratorium added to the repayment amoun</w:t>
      </w:r>
      <w:r w:rsidR="00C74A28" w:rsidRPr="006B1F7A">
        <w:t>t</w:t>
      </w:r>
      <w:r w:rsidR="00EB3D4E" w:rsidRPr="006B1F7A">
        <w:t xml:space="preserve"> assuming borrower does not pay simple interest during the moratorium</w:t>
      </w:r>
      <w:r>
        <w:t>)</w:t>
      </w:r>
    </w:p>
    <w:p w14:paraId="50662580" w14:textId="0A0CFDED" w:rsidR="00A664FB" w:rsidRDefault="00A664FB" w:rsidP="00CC3965">
      <w:pPr>
        <w:spacing w:line="480" w:lineRule="auto"/>
        <w:rPr>
          <w:b/>
          <w:bCs/>
        </w:rPr>
      </w:pPr>
    </w:p>
    <w:p w14:paraId="19673E08" w14:textId="77777777" w:rsidR="00884657" w:rsidRDefault="00884657" w:rsidP="00CC3965">
      <w:pPr>
        <w:spacing w:line="480" w:lineRule="auto"/>
        <w:rPr>
          <w:b/>
          <w:bCs/>
        </w:rPr>
      </w:pPr>
    </w:p>
    <w:p w14:paraId="647B7A2A" w14:textId="77777777" w:rsidR="00292CC0" w:rsidRDefault="00292CC0" w:rsidP="00CC3965">
      <w:pPr>
        <w:spacing w:line="480" w:lineRule="auto"/>
        <w:rPr>
          <w:b/>
          <w:bCs/>
        </w:rPr>
      </w:pPr>
    </w:p>
    <w:tbl>
      <w:tblPr>
        <w:tblStyle w:val="TableGrid"/>
        <w:tblW w:w="9351" w:type="dxa"/>
        <w:tblLook w:val="04A0" w:firstRow="1" w:lastRow="0" w:firstColumn="1" w:lastColumn="0" w:noHBand="0" w:noVBand="1"/>
      </w:tblPr>
      <w:tblGrid>
        <w:gridCol w:w="5098"/>
        <w:gridCol w:w="4253"/>
      </w:tblGrid>
      <w:tr w:rsidR="00EC7CBA" w14:paraId="65ABB038" w14:textId="77777777" w:rsidTr="002B6B70">
        <w:tc>
          <w:tcPr>
            <w:tcW w:w="5098" w:type="dxa"/>
            <w:vAlign w:val="center"/>
          </w:tcPr>
          <w:p w14:paraId="1196B9C7" w14:textId="6E2F6368" w:rsidR="00EC7CBA" w:rsidRDefault="00EC7CBA" w:rsidP="008069A6">
            <w:pPr>
              <w:spacing w:line="480" w:lineRule="auto"/>
              <w:jc w:val="center"/>
              <w:rPr>
                <w:b/>
                <w:bCs/>
              </w:rPr>
            </w:pPr>
            <w:r>
              <w:rPr>
                <w:b/>
                <w:bCs/>
              </w:rPr>
              <w:lastRenderedPageBreak/>
              <w:t>Component</w:t>
            </w:r>
          </w:p>
        </w:tc>
        <w:tc>
          <w:tcPr>
            <w:tcW w:w="4253" w:type="dxa"/>
            <w:vAlign w:val="center"/>
          </w:tcPr>
          <w:p w14:paraId="5E61B6B9" w14:textId="0BD99582" w:rsidR="00EC7CBA" w:rsidRDefault="00EC7CBA" w:rsidP="008069A6">
            <w:pPr>
              <w:spacing w:line="480" w:lineRule="auto"/>
              <w:jc w:val="center"/>
              <w:rPr>
                <w:b/>
                <w:bCs/>
              </w:rPr>
            </w:pPr>
            <w:r>
              <w:rPr>
                <w:b/>
                <w:bCs/>
              </w:rPr>
              <w:t>Amount</w:t>
            </w:r>
          </w:p>
        </w:tc>
      </w:tr>
      <w:tr w:rsidR="00EC7CBA" w14:paraId="4D759E9B" w14:textId="77777777" w:rsidTr="002B6B70">
        <w:tc>
          <w:tcPr>
            <w:tcW w:w="5098" w:type="dxa"/>
            <w:vAlign w:val="center"/>
          </w:tcPr>
          <w:p w14:paraId="06944C75" w14:textId="0B172A6D" w:rsidR="00EC7CBA" w:rsidRDefault="00EC7CBA" w:rsidP="008069A6">
            <w:pPr>
              <w:spacing w:line="480" w:lineRule="auto"/>
              <w:jc w:val="center"/>
              <w:rPr>
                <w:b/>
                <w:bCs/>
              </w:rPr>
            </w:pPr>
            <w:r>
              <w:rPr>
                <w:rStyle w:val="Strong"/>
                <w:rFonts w:eastAsiaTheme="majorEastAsia"/>
              </w:rPr>
              <w:t>Monthly interest (during moratorium)</w:t>
            </w:r>
          </w:p>
        </w:tc>
        <w:tc>
          <w:tcPr>
            <w:tcW w:w="4253" w:type="dxa"/>
            <w:vAlign w:val="center"/>
          </w:tcPr>
          <w:p w14:paraId="0245DE81" w14:textId="6B1833DD" w:rsidR="00EC7CBA" w:rsidRDefault="00EC7CBA" w:rsidP="00311B65">
            <w:pPr>
              <w:spacing w:line="480" w:lineRule="auto"/>
              <w:jc w:val="right"/>
              <w:rPr>
                <w:b/>
                <w:bCs/>
              </w:rPr>
            </w:pPr>
            <w:r>
              <w:t>₹8,750</w:t>
            </w:r>
          </w:p>
        </w:tc>
      </w:tr>
      <w:tr w:rsidR="00EC7CBA" w14:paraId="5E3B4904" w14:textId="77777777" w:rsidTr="002B6B70">
        <w:tc>
          <w:tcPr>
            <w:tcW w:w="5098" w:type="dxa"/>
            <w:vAlign w:val="center"/>
          </w:tcPr>
          <w:p w14:paraId="34526C70" w14:textId="53D8FFB5" w:rsidR="00EC7CBA" w:rsidRDefault="00EC7CBA" w:rsidP="008069A6">
            <w:pPr>
              <w:spacing w:line="480" w:lineRule="auto"/>
              <w:jc w:val="center"/>
              <w:rPr>
                <w:b/>
                <w:bCs/>
              </w:rPr>
            </w:pPr>
            <w:r>
              <w:rPr>
                <w:rStyle w:val="Strong"/>
                <w:rFonts w:eastAsiaTheme="majorEastAsia"/>
              </w:rPr>
              <w:t>Total interest paid during moratorium</w:t>
            </w:r>
          </w:p>
        </w:tc>
        <w:tc>
          <w:tcPr>
            <w:tcW w:w="4253" w:type="dxa"/>
            <w:vAlign w:val="center"/>
          </w:tcPr>
          <w:p w14:paraId="5916E425" w14:textId="34E5C680" w:rsidR="00EC7CBA" w:rsidRDefault="00EC7CBA" w:rsidP="00311B65">
            <w:pPr>
              <w:spacing w:line="480" w:lineRule="auto"/>
              <w:jc w:val="right"/>
              <w:rPr>
                <w:b/>
                <w:bCs/>
              </w:rPr>
            </w:pPr>
            <w:r>
              <w:t>₹3,15,000</w:t>
            </w:r>
          </w:p>
        </w:tc>
      </w:tr>
      <w:tr w:rsidR="00EC7CBA" w14:paraId="3D076496" w14:textId="77777777" w:rsidTr="002B6B70">
        <w:tc>
          <w:tcPr>
            <w:tcW w:w="5098" w:type="dxa"/>
            <w:vAlign w:val="center"/>
          </w:tcPr>
          <w:p w14:paraId="236CF5AC" w14:textId="1B0AAA39" w:rsidR="00EC7CBA" w:rsidRDefault="00EC7CBA" w:rsidP="008069A6">
            <w:pPr>
              <w:spacing w:line="480" w:lineRule="auto"/>
              <w:jc w:val="center"/>
              <w:rPr>
                <w:b/>
                <w:bCs/>
              </w:rPr>
            </w:pPr>
            <w:r>
              <w:rPr>
                <w:rStyle w:val="Strong"/>
                <w:rFonts w:eastAsiaTheme="majorEastAsia"/>
              </w:rPr>
              <w:t>Monthly EMI (post-moratorium)</w:t>
            </w:r>
          </w:p>
        </w:tc>
        <w:tc>
          <w:tcPr>
            <w:tcW w:w="4253" w:type="dxa"/>
            <w:vAlign w:val="center"/>
          </w:tcPr>
          <w:p w14:paraId="26198B72" w14:textId="0A3CD89C" w:rsidR="00EC7CBA" w:rsidRDefault="00EC7CBA" w:rsidP="00311B65">
            <w:pPr>
              <w:spacing w:line="480" w:lineRule="auto"/>
              <w:jc w:val="right"/>
              <w:rPr>
                <w:b/>
                <w:bCs/>
              </w:rPr>
            </w:pPr>
            <w:r>
              <w:t>₹21,493.90</w:t>
            </w:r>
          </w:p>
        </w:tc>
      </w:tr>
      <w:tr w:rsidR="00EC7CBA" w14:paraId="5BEDA1C5" w14:textId="77777777" w:rsidTr="002B6B70">
        <w:tc>
          <w:tcPr>
            <w:tcW w:w="5098" w:type="dxa"/>
            <w:vAlign w:val="center"/>
          </w:tcPr>
          <w:p w14:paraId="08977D78" w14:textId="5B4EA147" w:rsidR="00EC7CBA" w:rsidRDefault="00EC7CBA" w:rsidP="008069A6">
            <w:pPr>
              <w:spacing w:line="480" w:lineRule="auto"/>
              <w:jc w:val="center"/>
              <w:rPr>
                <w:rStyle w:val="Strong"/>
                <w:rFonts w:eastAsiaTheme="majorEastAsia"/>
              </w:rPr>
            </w:pPr>
            <w:r>
              <w:rPr>
                <w:rStyle w:val="Strong"/>
                <w:rFonts w:eastAsiaTheme="majorEastAsia"/>
              </w:rPr>
              <w:t>Total EMI repayment (60 months)</w:t>
            </w:r>
          </w:p>
        </w:tc>
        <w:tc>
          <w:tcPr>
            <w:tcW w:w="4253" w:type="dxa"/>
            <w:vAlign w:val="center"/>
          </w:tcPr>
          <w:p w14:paraId="36B514D9" w14:textId="728E11FF" w:rsidR="00EC7CBA" w:rsidRDefault="00EC7CBA" w:rsidP="00311B65">
            <w:pPr>
              <w:spacing w:line="480" w:lineRule="auto"/>
              <w:jc w:val="right"/>
            </w:pPr>
            <w:r>
              <w:t>₹12,89,634</w:t>
            </w:r>
          </w:p>
        </w:tc>
      </w:tr>
      <w:tr w:rsidR="00EC7CBA" w14:paraId="53EEBB5C" w14:textId="77777777" w:rsidTr="002B6B70">
        <w:tc>
          <w:tcPr>
            <w:tcW w:w="5098" w:type="dxa"/>
            <w:vAlign w:val="center"/>
          </w:tcPr>
          <w:p w14:paraId="45180687" w14:textId="1898EF6E" w:rsidR="00EC7CBA" w:rsidRDefault="00EC7CBA" w:rsidP="008069A6">
            <w:pPr>
              <w:spacing w:line="480" w:lineRule="auto"/>
              <w:jc w:val="center"/>
              <w:rPr>
                <w:rStyle w:val="Strong"/>
                <w:rFonts w:eastAsiaTheme="majorEastAsia"/>
              </w:rPr>
            </w:pPr>
            <w:r>
              <w:rPr>
                <w:rStyle w:val="Strong"/>
                <w:rFonts w:eastAsiaTheme="majorEastAsia"/>
              </w:rPr>
              <w:t>Total repayment (interest + EMIs)</w:t>
            </w:r>
          </w:p>
        </w:tc>
        <w:tc>
          <w:tcPr>
            <w:tcW w:w="4253" w:type="dxa"/>
            <w:vAlign w:val="center"/>
          </w:tcPr>
          <w:p w14:paraId="45BF38B1" w14:textId="1A3D1CC5" w:rsidR="00EC7CBA" w:rsidRPr="00687C64" w:rsidRDefault="00EC7CBA" w:rsidP="00311B65">
            <w:pPr>
              <w:spacing w:line="480" w:lineRule="auto"/>
              <w:jc w:val="right"/>
              <w:rPr>
                <w:b/>
                <w:bCs/>
                <w:u w:val="single"/>
              </w:rPr>
            </w:pPr>
            <w:r w:rsidRPr="00687C64">
              <w:rPr>
                <w:b/>
                <w:bCs/>
                <w:u w:val="single"/>
              </w:rPr>
              <w:t>₹16,04,634</w:t>
            </w:r>
          </w:p>
        </w:tc>
      </w:tr>
    </w:tbl>
    <w:p w14:paraId="5E538F0A" w14:textId="77777777" w:rsidR="00A664FB" w:rsidRDefault="00A664FB" w:rsidP="00311B65">
      <w:pPr>
        <w:spacing w:line="480" w:lineRule="auto"/>
        <w:rPr>
          <w:b/>
          <w:bCs/>
        </w:rPr>
      </w:pPr>
    </w:p>
    <w:p w14:paraId="6804A653" w14:textId="5CDE1EF2" w:rsidR="008069A6" w:rsidRDefault="008069A6" w:rsidP="008069A6">
      <w:pPr>
        <w:spacing w:line="480" w:lineRule="auto"/>
        <w:jc w:val="center"/>
      </w:pPr>
      <w:r w:rsidRPr="00523A79">
        <w:t xml:space="preserve">Table </w:t>
      </w:r>
      <w:r>
        <w:t xml:space="preserve">9 </w:t>
      </w:r>
      <w:r w:rsidRPr="00523A79">
        <w:t>Rs. 10L loan for a period of 5 years at a 10</w:t>
      </w:r>
      <w:r>
        <w:t>.5</w:t>
      </w:r>
      <w:r w:rsidRPr="00523A79">
        <w:t xml:space="preserve">% interest rate, under the </w:t>
      </w:r>
      <w:r>
        <w:rPr>
          <w:u w:val="single"/>
        </w:rPr>
        <w:t>ICICI</w:t>
      </w:r>
      <w:r w:rsidRPr="00523A79">
        <w:rPr>
          <w:u w:val="single"/>
        </w:rPr>
        <w:t xml:space="preserve"> Model </w:t>
      </w:r>
      <w:r>
        <w:t>with 3 year moratorium period (2 year education period)</w:t>
      </w:r>
      <w:r w:rsidR="00ED1A75">
        <w:t xml:space="preserve"> with optional repayment of interest during moratorium period to prevent interest capitalisation.</w:t>
      </w:r>
    </w:p>
    <w:p w14:paraId="6A2BF0CB" w14:textId="77777777" w:rsidR="00505413" w:rsidRDefault="00505413" w:rsidP="008069A6">
      <w:pPr>
        <w:spacing w:line="480" w:lineRule="auto"/>
        <w:jc w:val="center"/>
      </w:pPr>
    </w:p>
    <w:p w14:paraId="77E4E373" w14:textId="77777777" w:rsidR="00D9065A" w:rsidRDefault="00D9065A" w:rsidP="00311B65">
      <w:pPr>
        <w:spacing w:line="480" w:lineRule="auto"/>
        <w:rPr>
          <w:b/>
          <w:bCs/>
        </w:rPr>
      </w:pPr>
    </w:p>
    <w:tbl>
      <w:tblPr>
        <w:tblStyle w:val="TableGrid"/>
        <w:tblW w:w="9209" w:type="dxa"/>
        <w:tblLook w:val="04A0" w:firstRow="1" w:lastRow="0" w:firstColumn="1" w:lastColumn="0" w:noHBand="0" w:noVBand="1"/>
      </w:tblPr>
      <w:tblGrid>
        <w:gridCol w:w="5098"/>
        <w:gridCol w:w="4111"/>
      </w:tblGrid>
      <w:tr w:rsidR="00D9065A" w14:paraId="4F655045" w14:textId="77777777" w:rsidTr="002B6B70">
        <w:tc>
          <w:tcPr>
            <w:tcW w:w="5098" w:type="dxa"/>
            <w:vAlign w:val="center"/>
          </w:tcPr>
          <w:p w14:paraId="048750EE" w14:textId="669B19EA" w:rsidR="00D9065A" w:rsidRDefault="00D9065A" w:rsidP="002B6B70">
            <w:pPr>
              <w:spacing w:line="480" w:lineRule="auto"/>
              <w:jc w:val="center"/>
              <w:rPr>
                <w:b/>
                <w:bCs/>
              </w:rPr>
            </w:pPr>
            <w:r>
              <w:rPr>
                <w:b/>
                <w:bCs/>
              </w:rPr>
              <w:t>Component</w:t>
            </w:r>
          </w:p>
        </w:tc>
        <w:tc>
          <w:tcPr>
            <w:tcW w:w="4111" w:type="dxa"/>
            <w:vAlign w:val="center"/>
          </w:tcPr>
          <w:p w14:paraId="56387820" w14:textId="516A4F8C" w:rsidR="00D9065A" w:rsidRDefault="00D9065A" w:rsidP="002B6B70">
            <w:pPr>
              <w:spacing w:line="480" w:lineRule="auto"/>
              <w:jc w:val="center"/>
              <w:rPr>
                <w:b/>
                <w:bCs/>
              </w:rPr>
            </w:pPr>
            <w:r>
              <w:rPr>
                <w:b/>
                <w:bCs/>
              </w:rPr>
              <w:t>Amount</w:t>
            </w:r>
          </w:p>
        </w:tc>
      </w:tr>
      <w:tr w:rsidR="00D9065A" w14:paraId="741409D1" w14:textId="77777777" w:rsidTr="002B6B70">
        <w:tc>
          <w:tcPr>
            <w:tcW w:w="5098" w:type="dxa"/>
            <w:vAlign w:val="center"/>
          </w:tcPr>
          <w:p w14:paraId="7CC54F70" w14:textId="5413E273" w:rsidR="00D9065A" w:rsidRDefault="00D9065A" w:rsidP="002B6B70">
            <w:pPr>
              <w:spacing w:line="480" w:lineRule="auto"/>
              <w:jc w:val="center"/>
              <w:rPr>
                <w:b/>
                <w:bCs/>
              </w:rPr>
            </w:pPr>
            <w:r>
              <w:rPr>
                <w:rStyle w:val="Strong"/>
                <w:rFonts w:eastAsiaTheme="majorEastAsia"/>
              </w:rPr>
              <w:t>Monthly interest (during moratorium)</w:t>
            </w:r>
          </w:p>
        </w:tc>
        <w:tc>
          <w:tcPr>
            <w:tcW w:w="4111" w:type="dxa"/>
            <w:vAlign w:val="center"/>
          </w:tcPr>
          <w:p w14:paraId="38857CDD" w14:textId="3EE82C91" w:rsidR="00D9065A" w:rsidRDefault="00D9065A" w:rsidP="00311B65">
            <w:pPr>
              <w:spacing w:line="480" w:lineRule="auto"/>
              <w:jc w:val="right"/>
              <w:rPr>
                <w:b/>
                <w:bCs/>
              </w:rPr>
            </w:pPr>
            <w:r>
              <w:t>₹10,416.67</w:t>
            </w:r>
          </w:p>
        </w:tc>
      </w:tr>
      <w:tr w:rsidR="00D9065A" w14:paraId="1ED21FA3" w14:textId="77777777" w:rsidTr="002B6B70">
        <w:tc>
          <w:tcPr>
            <w:tcW w:w="5098" w:type="dxa"/>
            <w:vAlign w:val="center"/>
          </w:tcPr>
          <w:p w14:paraId="3FC98778" w14:textId="387D747D" w:rsidR="00D9065A" w:rsidRDefault="00D9065A" w:rsidP="002B6B70">
            <w:pPr>
              <w:spacing w:line="480" w:lineRule="auto"/>
              <w:jc w:val="center"/>
              <w:rPr>
                <w:b/>
                <w:bCs/>
              </w:rPr>
            </w:pPr>
            <w:r>
              <w:rPr>
                <w:rStyle w:val="Strong"/>
                <w:rFonts w:eastAsiaTheme="majorEastAsia"/>
              </w:rPr>
              <w:t>Total interest paid during moratorium</w:t>
            </w:r>
          </w:p>
        </w:tc>
        <w:tc>
          <w:tcPr>
            <w:tcW w:w="4111" w:type="dxa"/>
            <w:vAlign w:val="center"/>
          </w:tcPr>
          <w:p w14:paraId="315ED9B1" w14:textId="2AE2DD26" w:rsidR="00D9065A" w:rsidRDefault="00D9065A" w:rsidP="00311B65">
            <w:pPr>
              <w:spacing w:line="480" w:lineRule="auto"/>
              <w:jc w:val="right"/>
              <w:rPr>
                <w:b/>
                <w:bCs/>
              </w:rPr>
            </w:pPr>
            <w:r>
              <w:t>₹3,75,000</w:t>
            </w:r>
          </w:p>
        </w:tc>
      </w:tr>
      <w:tr w:rsidR="00D9065A" w14:paraId="73EA7B1B" w14:textId="77777777" w:rsidTr="002B6B70">
        <w:tc>
          <w:tcPr>
            <w:tcW w:w="5098" w:type="dxa"/>
            <w:vAlign w:val="center"/>
          </w:tcPr>
          <w:p w14:paraId="7E147CDD" w14:textId="3A06BB11" w:rsidR="00D9065A" w:rsidRDefault="00D9065A" w:rsidP="002B6B70">
            <w:pPr>
              <w:spacing w:line="480" w:lineRule="auto"/>
              <w:jc w:val="center"/>
              <w:rPr>
                <w:b/>
                <w:bCs/>
              </w:rPr>
            </w:pPr>
            <w:r>
              <w:rPr>
                <w:rStyle w:val="Strong"/>
                <w:rFonts w:eastAsiaTheme="majorEastAsia"/>
              </w:rPr>
              <w:t>Monthly EMI (post-moratorium)</w:t>
            </w:r>
          </w:p>
        </w:tc>
        <w:tc>
          <w:tcPr>
            <w:tcW w:w="4111" w:type="dxa"/>
            <w:vAlign w:val="center"/>
          </w:tcPr>
          <w:p w14:paraId="73072384" w14:textId="459A06B1" w:rsidR="00D9065A" w:rsidRDefault="00D9065A" w:rsidP="00311B65">
            <w:pPr>
              <w:spacing w:line="480" w:lineRule="auto"/>
              <w:jc w:val="right"/>
              <w:rPr>
                <w:b/>
                <w:bCs/>
              </w:rPr>
            </w:pPr>
            <w:r>
              <w:t>₹22,497.94</w:t>
            </w:r>
          </w:p>
        </w:tc>
      </w:tr>
      <w:tr w:rsidR="00D9065A" w14:paraId="37415632" w14:textId="77777777" w:rsidTr="002B6B70">
        <w:tc>
          <w:tcPr>
            <w:tcW w:w="5098" w:type="dxa"/>
            <w:vAlign w:val="center"/>
          </w:tcPr>
          <w:p w14:paraId="0581BA44" w14:textId="29BA2D32" w:rsidR="00D9065A" w:rsidRDefault="00D9065A" w:rsidP="002B6B70">
            <w:pPr>
              <w:spacing w:line="480" w:lineRule="auto"/>
              <w:jc w:val="center"/>
              <w:rPr>
                <w:rStyle w:val="Strong"/>
                <w:rFonts w:eastAsiaTheme="majorEastAsia"/>
              </w:rPr>
            </w:pPr>
            <w:r>
              <w:rPr>
                <w:rStyle w:val="Strong"/>
                <w:rFonts w:eastAsiaTheme="majorEastAsia"/>
              </w:rPr>
              <w:t>Total EMI repayment (60 months)</w:t>
            </w:r>
          </w:p>
        </w:tc>
        <w:tc>
          <w:tcPr>
            <w:tcW w:w="4111" w:type="dxa"/>
            <w:vAlign w:val="center"/>
          </w:tcPr>
          <w:p w14:paraId="5CD37521" w14:textId="3E9F93C7" w:rsidR="00D9065A" w:rsidRDefault="00D9065A" w:rsidP="00311B65">
            <w:pPr>
              <w:spacing w:line="480" w:lineRule="auto"/>
              <w:jc w:val="right"/>
            </w:pPr>
            <w:r>
              <w:t>₹13,49,876</w:t>
            </w:r>
          </w:p>
        </w:tc>
      </w:tr>
      <w:tr w:rsidR="00D9065A" w:rsidRPr="00687C64" w14:paraId="4D788516" w14:textId="77777777" w:rsidTr="002B6B70">
        <w:tc>
          <w:tcPr>
            <w:tcW w:w="5098" w:type="dxa"/>
            <w:vAlign w:val="center"/>
          </w:tcPr>
          <w:p w14:paraId="60948285" w14:textId="2B26831D" w:rsidR="00D9065A" w:rsidRDefault="00D9065A" w:rsidP="002B6B70">
            <w:pPr>
              <w:spacing w:line="480" w:lineRule="auto"/>
              <w:jc w:val="center"/>
              <w:rPr>
                <w:rStyle w:val="Strong"/>
                <w:rFonts w:eastAsiaTheme="majorEastAsia"/>
              </w:rPr>
            </w:pPr>
            <w:r>
              <w:rPr>
                <w:rStyle w:val="Strong"/>
                <w:rFonts w:eastAsiaTheme="majorEastAsia"/>
              </w:rPr>
              <w:t>Total repayment (interest + EMIs)</w:t>
            </w:r>
          </w:p>
        </w:tc>
        <w:tc>
          <w:tcPr>
            <w:tcW w:w="4111" w:type="dxa"/>
            <w:vAlign w:val="center"/>
          </w:tcPr>
          <w:p w14:paraId="3C6017A9" w14:textId="6CB4C3AB" w:rsidR="00D9065A" w:rsidRPr="00687C64" w:rsidRDefault="00D9065A" w:rsidP="00311B65">
            <w:pPr>
              <w:spacing w:line="480" w:lineRule="auto"/>
              <w:jc w:val="right"/>
              <w:rPr>
                <w:b/>
                <w:bCs/>
                <w:u w:val="single"/>
              </w:rPr>
            </w:pPr>
            <w:r w:rsidRPr="00687C64">
              <w:rPr>
                <w:b/>
                <w:bCs/>
                <w:u w:val="single"/>
              </w:rPr>
              <w:t>₹17,24,876</w:t>
            </w:r>
          </w:p>
        </w:tc>
      </w:tr>
    </w:tbl>
    <w:p w14:paraId="22292209" w14:textId="77777777" w:rsidR="00D9065A" w:rsidRDefault="00D9065A" w:rsidP="00311B65">
      <w:pPr>
        <w:spacing w:line="480" w:lineRule="auto"/>
        <w:rPr>
          <w:b/>
          <w:bCs/>
        </w:rPr>
      </w:pPr>
    </w:p>
    <w:p w14:paraId="02D545BE" w14:textId="25BEE052" w:rsidR="007A22CE" w:rsidRDefault="007A22CE" w:rsidP="00884657">
      <w:pPr>
        <w:spacing w:line="480" w:lineRule="auto"/>
        <w:jc w:val="center"/>
      </w:pPr>
      <w:r w:rsidRPr="00523A79">
        <w:t xml:space="preserve">Table </w:t>
      </w:r>
      <w:r w:rsidR="00ED1A75">
        <w:t xml:space="preserve">10 </w:t>
      </w:r>
      <w:r w:rsidRPr="00523A79">
        <w:t>Rs. 10L loan for a period of 5 years at a 1</w:t>
      </w:r>
      <w:r w:rsidR="007A32B6">
        <w:t>2</w:t>
      </w:r>
      <w:r>
        <w:t>.5</w:t>
      </w:r>
      <w:r w:rsidRPr="00523A79">
        <w:t xml:space="preserve">% interest rate, under the </w:t>
      </w:r>
      <w:r>
        <w:rPr>
          <w:u w:val="single"/>
        </w:rPr>
        <w:t>Credila NBFC</w:t>
      </w:r>
      <w:r w:rsidRPr="00523A79">
        <w:rPr>
          <w:u w:val="single"/>
        </w:rPr>
        <w:t xml:space="preserve"> Model </w:t>
      </w:r>
      <w:r>
        <w:t>with 3 year moratorium period (2 year education period)</w:t>
      </w:r>
      <w:r w:rsidR="00FC6C6E" w:rsidRPr="00FC6C6E">
        <w:t xml:space="preserve"> </w:t>
      </w:r>
      <w:r w:rsidR="00FC6C6E">
        <w:t>with compulsory repayment of interest during moratorium period to prevent interest capitalisation.</w:t>
      </w:r>
    </w:p>
    <w:p w14:paraId="62FD3906" w14:textId="77777777" w:rsidR="008F6BA9" w:rsidRDefault="008F6BA9" w:rsidP="00884657">
      <w:pPr>
        <w:spacing w:line="480" w:lineRule="auto"/>
        <w:jc w:val="center"/>
      </w:pPr>
    </w:p>
    <w:p w14:paraId="5498915A" w14:textId="6EEC17B1" w:rsidR="004556FF" w:rsidRPr="00B957A4" w:rsidRDefault="00884657" w:rsidP="0002545D">
      <w:pPr>
        <w:spacing w:line="480" w:lineRule="auto"/>
        <w:rPr>
          <w:b/>
          <w:bCs/>
        </w:rPr>
      </w:pPr>
      <w:r>
        <w:t>Note – SCBs have moratorium of deferred repayment with interest capitalisations</w:t>
      </w:r>
      <w:r w:rsidRPr="00907775">
        <w:rPr>
          <w:i/>
          <w:iCs/>
        </w:rPr>
        <w:t xml:space="preserve">. </w:t>
      </w:r>
      <w:r w:rsidRPr="00907775">
        <w:t>NBF</w:t>
      </w:r>
      <w:r>
        <w:t>Cs</w:t>
      </w:r>
      <w:r w:rsidRPr="00907775">
        <w:t xml:space="preserve"> do not allow this, mandating Simple Interest payments.</w:t>
      </w:r>
    </w:p>
    <w:p w14:paraId="6446E0DA" w14:textId="7FEB8D06" w:rsidR="006853A0" w:rsidRDefault="00BF4E55" w:rsidP="000E28A5">
      <w:pPr>
        <w:spacing w:line="480" w:lineRule="auto"/>
        <w:jc w:val="center"/>
        <w:rPr>
          <w:b/>
          <w:bCs/>
        </w:rPr>
      </w:pPr>
      <w:r>
        <w:rPr>
          <w:b/>
          <w:bCs/>
        </w:rPr>
        <w:lastRenderedPageBreak/>
        <w:t>D</w:t>
      </w:r>
      <w:r w:rsidRPr="009C6CF9">
        <w:rPr>
          <w:b/>
          <w:bCs/>
        </w:rPr>
        <w:t>elivery</w:t>
      </w:r>
      <w:r>
        <w:rPr>
          <w:b/>
          <w:bCs/>
        </w:rPr>
        <w:t xml:space="preserve"> </w:t>
      </w:r>
      <w:r w:rsidR="00B01ED5">
        <w:rPr>
          <w:b/>
          <w:bCs/>
        </w:rPr>
        <w:t>and Operational Efficiency</w:t>
      </w:r>
    </w:p>
    <w:p w14:paraId="74ECD135" w14:textId="77777777" w:rsidR="00B957A4" w:rsidRPr="001425D4" w:rsidRDefault="00B957A4" w:rsidP="006853A0">
      <w:pPr>
        <w:spacing w:line="480" w:lineRule="auto"/>
        <w:rPr>
          <w:b/>
          <w:bCs/>
        </w:rPr>
      </w:pPr>
    </w:p>
    <w:tbl>
      <w:tblPr>
        <w:tblStyle w:val="TableGrid"/>
        <w:tblW w:w="9067" w:type="dxa"/>
        <w:tblLook w:val="04A0" w:firstRow="1" w:lastRow="0" w:firstColumn="1" w:lastColumn="0" w:noHBand="0" w:noVBand="1"/>
      </w:tblPr>
      <w:tblGrid>
        <w:gridCol w:w="1803"/>
        <w:gridCol w:w="2161"/>
        <w:gridCol w:w="2268"/>
        <w:gridCol w:w="2835"/>
      </w:tblGrid>
      <w:tr w:rsidR="001C33D6" w14:paraId="7487DA43" w14:textId="77777777" w:rsidTr="001C33D6">
        <w:tc>
          <w:tcPr>
            <w:tcW w:w="1803" w:type="dxa"/>
          </w:tcPr>
          <w:p w14:paraId="07D90D1E" w14:textId="77777777" w:rsidR="006853A0" w:rsidRDefault="006853A0" w:rsidP="001C33D6">
            <w:pPr>
              <w:spacing w:line="480" w:lineRule="auto"/>
              <w:jc w:val="center"/>
            </w:pPr>
          </w:p>
        </w:tc>
        <w:tc>
          <w:tcPr>
            <w:tcW w:w="2161" w:type="dxa"/>
          </w:tcPr>
          <w:p w14:paraId="2CD8DAF7" w14:textId="7E4CFADF" w:rsidR="006853A0" w:rsidRDefault="006853A0" w:rsidP="006853A0">
            <w:pPr>
              <w:spacing w:line="480" w:lineRule="auto"/>
            </w:pPr>
            <w:r>
              <w:t>PSBs</w:t>
            </w:r>
          </w:p>
        </w:tc>
        <w:tc>
          <w:tcPr>
            <w:tcW w:w="2268" w:type="dxa"/>
          </w:tcPr>
          <w:p w14:paraId="16550FDF" w14:textId="431996D3" w:rsidR="006853A0" w:rsidRDefault="006853A0" w:rsidP="006853A0">
            <w:pPr>
              <w:spacing w:line="480" w:lineRule="auto"/>
            </w:pPr>
            <w:r>
              <w:t>Private Banks</w:t>
            </w:r>
          </w:p>
        </w:tc>
        <w:tc>
          <w:tcPr>
            <w:tcW w:w="2835" w:type="dxa"/>
          </w:tcPr>
          <w:p w14:paraId="584EA531" w14:textId="1F1128A3" w:rsidR="006853A0" w:rsidRDefault="006853A0" w:rsidP="006853A0">
            <w:pPr>
              <w:spacing w:line="480" w:lineRule="auto"/>
            </w:pPr>
            <w:r>
              <w:t>NBFCs</w:t>
            </w:r>
          </w:p>
        </w:tc>
      </w:tr>
      <w:tr w:rsidR="001C33D6" w14:paraId="07BBA83D" w14:textId="77777777" w:rsidTr="001C33D6">
        <w:tc>
          <w:tcPr>
            <w:tcW w:w="1803" w:type="dxa"/>
          </w:tcPr>
          <w:p w14:paraId="1ACD205F" w14:textId="7E93BD25" w:rsidR="006853A0" w:rsidRDefault="00897A35" w:rsidP="001C33D6">
            <w:pPr>
              <w:spacing w:line="480" w:lineRule="auto"/>
              <w:jc w:val="center"/>
            </w:pPr>
            <w:r>
              <w:t>Processing Time</w:t>
            </w:r>
          </w:p>
        </w:tc>
        <w:tc>
          <w:tcPr>
            <w:tcW w:w="2161" w:type="dxa"/>
          </w:tcPr>
          <w:p w14:paraId="4A5FA2DE" w14:textId="52219D12" w:rsidR="006853A0" w:rsidRDefault="006853A0" w:rsidP="001C33D6">
            <w:pPr>
              <w:spacing w:line="480" w:lineRule="auto"/>
              <w:jc w:val="center"/>
            </w:pPr>
            <w:r>
              <w:t>15-30 days</w:t>
            </w:r>
          </w:p>
        </w:tc>
        <w:tc>
          <w:tcPr>
            <w:tcW w:w="2268" w:type="dxa"/>
          </w:tcPr>
          <w:p w14:paraId="51F80DFE" w14:textId="59D0E2BB" w:rsidR="006853A0" w:rsidRDefault="006853A0" w:rsidP="001C33D6">
            <w:pPr>
              <w:spacing w:line="480" w:lineRule="auto"/>
              <w:jc w:val="center"/>
            </w:pPr>
            <w:r>
              <w:t>7-15 days</w:t>
            </w:r>
          </w:p>
        </w:tc>
        <w:tc>
          <w:tcPr>
            <w:tcW w:w="2835" w:type="dxa"/>
          </w:tcPr>
          <w:p w14:paraId="343D9FF7" w14:textId="00CD2F01" w:rsidR="006853A0" w:rsidRDefault="006853A0" w:rsidP="001C33D6">
            <w:pPr>
              <w:spacing w:line="480" w:lineRule="auto"/>
              <w:jc w:val="center"/>
            </w:pPr>
            <w:r>
              <w:t>3-7 days</w:t>
            </w:r>
          </w:p>
        </w:tc>
      </w:tr>
      <w:tr w:rsidR="001E08A2" w14:paraId="03461E29" w14:textId="77777777" w:rsidTr="001C33D6">
        <w:tc>
          <w:tcPr>
            <w:tcW w:w="1803" w:type="dxa"/>
          </w:tcPr>
          <w:p w14:paraId="4531EAA6" w14:textId="165625AA" w:rsidR="006853A0" w:rsidRDefault="006853A0" w:rsidP="001C33D6">
            <w:pPr>
              <w:spacing w:line="480" w:lineRule="auto"/>
              <w:jc w:val="center"/>
            </w:pPr>
            <w:r>
              <w:t>In-person or Online</w:t>
            </w:r>
          </w:p>
        </w:tc>
        <w:tc>
          <w:tcPr>
            <w:tcW w:w="2161" w:type="dxa"/>
          </w:tcPr>
          <w:p w14:paraId="2703CEE1" w14:textId="7FA89C66" w:rsidR="006853A0" w:rsidRDefault="006853A0" w:rsidP="001C33D6">
            <w:pPr>
              <w:spacing w:line="480" w:lineRule="auto"/>
              <w:jc w:val="center"/>
            </w:pPr>
            <w:r>
              <w:t>Physical visits for in-person KYC</w:t>
            </w:r>
            <w:r w:rsidR="00300E4E">
              <w:t xml:space="preserve">, co-applicant verification and </w:t>
            </w:r>
            <w:r>
              <w:t xml:space="preserve"> documentation. </w:t>
            </w:r>
            <w:r w:rsidR="00F3345B">
              <w:t xml:space="preserve">Application process is online through Vidyalakshmi </w:t>
            </w:r>
            <w:r w:rsidR="00300E4E">
              <w:t>portal</w:t>
            </w:r>
            <w:r w:rsidR="00F3345B">
              <w:t xml:space="preserve"> yet backend process is largely offline and manual.</w:t>
            </w:r>
          </w:p>
        </w:tc>
        <w:tc>
          <w:tcPr>
            <w:tcW w:w="2268" w:type="dxa"/>
          </w:tcPr>
          <w:p w14:paraId="582448C8" w14:textId="7BE53C36" w:rsidR="006853A0" w:rsidRDefault="006853A0" w:rsidP="001C33D6">
            <w:pPr>
              <w:spacing w:line="480" w:lineRule="auto"/>
              <w:jc w:val="center"/>
            </w:pPr>
            <w:r>
              <w:t xml:space="preserve">Sometimes -physical KYC, document  and co-applicant verification, especially for applicants living in non-metropolitans. </w:t>
            </w:r>
            <w:r w:rsidR="007924E8">
              <w:t xml:space="preserve">Offline visits </w:t>
            </w:r>
            <w:r w:rsidR="002E5B1D">
              <w:t xml:space="preserve">sometimes </w:t>
            </w:r>
            <w:r w:rsidR="007924E8">
              <w:t>waived for premium customers.</w:t>
            </w:r>
          </w:p>
        </w:tc>
        <w:tc>
          <w:tcPr>
            <w:tcW w:w="2835" w:type="dxa"/>
          </w:tcPr>
          <w:p w14:paraId="0308FF98" w14:textId="2B8B8893" w:rsidR="006853A0" w:rsidRDefault="006853A0" w:rsidP="001C33D6">
            <w:pPr>
              <w:spacing w:line="480" w:lineRule="auto"/>
              <w:jc w:val="center"/>
            </w:pPr>
            <w:r>
              <w:t xml:space="preserve">Completely online, from sanction to disbursement. Documents can all be uploaded. KYC can be done on doorstep </w:t>
            </w:r>
            <w:r w:rsidR="00750F05">
              <w:t>or online. Minimal to no offline interaction.</w:t>
            </w:r>
          </w:p>
        </w:tc>
      </w:tr>
    </w:tbl>
    <w:p w14:paraId="593AF489" w14:textId="77777777" w:rsidR="006853A0" w:rsidRDefault="006853A0" w:rsidP="0042512E">
      <w:pPr>
        <w:spacing w:line="480" w:lineRule="auto"/>
      </w:pPr>
    </w:p>
    <w:p w14:paraId="17B633CC" w14:textId="77777777" w:rsidR="00B957A4" w:rsidRDefault="0042512E" w:rsidP="00B957A4">
      <w:pPr>
        <w:spacing w:line="480" w:lineRule="auto"/>
        <w:jc w:val="center"/>
      </w:pPr>
      <w:r w:rsidRPr="0042512E">
        <w:t>Table 1</w:t>
      </w:r>
      <w:r w:rsidR="00DC4345">
        <w:t>1</w:t>
      </w:r>
      <w:r w:rsidRPr="0042512E">
        <w:t xml:space="preserve"> </w:t>
      </w:r>
      <w:r>
        <w:t>Delivery and Operational Efficiency of NBFCs, Private Banks and PSBs</w:t>
      </w:r>
    </w:p>
    <w:p w14:paraId="151C04AD" w14:textId="77777777" w:rsidR="00B957A4" w:rsidRDefault="00B957A4" w:rsidP="00B957A4">
      <w:pPr>
        <w:spacing w:line="480" w:lineRule="auto"/>
      </w:pPr>
    </w:p>
    <w:p w14:paraId="1ECA1445" w14:textId="7255E000" w:rsidR="001E08A2" w:rsidRDefault="00BF4E55" w:rsidP="00B957A4">
      <w:pPr>
        <w:spacing w:line="480" w:lineRule="auto"/>
      </w:pPr>
      <w:r>
        <w:rPr>
          <w:b/>
          <w:bCs/>
        </w:rPr>
        <w:t>Performance</w:t>
      </w:r>
    </w:p>
    <w:tbl>
      <w:tblPr>
        <w:tblStyle w:val="TableGrid"/>
        <w:tblW w:w="0" w:type="auto"/>
        <w:tblLook w:val="04A0" w:firstRow="1" w:lastRow="0" w:firstColumn="1" w:lastColumn="0" w:noHBand="0" w:noVBand="1"/>
      </w:tblPr>
      <w:tblGrid>
        <w:gridCol w:w="3397"/>
        <w:gridCol w:w="1843"/>
        <w:gridCol w:w="1843"/>
        <w:gridCol w:w="1933"/>
      </w:tblGrid>
      <w:tr w:rsidR="001E08A2" w14:paraId="313EB5F6" w14:textId="77777777" w:rsidTr="001E08A2">
        <w:tc>
          <w:tcPr>
            <w:tcW w:w="3397" w:type="dxa"/>
          </w:tcPr>
          <w:p w14:paraId="7D7D52C6" w14:textId="6219CBBA" w:rsidR="001E08A2" w:rsidRDefault="001E08A2" w:rsidP="001E08A2">
            <w:pPr>
              <w:spacing w:line="480" w:lineRule="auto"/>
            </w:pPr>
          </w:p>
        </w:tc>
        <w:tc>
          <w:tcPr>
            <w:tcW w:w="1843" w:type="dxa"/>
          </w:tcPr>
          <w:p w14:paraId="4BDD7F33" w14:textId="13D45985" w:rsidR="001E08A2" w:rsidRDefault="001E08A2" w:rsidP="001E08A2">
            <w:pPr>
              <w:spacing w:line="480" w:lineRule="auto"/>
            </w:pPr>
            <w:r>
              <w:t>Credila</w:t>
            </w:r>
          </w:p>
        </w:tc>
        <w:tc>
          <w:tcPr>
            <w:tcW w:w="1843" w:type="dxa"/>
          </w:tcPr>
          <w:p w14:paraId="0B65A3EB" w14:textId="33A57C63" w:rsidR="001E08A2" w:rsidRDefault="001E08A2" w:rsidP="001E08A2">
            <w:pPr>
              <w:spacing w:line="480" w:lineRule="auto"/>
            </w:pPr>
            <w:r>
              <w:t>Avanse</w:t>
            </w:r>
          </w:p>
        </w:tc>
        <w:tc>
          <w:tcPr>
            <w:tcW w:w="1933" w:type="dxa"/>
          </w:tcPr>
          <w:p w14:paraId="554E206C" w14:textId="53854081" w:rsidR="001E08A2" w:rsidRDefault="001E08A2" w:rsidP="001E08A2">
            <w:pPr>
              <w:spacing w:line="480" w:lineRule="auto"/>
            </w:pPr>
            <w:r>
              <w:t>PNB</w:t>
            </w:r>
          </w:p>
        </w:tc>
      </w:tr>
      <w:tr w:rsidR="001E08A2" w14:paraId="5B276380" w14:textId="77777777" w:rsidTr="001E08A2">
        <w:tc>
          <w:tcPr>
            <w:tcW w:w="3397" w:type="dxa"/>
          </w:tcPr>
          <w:p w14:paraId="4DD77954" w14:textId="75161FE6" w:rsidR="001E08A2" w:rsidRDefault="001E08A2" w:rsidP="001E08A2">
            <w:pPr>
              <w:spacing w:line="480" w:lineRule="auto"/>
            </w:pPr>
            <w:r>
              <w:t>GNPA</w:t>
            </w:r>
          </w:p>
        </w:tc>
        <w:tc>
          <w:tcPr>
            <w:tcW w:w="1843" w:type="dxa"/>
          </w:tcPr>
          <w:p w14:paraId="5E5678FC" w14:textId="7E3FE3EA" w:rsidR="001E08A2" w:rsidRDefault="001E08A2" w:rsidP="001E08A2">
            <w:pPr>
              <w:spacing w:line="480" w:lineRule="auto"/>
            </w:pPr>
            <w:r>
              <w:t>0.08%</w:t>
            </w:r>
          </w:p>
        </w:tc>
        <w:tc>
          <w:tcPr>
            <w:tcW w:w="1843" w:type="dxa"/>
          </w:tcPr>
          <w:p w14:paraId="366C43D9" w14:textId="2BE322B4" w:rsidR="001E08A2" w:rsidRDefault="001E08A2" w:rsidP="001E08A2">
            <w:pPr>
              <w:spacing w:line="480" w:lineRule="auto"/>
            </w:pPr>
            <w:r>
              <w:t>0.53%</w:t>
            </w:r>
          </w:p>
        </w:tc>
        <w:tc>
          <w:tcPr>
            <w:tcW w:w="1933" w:type="dxa"/>
          </w:tcPr>
          <w:p w14:paraId="7273AFAD" w14:textId="35D77BEF" w:rsidR="001E08A2" w:rsidRDefault="001E08A2" w:rsidP="001E08A2">
            <w:pPr>
              <w:spacing w:line="480" w:lineRule="auto"/>
            </w:pPr>
            <w:r>
              <w:t>13.86%</w:t>
            </w:r>
          </w:p>
        </w:tc>
      </w:tr>
      <w:tr w:rsidR="001E08A2" w14:paraId="589B79AF" w14:textId="77777777" w:rsidTr="001E08A2">
        <w:tc>
          <w:tcPr>
            <w:tcW w:w="3397" w:type="dxa"/>
          </w:tcPr>
          <w:p w14:paraId="112115AC" w14:textId="2825FCC3" w:rsidR="001E08A2" w:rsidRDefault="001E08A2" w:rsidP="001E08A2">
            <w:pPr>
              <w:spacing w:line="480" w:lineRule="auto"/>
            </w:pPr>
            <w:r>
              <w:t>Outstanding Loans (FY24)</w:t>
            </w:r>
          </w:p>
        </w:tc>
        <w:tc>
          <w:tcPr>
            <w:tcW w:w="1843" w:type="dxa"/>
          </w:tcPr>
          <w:p w14:paraId="3D4917BD" w14:textId="564B331F" w:rsidR="001E08A2" w:rsidRDefault="001E08A2" w:rsidP="001E08A2">
            <w:pPr>
              <w:spacing w:line="480" w:lineRule="auto"/>
            </w:pPr>
            <w:r w:rsidRPr="00A3551A">
              <w:t>₹28,187</w:t>
            </w:r>
          </w:p>
        </w:tc>
        <w:tc>
          <w:tcPr>
            <w:tcW w:w="1843" w:type="dxa"/>
          </w:tcPr>
          <w:p w14:paraId="3820869A" w14:textId="1DF506C7" w:rsidR="001E08A2" w:rsidRDefault="001E08A2" w:rsidP="001E08A2">
            <w:pPr>
              <w:spacing w:line="480" w:lineRule="auto"/>
            </w:pPr>
            <w:r w:rsidRPr="00A3551A">
              <w:t>₹</w:t>
            </w:r>
            <w:r>
              <w:t>13,303</w:t>
            </w:r>
          </w:p>
        </w:tc>
        <w:tc>
          <w:tcPr>
            <w:tcW w:w="1933" w:type="dxa"/>
          </w:tcPr>
          <w:p w14:paraId="52D88CB9" w14:textId="6E8715AD" w:rsidR="001E08A2" w:rsidRDefault="001E08A2" w:rsidP="001E08A2">
            <w:pPr>
              <w:spacing w:line="480" w:lineRule="auto"/>
            </w:pPr>
            <w:r w:rsidRPr="00A3551A">
              <w:t>₹</w:t>
            </w:r>
            <w:r w:rsidRPr="00584CDC">
              <w:rPr>
                <w:lang w:val="en-GB"/>
              </w:rPr>
              <w:t>5,874</w:t>
            </w:r>
            <w:r>
              <w:rPr>
                <w:lang w:val="en-GB"/>
              </w:rPr>
              <w:t xml:space="preserve"> </w:t>
            </w:r>
          </w:p>
        </w:tc>
      </w:tr>
    </w:tbl>
    <w:p w14:paraId="56C5D033" w14:textId="77777777" w:rsidR="001E08A2" w:rsidRDefault="001E08A2" w:rsidP="001E08A2">
      <w:pPr>
        <w:spacing w:line="480" w:lineRule="auto"/>
      </w:pPr>
    </w:p>
    <w:p w14:paraId="26BB02EF" w14:textId="6D70EF2D" w:rsidR="001E08A2" w:rsidRDefault="001E08A2" w:rsidP="00987120">
      <w:pPr>
        <w:spacing w:line="480" w:lineRule="auto"/>
        <w:jc w:val="center"/>
      </w:pPr>
      <w:r>
        <w:t>Table 1</w:t>
      </w:r>
      <w:r w:rsidR="00DC4345">
        <w:t>2</w:t>
      </w:r>
      <w:r>
        <w:t xml:space="preserve"> Performance of Key Education Loan Banks (Credila, Avanse, PNB)</w:t>
      </w:r>
    </w:p>
    <w:p w14:paraId="5C324B21" w14:textId="77777777" w:rsidR="00987120" w:rsidRDefault="00987120" w:rsidP="00A3551A">
      <w:pPr>
        <w:spacing w:line="480" w:lineRule="auto"/>
      </w:pPr>
    </w:p>
    <w:p w14:paraId="118B4858" w14:textId="3A4B4FDE" w:rsidR="00090FE0" w:rsidRPr="004867D7" w:rsidRDefault="00090FE0" w:rsidP="00A01610">
      <w:pPr>
        <w:spacing w:line="480" w:lineRule="auto"/>
        <w:rPr>
          <w:lang w:val="en-GB"/>
        </w:rPr>
      </w:pPr>
    </w:p>
    <w:tbl>
      <w:tblPr>
        <w:tblStyle w:val="TableGrid"/>
        <w:tblW w:w="0" w:type="auto"/>
        <w:tblLook w:val="04A0" w:firstRow="1" w:lastRow="0" w:firstColumn="1" w:lastColumn="0" w:noHBand="0" w:noVBand="1"/>
      </w:tblPr>
      <w:tblGrid>
        <w:gridCol w:w="3964"/>
        <w:gridCol w:w="4820"/>
      </w:tblGrid>
      <w:tr w:rsidR="00090FE0" w14:paraId="621C5233" w14:textId="77777777" w:rsidTr="00090FE0">
        <w:tc>
          <w:tcPr>
            <w:tcW w:w="3964" w:type="dxa"/>
          </w:tcPr>
          <w:p w14:paraId="2B4F7650" w14:textId="5E801FBE" w:rsidR="00090FE0" w:rsidRPr="00D865DF" w:rsidRDefault="00090FE0" w:rsidP="00090FE0">
            <w:pPr>
              <w:spacing w:line="480" w:lineRule="auto"/>
            </w:pPr>
            <w:r w:rsidRPr="00D865DF">
              <w:rPr>
                <w:rFonts w:eastAsiaTheme="minorHAnsi"/>
                <w:lang w:val="en-GB" w:eastAsia="en-US"/>
                <w14:ligatures w14:val="standardContextual"/>
              </w:rPr>
              <w:t>Programme</w:t>
            </w:r>
          </w:p>
        </w:tc>
        <w:tc>
          <w:tcPr>
            <w:tcW w:w="4820" w:type="dxa"/>
          </w:tcPr>
          <w:p w14:paraId="227A9B94" w14:textId="3B088EB3"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 of educational loans which become NPAs</w:t>
            </w:r>
          </w:p>
        </w:tc>
      </w:tr>
      <w:tr w:rsidR="00090FE0" w14:paraId="4B6A8E78" w14:textId="77777777" w:rsidTr="00090FE0">
        <w:tc>
          <w:tcPr>
            <w:tcW w:w="3964" w:type="dxa"/>
          </w:tcPr>
          <w:p w14:paraId="738A5793" w14:textId="590F4CF7"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 xml:space="preserve">Nursing </w:t>
            </w:r>
          </w:p>
        </w:tc>
        <w:tc>
          <w:tcPr>
            <w:tcW w:w="4820" w:type="dxa"/>
          </w:tcPr>
          <w:p w14:paraId="1D4E9592" w14:textId="5D70EB48" w:rsidR="00090FE0" w:rsidRPr="00D865DF" w:rsidRDefault="00090FE0" w:rsidP="00090FE0">
            <w:pPr>
              <w:spacing w:line="480" w:lineRule="auto"/>
            </w:pPr>
            <w:r w:rsidRPr="00D865DF">
              <w:rPr>
                <w:rFonts w:eastAsiaTheme="minorHAnsi"/>
                <w:lang w:val="en-GB" w:eastAsia="en-US"/>
                <w14:ligatures w14:val="standardContextual"/>
              </w:rPr>
              <w:t>21.28</w:t>
            </w:r>
          </w:p>
        </w:tc>
      </w:tr>
      <w:tr w:rsidR="00090FE0" w14:paraId="0B71816B" w14:textId="77777777" w:rsidTr="00090FE0">
        <w:tc>
          <w:tcPr>
            <w:tcW w:w="3964" w:type="dxa"/>
          </w:tcPr>
          <w:p w14:paraId="51E8673C" w14:textId="39E9CAA1"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 xml:space="preserve">Engineering </w:t>
            </w:r>
          </w:p>
        </w:tc>
        <w:tc>
          <w:tcPr>
            <w:tcW w:w="4820" w:type="dxa"/>
          </w:tcPr>
          <w:p w14:paraId="5BCD5A3D" w14:textId="249AB923" w:rsidR="00090FE0" w:rsidRPr="00D865DF" w:rsidRDefault="00090FE0" w:rsidP="00090FE0">
            <w:pPr>
              <w:spacing w:line="480" w:lineRule="auto"/>
            </w:pPr>
            <w:r w:rsidRPr="00D865DF">
              <w:rPr>
                <w:rFonts w:eastAsiaTheme="minorHAnsi"/>
                <w:lang w:val="en-GB" w:eastAsia="en-US"/>
                <w14:ligatures w14:val="standardContextual"/>
              </w:rPr>
              <w:t>9.76</w:t>
            </w:r>
          </w:p>
        </w:tc>
      </w:tr>
      <w:tr w:rsidR="00090FE0" w14:paraId="5E3A6AD1" w14:textId="77777777" w:rsidTr="00090FE0">
        <w:tc>
          <w:tcPr>
            <w:tcW w:w="3964" w:type="dxa"/>
          </w:tcPr>
          <w:p w14:paraId="1C7E90A8" w14:textId="352079B4"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 xml:space="preserve">Other Professional courses </w:t>
            </w:r>
          </w:p>
        </w:tc>
        <w:tc>
          <w:tcPr>
            <w:tcW w:w="4820" w:type="dxa"/>
          </w:tcPr>
          <w:p w14:paraId="3E804C02" w14:textId="3FFB5B0C" w:rsidR="00090FE0" w:rsidRPr="00D865DF" w:rsidRDefault="00090FE0" w:rsidP="00090FE0">
            <w:pPr>
              <w:spacing w:line="480" w:lineRule="auto"/>
            </w:pPr>
            <w:r w:rsidRPr="00D865DF">
              <w:rPr>
                <w:rFonts w:eastAsiaTheme="minorHAnsi"/>
                <w:lang w:val="en-GB" w:eastAsia="en-US"/>
                <w14:ligatures w14:val="standardContextual"/>
              </w:rPr>
              <w:t>9.49</w:t>
            </w:r>
          </w:p>
        </w:tc>
      </w:tr>
      <w:tr w:rsidR="00090FE0" w14:paraId="2C0AF4A2" w14:textId="77777777" w:rsidTr="00090FE0">
        <w:tc>
          <w:tcPr>
            <w:tcW w:w="3964" w:type="dxa"/>
          </w:tcPr>
          <w:p w14:paraId="0220B88F" w14:textId="5FA39733" w:rsidR="00090FE0" w:rsidRPr="00D865DF" w:rsidRDefault="00090FE0" w:rsidP="00090FE0">
            <w:pPr>
              <w:autoSpaceDE w:val="0"/>
              <w:autoSpaceDN w:val="0"/>
              <w:adjustRightInd w:val="0"/>
              <w:spacing w:line="480" w:lineRule="auto"/>
            </w:pPr>
            <w:r w:rsidRPr="00D865DF">
              <w:rPr>
                <w:rFonts w:eastAsiaTheme="minorHAnsi"/>
                <w:lang w:val="en-GB" w:eastAsia="en-US"/>
                <w14:ligatures w14:val="standardContextual"/>
              </w:rPr>
              <w:t xml:space="preserve">Medical </w:t>
            </w:r>
          </w:p>
        </w:tc>
        <w:tc>
          <w:tcPr>
            <w:tcW w:w="4820" w:type="dxa"/>
          </w:tcPr>
          <w:p w14:paraId="3C54F741" w14:textId="1CC36904"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6.06</w:t>
            </w:r>
          </w:p>
        </w:tc>
      </w:tr>
      <w:tr w:rsidR="00090FE0" w14:paraId="04ED3C67" w14:textId="77777777" w:rsidTr="00090FE0">
        <w:tc>
          <w:tcPr>
            <w:tcW w:w="3964" w:type="dxa"/>
          </w:tcPr>
          <w:p w14:paraId="1D53E09C" w14:textId="3E0E776D" w:rsidR="00090FE0" w:rsidRPr="00D865DF" w:rsidRDefault="00090FE0" w:rsidP="00090FE0">
            <w:pPr>
              <w:autoSpaceDE w:val="0"/>
              <w:autoSpaceDN w:val="0"/>
              <w:adjustRightInd w:val="0"/>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 xml:space="preserve">MBA </w:t>
            </w:r>
          </w:p>
        </w:tc>
        <w:tc>
          <w:tcPr>
            <w:tcW w:w="4820" w:type="dxa"/>
          </w:tcPr>
          <w:p w14:paraId="35DC79D8" w14:textId="5257433D" w:rsidR="00090FE0" w:rsidRPr="00D865DF" w:rsidRDefault="00090FE0" w:rsidP="00090FE0">
            <w:pPr>
              <w:spacing w:line="480" w:lineRule="auto"/>
              <w:rPr>
                <w:rFonts w:eastAsiaTheme="minorHAnsi"/>
                <w:lang w:val="en-GB" w:eastAsia="en-US"/>
                <w14:ligatures w14:val="standardContextual"/>
              </w:rPr>
            </w:pPr>
            <w:r w:rsidRPr="00D865DF">
              <w:rPr>
                <w:rFonts w:eastAsiaTheme="minorHAnsi"/>
                <w:lang w:val="en-GB" w:eastAsia="en-US"/>
                <w14:ligatures w14:val="standardContextual"/>
              </w:rPr>
              <w:t>5.59</w:t>
            </w:r>
          </w:p>
        </w:tc>
      </w:tr>
    </w:tbl>
    <w:p w14:paraId="383DFBDD" w14:textId="77777777" w:rsidR="00090FE0" w:rsidRDefault="00090FE0" w:rsidP="00090FE0">
      <w:pPr>
        <w:spacing w:line="480" w:lineRule="auto"/>
      </w:pPr>
    </w:p>
    <w:p w14:paraId="1006447E" w14:textId="6B3D8779" w:rsidR="00D865DF" w:rsidRDefault="00D865DF" w:rsidP="00987120">
      <w:pPr>
        <w:spacing w:line="480" w:lineRule="auto"/>
        <w:jc w:val="center"/>
      </w:pPr>
      <w:r>
        <w:t xml:space="preserve">Table </w:t>
      </w:r>
      <w:r w:rsidR="00987120">
        <w:t>1</w:t>
      </w:r>
      <w:r w:rsidR="00DC4345">
        <w:t xml:space="preserve">3 </w:t>
      </w:r>
      <w:r>
        <w:t>NPA rate per programme (Chalil)</w:t>
      </w:r>
    </w:p>
    <w:p w14:paraId="6BA6A158" w14:textId="539106F8" w:rsidR="00BB6252" w:rsidRDefault="00BB6252" w:rsidP="00090FE0">
      <w:pPr>
        <w:spacing w:line="480" w:lineRule="auto"/>
        <w:rPr>
          <w:lang w:val="en-GB"/>
        </w:rPr>
      </w:pPr>
    </w:p>
    <w:p w14:paraId="7FB04B01" w14:textId="6778B8BD" w:rsidR="00BB6252" w:rsidRDefault="00BB6252" w:rsidP="00090FE0">
      <w:pPr>
        <w:spacing w:line="480" w:lineRule="auto"/>
        <w:rPr>
          <w:lang w:val="en-GB"/>
        </w:rPr>
      </w:pPr>
    </w:p>
    <w:p w14:paraId="358679D2" w14:textId="1D54069A" w:rsidR="00090FE0" w:rsidRPr="00090FE0" w:rsidRDefault="000A02BC" w:rsidP="00090FE0">
      <w:pPr>
        <w:spacing w:line="480" w:lineRule="auto"/>
        <w:rPr>
          <w:lang w:val="en-GB"/>
        </w:rPr>
      </w:pPr>
      <w:r>
        <w:rPr>
          <w:b/>
          <w:bCs/>
          <w:noProof/>
          <w14:ligatures w14:val="standardContextual"/>
        </w:rPr>
        <w:drawing>
          <wp:anchor distT="0" distB="0" distL="114300" distR="114300" simplePos="0" relativeHeight="251659264" behindDoc="1" locked="0" layoutInCell="1" allowOverlap="1" wp14:anchorId="0EF50390" wp14:editId="25940AB6">
            <wp:simplePos x="0" y="0"/>
            <wp:positionH relativeFrom="column">
              <wp:posOffset>-608965</wp:posOffset>
            </wp:positionH>
            <wp:positionV relativeFrom="paragraph">
              <wp:posOffset>201930</wp:posOffset>
            </wp:positionV>
            <wp:extent cx="7255066" cy="2590800"/>
            <wp:effectExtent l="0" t="0" r="0" b="0"/>
            <wp:wrapTight wrapText="bothSides">
              <wp:wrapPolygon edited="0">
                <wp:start x="0" y="0"/>
                <wp:lineTo x="0" y="21494"/>
                <wp:lineTo x="21553" y="21494"/>
                <wp:lineTo x="21553" y="0"/>
                <wp:lineTo x="0" y="0"/>
              </wp:wrapPolygon>
            </wp:wrapTight>
            <wp:docPr id="1971775544" name="Picture 5" descr="A graph of the number of ban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75544" name="Picture 5" descr="A graph of the number of banks&#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2839"/>
                    <a:stretch/>
                  </pic:blipFill>
                  <pic:spPr bwMode="auto">
                    <a:xfrm>
                      <a:off x="0" y="0"/>
                      <a:ext cx="7255066"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5747" w14:textId="5570CD1F" w:rsidR="0002545D" w:rsidRPr="00BF4E55" w:rsidRDefault="0002545D" w:rsidP="0002545D">
      <w:pPr>
        <w:spacing w:line="480" w:lineRule="auto"/>
      </w:pPr>
    </w:p>
    <w:p w14:paraId="2AC7FA51" w14:textId="657B53D2" w:rsidR="00BF4E55" w:rsidRDefault="000A02BC" w:rsidP="005C168A">
      <w:pPr>
        <w:spacing w:line="480" w:lineRule="auto"/>
        <w:rPr>
          <w:b/>
          <w:bCs/>
        </w:rPr>
      </w:pPr>
      <w:r>
        <w:rPr>
          <w:noProof/>
        </w:rPr>
        <mc:AlternateContent>
          <mc:Choice Requires="wps">
            <w:drawing>
              <wp:anchor distT="0" distB="0" distL="114300" distR="114300" simplePos="0" relativeHeight="251662336" behindDoc="1" locked="0" layoutInCell="1" allowOverlap="1" wp14:anchorId="52486F01" wp14:editId="1C6CA385">
                <wp:simplePos x="0" y="0"/>
                <wp:positionH relativeFrom="column">
                  <wp:posOffset>241300</wp:posOffset>
                </wp:positionH>
                <wp:positionV relativeFrom="paragraph">
                  <wp:posOffset>434975</wp:posOffset>
                </wp:positionV>
                <wp:extent cx="5731510" cy="635"/>
                <wp:effectExtent l="0" t="0" r="0" b="12065"/>
                <wp:wrapTight wrapText="bothSides">
                  <wp:wrapPolygon edited="0">
                    <wp:start x="0" y="0"/>
                    <wp:lineTo x="0" y="0"/>
                    <wp:lineTo x="21538" y="0"/>
                    <wp:lineTo x="21538" y="0"/>
                    <wp:lineTo x="0" y="0"/>
                  </wp:wrapPolygon>
                </wp:wrapTight>
                <wp:docPr id="31920727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580AB7E" w14:textId="4A6D4C02" w:rsidR="00555795" w:rsidRPr="00987120" w:rsidRDefault="00555795" w:rsidP="00555795">
                            <w:pPr>
                              <w:pStyle w:val="Caption"/>
                              <w:jc w:val="center"/>
                              <w:rPr>
                                <w:rFonts w:cs="Times New Roman"/>
                                <w:b/>
                                <w:bCs/>
                                <w:i w:val="0"/>
                                <w:iCs w:val="0"/>
                                <w:noProof/>
                                <w:color w:val="000000" w:themeColor="text1"/>
                                <w:sz w:val="24"/>
                                <w:szCs w:val="24"/>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1</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Trend of Asset Quality in Education Loan Segment (</w:t>
                            </w:r>
                            <w:r w:rsidRPr="00987120">
                              <w:rPr>
                                <w:i w:val="0"/>
                                <w:iCs w:val="0"/>
                                <w:color w:val="000000" w:themeColor="text1"/>
                                <w:sz w:val="24"/>
                                <w:szCs w:val="24"/>
                              </w:rPr>
                              <w:t xml:space="preserve">Banks: GNPA %; NBFCs: Gross Stage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486F01" id="_x0000_t202" coordsize="21600,21600" o:spt="202" path="m,l,21600r21600,l21600,xe">
                <v:stroke joinstyle="miter"/>
                <v:path gradientshapeok="t" o:connecttype="rect"/>
              </v:shapetype>
              <v:shape id="Text Box 1" o:spid="_x0000_s1026" type="#_x0000_t202" style="position:absolute;margin-left:19pt;margin-top:34.25pt;width:45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" stroked="f">
                <v:textbox style="mso-fit-shape-to-text:t" inset="0,0,0,0">
                  <w:txbxContent>
                    <w:p w14:paraId="3580AB7E" w14:textId="4A6D4C02" w:rsidR="00555795" w:rsidRPr="00987120" w:rsidRDefault="00555795" w:rsidP="00555795">
                      <w:pPr>
                        <w:pStyle w:val="Caption"/>
                        <w:jc w:val="center"/>
                        <w:rPr>
                          <w:rFonts w:cs="Times New Roman"/>
                          <w:b/>
                          <w:bCs/>
                          <w:i w:val="0"/>
                          <w:iCs w:val="0"/>
                          <w:noProof/>
                          <w:color w:val="000000" w:themeColor="text1"/>
                          <w:sz w:val="24"/>
                          <w:szCs w:val="24"/>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1</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Trend of Asset Quality in Education Loan Segment (</w:t>
                      </w:r>
                      <w:r w:rsidRPr="00987120">
                        <w:rPr>
                          <w:i w:val="0"/>
                          <w:iCs w:val="0"/>
                          <w:color w:val="000000" w:themeColor="text1"/>
                          <w:sz w:val="24"/>
                          <w:szCs w:val="24"/>
                        </w:rPr>
                        <w:t>Banks: GNPA %; NBFCs: Gross Stage 3%.</w:t>
                      </w:r>
                      <w:r w:rsidRPr="00987120">
                        <w:rPr>
                          <w:i w:val="0"/>
                          <w:iCs w:val="0"/>
                          <w:color w:val="000000" w:themeColor="text1"/>
                          <w:sz w:val="24"/>
                          <w:szCs w:val="24"/>
                        </w:rPr>
                        <w:t xml:space="preserve">) </w:t>
                      </w:r>
                    </w:p>
                  </w:txbxContent>
                </v:textbox>
                <w10:wrap type="tight"/>
              </v:shape>
            </w:pict>
          </mc:Fallback>
        </mc:AlternateContent>
      </w:r>
    </w:p>
    <w:p w14:paraId="65FA374E" w14:textId="12CDDDB5" w:rsidR="004556FF" w:rsidRDefault="004556FF" w:rsidP="005C168A">
      <w:pPr>
        <w:spacing w:line="480" w:lineRule="auto"/>
        <w:rPr>
          <w:b/>
          <w:bCs/>
        </w:rPr>
      </w:pPr>
      <w:r w:rsidRPr="009C6CF9">
        <w:rPr>
          <w:b/>
          <w:bCs/>
        </w:rPr>
        <w:t xml:space="preserve"> </w:t>
      </w:r>
    </w:p>
    <w:p w14:paraId="4744680D" w14:textId="651EEED8" w:rsidR="009C6CF9" w:rsidRDefault="000A02BC">
      <w:pPr>
        <w:rPr>
          <w:u w:val="single"/>
        </w:rPr>
      </w:pPr>
      <w:r>
        <w:rPr>
          <w:noProof/>
        </w:rPr>
        <w:lastRenderedPageBreak/>
        <mc:AlternateContent>
          <mc:Choice Requires="wps">
            <w:drawing>
              <wp:anchor distT="0" distB="0" distL="114300" distR="114300" simplePos="0" relativeHeight="251667456" behindDoc="1" locked="0" layoutInCell="1" allowOverlap="1" wp14:anchorId="5ECC2817" wp14:editId="777A1F8C">
                <wp:simplePos x="0" y="0"/>
                <wp:positionH relativeFrom="column">
                  <wp:posOffset>50800</wp:posOffset>
                </wp:positionH>
                <wp:positionV relativeFrom="paragraph">
                  <wp:posOffset>7893050</wp:posOffset>
                </wp:positionV>
                <wp:extent cx="5731510" cy="635"/>
                <wp:effectExtent l="0" t="0" r="0" b="12065"/>
                <wp:wrapTight wrapText="bothSides">
                  <wp:wrapPolygon edited="0">
                    <wp:start x="0" y="0"/>
                    <wp:lineTo x="0" y="0"/>
                    <wp:lineTo x="21538" y="0"/>
                    <wp:lineTo x="21538" y="0"/>
                    <wp:lineTo x="0" y="0"/>
                  </wp:wrapPolygon>
                </wp:wrapTight>
                <wp:docPr id="46251181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141FF8" w14:textId="22039874" w:rsidR="00555795" w:rsidRPr="00987120" w:rsidRDefault="00555795" w:rsidP="00555795">
                            <w:pPr>
                              <w:pStyle w:val="Caption"/>
                              <w:jc w:val="center"/>
                              <w:rPr>
                                <w:rFonts w:cs="Times New Roman"/>
                                <w:i w:val="0"/>
                                <w:iCs w:val="0"/>
                                <w:noProof/>
                                <w:color w:val="000000" w:themeColor="text1"/>
                                <w:sz w:val="24"/>
                                <w:szCs w:val="24"/>
                                <w:lang w:bidi="ar-SA"/>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2</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Growth in </w:t>
                            </w:r>
                            <w:r w:rsidR="007B48CC">
                              <w:rPr>
                                <w:i w:val="0"/>
                                <w:iCs w:val="0"/>
                                <w:color w:val="000000" w:themeColor="text1"/>
                                <w:sz w:val="24"/>
                                <w:szCs w:val="24"/>
                                <w:lang w:val="en-US"/>
                              </w:rPr>
                              <w:t>Assets Under Management (AUM) and Market Share for NBFCs in Education Loan Market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2817" id="_x0000_s1027" type="#_x0000_t202" style="position:absolute;margin-left:4pt;margin-top:621.5pt;width:451.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" stroked="f">
                <v:textbox style="mso-fit-shape-to-text:t" inset="0,0,0,0">
                  <w:txbxContent>
                    <w:p w14:paraId="45141FF8" w14:textId="22039874" w:rsidR="00555795" w:rsidRPr="00987120" w:rsidRDefault="00555795" w:rsidP="00555795">
                      <w:pPr>
                        <w:pStyle w:val="Caption"/>
                        <w:jc w:val="center"/>
                        <w:rPr>
                          <w:rFonts w:cs="Times New Roman"/>
                          <w:i w:val="0"/>
                          <w:iCs w:val="0"/>
                          <w:noProof/>
                          <w:color w:val="000000" w:themeColor="text1"/>
                          <w:sz w:val="24"/>
                          <w:szCs w:val="24"/>
                          <w:lang w:bidi="ar-SA"/>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2</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Growth in </w:t>
                      </w:r>
                      <w:r w:rsidR="007B48CC">
                        <w:rPr>
                          <w:i w:val="0"/>
                          <w:iCs w:val="0"/>
                          <w:color w:val="000000" w:themeColor="text1"/>
                          <w:sz w:val="24"/>
                          <w:szCs w:val="24"/>
                          <w:lang w:val="en-US"/>
                        </w:rPr>
                        <w:t>Assets Under Management (AUM) and Market Share for NBFCs in Education Loan Market</w:t>
                      </w:r>
                    </w:p>
                  </w:txbxContent>
                </v:textbox>
                <w10:wrap type="tight"/>
              </v:shape>
            </w:pict>
          </mc:Fallback>
        </mc:AlternateContent>
      </w:r>
      <w:r>
        <w:rPr>
          <w:noProof/>
          <w:lang w:bidi="ar-SA"/>
          <w14:ligatures w14:val="standardContextual"/>
        </w:rPr>
        <w:drawing>
          <wp:anchor distT="0" distB="0" distL="114300" distR="114300" simplePos="0" relativeHeight="251677696" behindDoc="1" locked="0" layoutInCell="1" allowOverlap="1" wp14:anchorId="62D82980" wp14:editId="5B71B88A">
            <wp:simplePos x="0" y="0"/>
            <wp:positionH relativeFrom="column">
              <wp:posOffset>-765810</wp:posOffset>
            </wp:positionH>
            <wp:positionV relativeFrom="paragraph">
              <wp:posOffset>4610100</wp:posOffset>
            </wp:positionV>
            <wp:extent cx="7293610" cy="2990850"/>
            <wp:effectExtent l="0" t="0" r="0" b="6350"/>
            <wp:wrapTight wrapText="bothSides">
              <wp:wrapPolygon edited="0">
                <wp:start x="0" y="0"/>
                <wp:lineTo x="0" y="21554"/>
                <wp:lineTo x="21551" y="21554"/>
                <wp:lineTo x="21551" y="0"/>
                <wp:lineTo x="0" y="0"/>
              </wp:wrapPolygon>
            </wp:wrapTight>
            <wp:docPr id="1700940945" name="Picture 7"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40945" name="Picture 7" descr="A graph with numbers and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93610" cy="29908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21D30512" wp14:editId="5DE95B8E">
                <wp:simplePos x="0" y="0"/>
                <wp:positionH relativeFrom="column">
                  <wp:posOffset>0</wp:posOffset>
                </wp:positionH>
                <wp:positionV relativeFrom="paragraph">
                  <wp:posOffset>3563620</wp:posOffset>
                </wp:positionV>
                <wp:extent cx="5731510" cy="635"/>
                <wp:effectExtent l="0" t="0" r="0" b="12065"/>
                <wp:wrapTight wrapText="bothSides">
                  <wp:wrapPolygon edited="0">
                    <wp:start x="0" y="0"/>
                    <wp:lineTo x="0" y="0"/>
                    <wp:lineTo x="21538" y="0"/>
                    <wp:lineTo x="21538" y="0"/>
                    <wp:lineTo x="0" y="0"/>
                  </wp:wrapPolygon>
                </wp:wrapTight>
                <wp:docPr id="6055804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7925A91" w14:textId="1708AB20" w:rsidR="00555795" w:rsidRPr="00987120" w:rsidRDefault="00555795" w:rsidP="00555795">
                            <w:pPr>
                              <w:pStyle w:val="Caption"/>
                              <w:jc w:val="center"/>
                              <w:rPr>
                                <w:rFonts w:cs="Times New Roman"/>
                                <w:i w:val="0"/>
                                <w:iCs w:val="0"/>
                                <w:noProof/>
                                <w:color w:val="000000" w:themeColor="text1"/>
                                <w:sz w:val="24"/>
                                <w:szCs w:val="24"/>
                                <w:u w:val="single"/>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3</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Trend in Loan Book Growth</w:t>
                            </w:r>
                            <w:r w:rsidR="007B48CC">
                              <w:rPr>
                                <w:i w:val="0"/>
                                <w:iCs w:val="0"/>
                                <w:color w:val="000000" w:themeColor="text1"/>
                                <w:sz w:val="24"/>
                                <w:szCs w:val="24"/>
                                <w:lang w:val="en-US"/>
                              </w:rPr>
                              <w:t xml:space="preserve"> (Banks vs. NBFCs)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30512" id="_x0000_s1028" type="#_x0000_t202" style="position:absolute;margin-left:0;margin-top:280.6pt;width:451.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" stroked="f">
                <v:textbox style="mso-fit-shape-to-text:t" inset="0,0,0,0">
                  <w:txbxContent>
                    <w:p w14:paraId="07925A91" w14:textId="1708AB20" w:rsidR="00555795" w:rsidRPr="00987120" w:rsidRDefault="00555795" w:rsidP="00555795">
                      <w:pPr>
                        <w:pStyle w:val="Caption"/>
                        <w:jc w:val="center"/>
                        <w:rPr>
                          <w:rFonts w:cs="Times New Roman"/>
                          <w:i w:val="0"/>
                          <w:iCs w:val="0"/>
                          <w:noProof/>
                          <w:color w:val="000000" w:themeColor="text1"/>
                          <w:sz w:val="24"/>
                          <w:szCs w:val="24"/>
                          <w:u w:val="single"/>
                        </w:rPr>
                      </w:pPr>
                      <w:r w:rsidRPr="00987120">
                        <w:rPr>
                          <w:i w:val="0"/>
                          <w:iCs w:val="0"/>
                          <w:color w:val="000000" w:themeColor="text1"/>
                          <w:sz w:val="24"/>
                          <w:szCs w:val="24"/>
                        </w:rPr>
                        <w:t xml:space="preserve">Figure </w:t>
                      </w:r>
                      <w:r w:rsidRPr="00987120">
                        <w:rPr>
                          <w:i w:val="0"/>
                          <w:iCs w:val="0"/>
                          <w:color w:val="000000" w:themeColor="text1"/>
                          <w:sz w:val="24"/>
                          <w:szCs w:val="24"/>
                        </w:rPr>
                        <w:fldChar w:fldCharType="begin"/>
                      </w:r>
                      <w:r w:rsidRPr="00987120">
                        <w:rPr>
                          <w:i w:val="0"/>
                          <w:iCs w:val="0"/>
                          <w:color w:val="000000" w:themeColor="text1"/>
                          <w:sz w:val="24"/>
                          <w:szCs w:val="24"/>
                        </w:rPr>
                        <w:instrText xml:space="preserve"> SEQ Figure \* ARABIC </w:instrText>
                      </w:r>
                      <w:r w:rsidRPr="00987120">
                        <w:rPr>
                          <w:i w:val="0"/>
                          <w:iCs w:val="0"/>
                          <w:color w:val="000000" w:themeColor="text1"/>
                          <w:sz w:val="24"/>
                          <w:szCs w:val="24"/>
                        </w:rPr>
                        <w:fldChar w:fldCharType="separate"/>
                      </w:r>
                      <w:r w:rsidR="00B27355">
                        <w:rPr>
                          <w:i w:val="0"/>
                          <w:iCs w:val="0"/>
                          <w:noProof/>
                          <w:color w:val="000000" w:themeColor="text1"/>
                          <w:sz w:val="24"/>
                          <w:szCs w:val="24"/>
                        </w:rPr>
                        <w:t>3</w:t>
                      </w:r>
                      <w:r w:rsidRPr="00987120">
                        <w:rPr>
                          <w:i w:val="0"/>
                          <w:iCs w:val="0"/>
                          <w:color w:val="000000" w:themeColor="text1"/>
                          <w:sz w:val="24"/>
                          <w:szCs w:val="24"/>
                        </w:rPr>
                        <w:fldChar w:fldCharType="end"/>
                      </w:r>
                      <w:r w:rsidRPr="00987120">
                        <w:rPr>
                          <w:i w:val="0"/>
                          <w:iCs w:val="0"/>
                          <w:color w:val="000000" w:themeColor="text1"/>
                          <w:sz w:val="24"/>
                          <w:szCs w:val="24"/>
                          <w:lang w:val="en-US"/>
                        </w:rPr>
                        <w:t xml:space="preserve"> Trend in Loan Book Growth</w:t>
                      </w:r>
                      <w:r w:rsidR="007B48CC">
                        <w:rPr>
                          <w:i w:val="0"/>
                          <w:iCs w:val="0"/>
                          <w:color w:val="000000" w:themeColor="text1"/>
                          <w:sz w:val="24"/>
                          <w:szCs w:val="24"/>
                          <w:lang w:val="en-US"/>
                        </w:rPr>
                        <w:t xml:space="preserve"> (Banks vs. NBFCs)</w:t>
                      </w:r>
                    </w:p>
                  </w:txbxContent>
                </v:textbox>
                <w10:wrap type="tight"/>
              </v:shape>
            </w:pict>
          </mc:Fallback>
        </mc:AlternateContent>
      </w:r>
      <w:r>
        <w:rPr>
          <w:noProof/>
          <w:u w:val="single"/>
          <w14:ligatures w14:val="standardContextual"/>
        </w:rPr>
        <w:drawing>
          <wp:anchor distT="0" distB="0" distL="114300" distR="114300" simplePos="0" relativeHeight="251658240" behindDoc="1" locked="0" layoutInCell="1" allowOverlap="1" wp14:anchorId="55DC08C6" wp14:editId="4DC15CB9">
            <wp:simplePos x="0" y="0"/>
            <wp:positionH relativeFrom="column">
              <wp:posOffset>-821690</wp:posOffset>
            </wp:positionH>
            <wp:positionV relativeFrom="paragraph">
              <wp:posOffset>209550</wp:posOffset>
            </wp:positionV>
            <wp:extent cx="7348786" cy="2895600"/>
            <wp:effectExtent l="0" t="0" r="5080" b="0"/>
            <wp:wrapTight wrapText="bothSides">
              <wp:wrapPolygon edited="0">
                <wp:start x="0" y="0"/>
                <wp:lineTo x="0" y="21505"/>
                <wp:lineTo x="21578" y="21505"/>
                <wp:lineTo x="21578" y="0"/>
                <wp:lineTo x="0" y="0"/>
              </wp:wrapPolygon>
            </wp:wrapTight>
            <wp:docPr id="413695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5907" name="Picture 413695907"/>
                    <pic:cNvPicPr/>
                  </pic:nvPicPr>
                  <pic:blipFill>
                    <a:blip r:embed="rId10">
                      <a:extLst>
                        <a:ext uri="{28A0092B-C50C-407E-A947-70E740481C1C}">
                          <a14:useLocalDpi xmlns:a14="http://schemas.microsoft.com/office/drawing/2010/main" val="0"/>
                        </a:ext>
                      </a:extLst>
                    </a:blip>
                    <a:stretch>
                      <a:fillRect/>
                    </a:stretch>
                  </pic:blipFill>
                  <pic:spPr>
                    <a:xfrm>
                      <a:off x="0" y="0"/>
                      <a:ext cx="7348786" cy="2895600"/>
                    </a:xfrm>
                    <a:prstGeom prst="rect">
                      <a:avLst/>
                    </a:prstGeom>
                  </pic:spPr>
                </pic:pic>
              </a:graphicData>
            </a:graphic>
            <wp14:sizeRelH relativeFrom="page">
              <wp14:pctWidth>0</wp14:pctWidth>
            </wp14:sizeRelH>
            <wp14:sizeRelV relativeFrom="page">
              <wp14:pctHeight>0</wp14:pctHeight>
            </wp14:sizeRelV>
          </wp:anchor>
        </w:drawing>
      </w:r>
      <w:r w:rsidR="009C6CF9">
        <w:rPr>
          <w:u w:val="single"/>
        </w:rPr>
        <w:br w:type="page"/>
      </w:r>
    </w:p>
    <w:p w14:paraId="3D9A2029" w14:textId="36A94090" w:rsidR="005C168A" w:rsidRPr="005C168A" w:rsidRDefault="000A02BC" w:rsidP="005C168A">
      <w:pPr>
        <w:spacing w:line="480" w:lineRule="auto"/>
        <w:rPr>
          <w:lang w:bidi="ar-SA"/>
        </w:rPr>
      </w:pPr>
      <w:r>
        <w:rPr>
          <w:noProof/>
          <w:u w:val="single"/>
          <w14:ligatures w14:val="standardContextual"/>
        </w:rPr>
        <w:lastRenderedPageBreak/>
        <w:drawing>
          <wp:anchor distT="0" distB="0" distL="114300" distR="114300" simplePos="0" relativeHeight="251675648" behindDoc="1" locked="0" layoutInCell="1" allowOverlap="1" wp14:anchorId="441F2004" wp14:editId="4C01CA6A">
            <wp:simplePos x="0" y="0"/>
            <wp:positionH relativeFrom="column">
              <wp:posOffset>-914400</wp:posOffset>
            </wp:positionH>
            <wp:positionV relativeFrom="paragraph">
              <wp:posOffset>209550</wp:posOffset>
            </wp:positionV>
            <wp:extent cx="7410614" cy="2381250"/>
            <wp:effectExtent l="0" t="0" r="6350" b="0"/>
            <wp:wrapTight wrapText="bothSides">
              <wp:wrapPolygon edited="0">
                <wp:start x="0" y="0"/>
                <wp:lineTo x="0" y="21427"/>
                <wp:lineTo x="21581" y="21427"/>
                <wp:lineTo x="21581" y="0"/>
                <wp:lineTo x="0" y="0"/>
              </wp:wrapPolygon>
            </wp:wrapTight>
            <wp:docPr id="1787142537" name="Picture 8" descr="A graph of loan loa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42537" name="Picture 8" descr="A graph of loan loans&#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627" t="12238" r="2034"/>
                    <a:stretch/>
                  </pic:blipFill>
                  <pic:spPr bwMode="auto">
                    <a:xfrm>
                      <a:off x="0" y="0"/>
                      <a:ext cx="7410614" cy="2381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0FB037" w14:textId="3C41D135" w:rsidR="000C3C7C" w:rsidRDefault="000A02BC">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73600" behindDoc="1" locked="0" layoutInCell="1" allowOverlap="1" wp14:anchorId="3E043FF8" wp14:editId="7CF265BC">
                <wp:simplePos x="0" y="0"/>
                <wp:positionH relativeFrom="column">
                  <wp:posOffset>48895</wp:posOffset>
                </wp:positionH>
                <wp:positionV relativeFrom="paragraph">
                  <wp:posOffset>7715250</wp:posOffset>
                </wp:positionV>
                <wp:extent cx="5731510" cy="635"/>
                <wp:effectExtent l="0" t="0" r="0" b="12065"/>
                <wp:wrapTight wrapText="bothSides">
                  <wp:wrapPolygon edited="0">
                    <wp:start x="0" y="0"/>
                    <wp:lineTo x="0" y="0"/>
                    <wp:lineTo x="21538" y="0"/>
                    <wp:lineTo x="21538" y="0"/>
                    <wp:lineTo x="0" y="0"/>
                  </wp:wrapPolygon>
                </wp:wrapTight>
                <wp:docPr id="116554699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4313DE" w14:textId="40C347F3" w:rsidR="002B49FB" w:rsidRPr="00987120" w:rsidRDefault="002B49FB" w:rsidP="00987120">
                            <w:pPr>
                              <w:pStyle w:val="Caption"/>
                              <w:jc w:val="center"/>
                              <w:rPr>
                                <w:rFonts w:cs="Times New Roman"/>
                                <w:i w:val="0"/>
                                <w:iCs w:val="0"/>
                                <w:color w:val="000000" w:themeColor="text1"/>
                                <w:sz w:val="24"/>
                                <w:szCs w:val="24"/>
                                <w:lang w:bidi="ar-SA"/>
                              </w:rPr>
                            </w:pPr>
                            <w:r w:rsidRPr="00987120">
                              <w:rPr>
                                <w:i w:val="0"/>
                                <w:iCs w:val="0"/>
                                <w:color w:val="000000" w:themeColor="text1"/>
                                <w:sz w:val="24"/>
                                <w:szCs w:val="24"/>
                              </w:rPr>
                              <w:t xml:space="preserve">Figure </w:t>
                            </w:r>
                            <w:r w:rsidR="00987120" w:rsidRPr="00987120">
                              <w:rPr>
                                <w:i w:val="0"/>
                                <w:iCs w:val="0"/>
                                <w:color w:val="000000" w:themeColor="text1"/>
                                <w:sz w:val="24"/>
                                <w:szCs w:val="24"/>
                              </w:rPr>
                              <w:t xml:space="preserve">5 </w:t>
                            </w:r>
                            <w:r w:rsidRPr="00987120">
                              <w:rPr>
                                <w:i w:val="0"/>
                                <w:iCs w:val="0"/>
                                <w:color w:val="000000" w:themeColor="text1"/>
                                <w:sz w:val="24"/>
                                <w:szCs w:val="24"/>
                                <w:lang w:val="en-US"/>
                              </w:rPr>
                              <w:t>NBFCs’ share in overall education loan market increased from 8% in fiscal 2019 to 24% as of 31st December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43FF8" id="_x0000_s1029" type="#_x0000_t202" style="position:absolute;margin-left:3.85pt;margin-top:607.5pt;width:45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" stroked="f">
                <v:textbox style="mso-fit-shape-to-text:t" inset="0,0,0,0">
                  <w:txbxContent>
                    <w:p w14:paraId="104313DE" w14:textId="40C347F3" w:rsidR="002B49FB" w:rsidRPr="00987120" w:rsidRDefault="002B49FB" w:rsidP="00987120">
                      <w:pPr>
                        <w:pStyle w:val="Caption"/>
                        <w:jc w:val="center"/>
                        <w:rPr>
                          <w:rFonts w:cs="Times New Roman"/>
                          <w:i w:val="0"/>
                          <w:iCs w:val="0"/>
                          <w:color w:val="000000" w:themeColor="text1"/>
                          <w:sz w:val="24"/>
                          <w:szCs w:val="24"/>
                          <w:lang w:bidi="ar-SA"/>
                        </w:rPr>
                      </w:pPr>
                      <w:r w:rsidRPr="00987120">
                        <w:rPr>
                          <w:i w:val="0"/>
                          <w:iCs w:val="0"/>
                          <w:color w:val="000000" w:themeColor="text1"/>
                          <w:sz w:val="24"/>
                          <w:szCs w:val="24"/>
                        </w:rPr>
                        <w:t xml:space="preserve">Figure </w:t>
                      </w:r>
                      <w:r w:rsidR="00987120" w:rsidRPr="00987120">
                        <w:rPr>
                          <w:i w:val="0"/>
                          <w:iCs w:val="0"/>
                          <w:color w:val="000000" w:themeColor="text1"/>
                          <w:sz w:val="24"/>
                          <w:szCs w:val="24"/>
                        </w:rPr>
                        <w:t xml:space="preserve">5 </w:t>
                      </w:r>
                      <w:r w:rsidRPr="00987120">
                        <w:rPr>
                          <w:i w:val="0"/>
                          <w:iCs w:val="0"/>
                          <w:color w:val="000000" w:themeColor="text1"/>
                          <w:sz w:val="24"/>
                          <w:szCs w:val="24"/>
                          <w:lang w:val="en-US"/>
                        </w:rPr>
                        <w:t>NBFCs’ share in overall education loan market increased from 8% in fiscal 2019 to 24% as of 31st December</w:t>
                      </w:r>
                    </w:p>
                  </w:txbxContent>
                </v:textbox>
                <w10:wrap type="tight"/>
              </v:shape>
            </w:pict>
          </mc:Fallback>
        </mc:AlternateContent>
      </w:r>
      <w:r>
        <w:rPr>
          <w:noProof/>
          <w:lang w:bidi="ar-SA"/>
          <w14:ligatures w14:val="standardContextual"/>
        </w:rPr>
        <w:drawing>
          <wp:anchor distT="0" distB="0" distL="114300" distR="114300" simplePos="0" relativeHeight="251671552" behindDoc="1" locked="0" layoutInCell="1" allowOverlap="1" wp14:anchorId="3A72C955" wp14:editId="40339581">
            <wp:simplePos x="0" y="0"/>
            <wp:positionH relativeFrom="column">
              <wp:posOffset>-608131</wp:posOffset>
            </wp:positionH>
            <wp:positionV relativeFrom="paragraph">
              <wp:posOffset>4806315</wp:posOffset>
            </wp:positionV>
            <wp:extent cx="7103993" cy="2354093"/>
            <wp:effectExtent l="0" t="0" r="0" b="0"/>
            <wp:wrapTight wrapText="bothSides">
              <wp:wrapPolygon edited="0">
                <wp:start x="0" y="0"/>
                <wp:lineTo x="0" y="21443"/>
                <wp:lineTo x="21548" y="21443"/>
                <wp:lineTo x="21548" y="0"/>
                <wp:lineTo x="0" y="0"/>
              </wp:wrapPolygon>
            </wp:wrapTight>
            <wp:docPr id="1538410530" name="Picture 9" descr="A graph of a number of ban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10530" name="Picture 9" descr="A graph of a number of bank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103993" cy="235409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76E2F450" wp14:editId="036E149D">
                <wp:simplePos x="0" y="0"/>
                <wp:positionH relativeFrom="column">
                  <wp:posOffset>-44450</wp:posOffset>
                </wp:positionH>
                <wp:positionV relativeFrom="paragraph">
                  <wp:posOffset>2844800</wp:posOffset>
                </wp:positionV>
                <wp:extent cx="5731510" cy="635"/>
                <wp:effectExtent l="0" t="0" r="0" b="12065"/>
                <wp:wrapTight wrapText="bothSides">
                  <wp:wrapPolygon edited="0">
                    <wp:start x="0" y="0"/>
                    <wp:lineTo x="0" y="0"/>
                    <wp:lineTo x="21538" y="0"/>
                    <wp:lineTo x="21538" y="0"/>
                    <wp:lineTo x="0" y="0"/>
                  </wp:wrapPolygon>
                </wp:wrapTight>
                <wp:docPr id="166351268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200912" w14:textId="0935887A" w:rsidR="00555795" w:rsidRPr="00987120" w:rsidRDefault="00555795" w:rsidP="00555795">
                            <w:pPr>
                              <w:pStyle w:val="Caption"/>
                              <w:jc w:val="center"/>
                              <w:rPr>
                                <w:rFonts w:cs="Times New Roman"/>
                                <w:i w:val="0"/>
                                <w:iCs w:val="0"/>
                                <w:noProof/>
                                <w:color w:val="000000" w:themeColor="text1"/>
                                <w:sz w:val="24"/>
                                <w:szCs w:val="24"/>
                                <w:u w:val="single"/>
                              </w:rPr>
                            </w:pPr>
                            <w:r w:rsidRPr="00987120">
                              <w:rPr>
                                <w:i w:val="0"/>
                                <w:iCs w:val="0"/>
                                <w:color w:val="000000" w:themeColor="text1"/>
                                <w:sz w:val="24"/>
                                <w:szCs w:val="24"/>
                              </w:rPr>
                              <w:t xml:space="preserve">Figure 4 </w:t>
                            </w:r>
                            <w:r w:rsidRPr="00987120">
                              <w:rPr>
                                <w:i w:val="0"/>
                                <w:iCs w:val="0"/>
                                <w:color w:val="000000" w:themeColor="text1"/>
                                <w:sz w:val="24"/>
                                <w:szCs w:val="24"/>
                                <w:lang w:val="en-US"/>
                              </w:rPr>
                              <w:t>NPA% of personal loans and education loans for NBFCs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2F450" id="_x0000_s1030" type="#_x0000_t202" style="position:absolute;margin-left:-3.5pt;margin-top:224pt;width:451.3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" stroked="f">
                <v:textbox style="mso-fit-shape-to-text:t" inset="0,0,0,0">
                  <w:txbxContent>
                    <w:p w14:paraId="49200912" w14:textId="0935887A" w:rsidR="00555795" w:rsidRPr="00987120" w:rsidRDefault="00555795" w:rsidP="00555795">
                      <w:pPr>
                        <w:pStyle w:val="Caption"/>
                        <w:jc w:val="center"/>
                        <w:rPr>
                          <w:rFonts w:cs="Times New Roman"/>
                          <w:i w:val="0"/>
                          <w:iCs w:val="0"/>
                          <w:noProof/>
                          <w:color w:val="000000" w:themeColor="text1"/>
                          <w:sz w:val="24"/>
                          <w:szCs w:val="24"/>
                          <w:u w:val="single"/>
                        </w:rPr>
                      </w:pPr>
                      <w:r w:rsidRPr="00987120">
                        <w:rPr>
                          <w:i w:val="0"/>
                          <w:iCs w:val="0"/>
                          <w:color w:val="000000" w:themeColor="text1"/>
                          <w:sz w:val="24"/>
                          <w:szCs w:val="24"/>
                        </w:rPr>
                        <w:t xml:space="preserve">Figure 4 </w:t>
                      </w:r>
                      <w:r w:rsidRPr="00987120">
                        <w:rPr>
                          <w:i w:val="0"/>
                          <w:iCs w:val="0"/>
                          <w:color w:val="000000" w:themeColor="text1"/>
                          <w:sz w:val="24"/>
                          <w:szCs w:val="24"/>
                          <w:lang w:val="en-US"/>
                        </w:rPr>
                        <w:t>NPA% of personal loans and education loans for NBFCs</w:t>
                      </w:r>
                    </w:p>
                  </w:txbxContent>
                </v:textbox>
                <w10:wrap type="tight"/>
              </v:shape>
            </w:pict>
          </mc:Fallback>
        </mc:AlternateContent>
      </w:r>
      <w:r w:rsidR="000C3C7C">
        <w:br w:type="page"/>
      </w:r>
    </w:p>
    <w:p w14:paraId="43088E0F" w14:textId="6F1B000B" w:rsidR="003C1D3E" w:rsidRPr="007E60B6" w:rsidRDefault="005C168A" w:rsidP="007E60B6">
      <w:pPr>
        <w:pStyle w:val="Heading1"/>
      </w:pPr>
      <w:bookmarkStart w:id="4" w:name="_Toc201361311"/>
      <w:r w:rsidRPr="005C168A">
        <w:lastRenderedPageBreak/>
        <w:t>Discussion</w:t>
      </w:r>
      <w:bookmarkEnd w:id="4"/>
    </w:p>
    <w:p w14:paraId="0F8FF5D0" w14:textId="46D2DEE2" w:rsidR="003C1D3E" w:rsidRDefault="003C1D3E" w:rsidP="00A56CF2">
      <w:pPr>
        <w:spacing w:line="480" w:lineRule="auto"/>
        <w:rPr>
          <w:sz w:val="18"/>
          <w:szCs w:val="18"/>
        </w:rPr>
      </w:pPr>
    </w:p>
    <w:p w14:paraId="3D1A6BB2" w14:textId="77777777" w:rsidR="003C1D3E" w:rsidRDefault="003C1D3E" w:rsidP="00A56CF2">
      <w:pPr>
        <w:spacing w:line="480" w:lineRule="auto"/>
        <w:rPr>
          <w:b/>
          <w:bCs/>
        </w:rPr>
      </w:pPr>
      <w:r>
        <w:rPr>
          <w:b/>
          <w:bCs/>
        </w:rPr>
        <w:t>NBFCs vs. SCBs in the Education Sector</w:t>
      </w:r>
    </w:p>
    <w:p w14:paraId="0BC54E0A" w14:textId="77777777" w:rsidR="00CF4A5B" w:rsidRDefault="003C1D3E" w:rsidP="00A56CF2">
      <w:pPr>
        <w:spacing w:line="480" w:lineRule="auto"/>
      </w:pPr>
      <w:r>
        <w:t>Before understanding the issues of accessibility, affordability and performance of education loans it is crucial to understand the differences between the models of the SCBs vs. the NBFCs in providing these loans</w:t>
      </w:r>
      <w:r w:rsidR="00C44A48">
        <w:t xml:space="preserve">. </w:t>
      </w:r>
      <w:r w:rsidR="00AC3E4B">
        <w:t xml:space="preserve">Overall, NBFC loans are more efficiently disbursed (Table 12), providing a complete online process. However, this provides an additional barrier to low and middle-income students  who might not be completely digitally literate. The reliance on digital platforms of NBFCs thus poses a potent challenge to such students. Additionally, recent initiatives by the Government of India such as the PM Vidyalakshmi Portal (Table 12) and the transition to an online loan application, while increasing the efficiency for those able to navigate the portal, can also impede students without a stable network, or the required devices, above the aforementioned digital literacy. Thus, while such government measures aim to increase access to education loans through the MEL scheme, it might exclude the most vulnerable populations as a result. </w:t>
      </w:r>
    </w:p>
    <w:p w14:paraId="6B444BCF" w14:textId="77777777" w:rsidR="00447323" w:rsidRDefault="00447323" w:rsidP="00A56CF2">
      <w:pPr>
        <w:spacing w:line="480" w:lineRule="auto"/>
      </w:pPr>
    </w:p>
    <w:p w14:paraId="77435EDA" w14:textId="23E03454" w:rsidR="00CF4A5B" w:rsidRDefault="00AC3E4B" w:rsidP="00A56CF2">
      <w:pPr>
        <w:spacing w:line="480" w:lineRule="auto"/>
      </w:pPr>
      <w:r>
        <w:t>The operational inefficiency in PSBs through the manual backend process sometimes leads to customers to drop out before the loan is processed, reducing the efficacy of government programmes as these students are forced to resort to other Private Banks or NBFCs, charging higher interest rates.</w:t>
      </w:r>
      <w:r w:rsidR="00700BA5">
        <w:t xml:space="preserve"> This includes large wait times, physical KYC documentation and co-applicant and document verification.</w:t>
      </w:r>
      <w:r w:rsidR="00CF4A5B">
        <w:t xml:space="preserve"> </w:t>
      </w:r>
      <w:r w:rsidR="00F66875">
        <w:t>PSBs can take as long as 30 days from the loan application date to disbursal, while NBFCs average 4-5 days, offering a significant advantage, especially to those who require loans immediately.</w:t>
      </w:r>
      <w:r w:rsidR="0036481F">
        <w:t xml:space="preserve"> </w:t>
      </w:r>
    </w:p>
    <w:p w14:paraId="445D27DB" w14:textId="77777777" w:rsidR="00CF4A5B" w:rsidRDefault="00CF4A5B" w:rsidP="00A56CF2">
      <w:pPr>
        <w:spacing w:line="480" w:lineRule="auto"/>
      </w:pPr>
    </w:p>
    <w:p w14:paraId="4E939242" w14:textId="77777777" w:rsidR="00CF4A5B" w:rsidRDefault="00CF4A5B" w:rsidP="00A56CF2">
      <w:pPr>
        <w:spacing w:line="480" w:lineRule="auto"/>
      </w:pPr>
    </w:p>
    <w:p w14:paraId="569C541D" w14:textId="50398440" w:rsidR="00F66875" w:rsidRDefault="0036481F" w:rsidP="00A56CF2">
      <w:pPr>
        <w:spacing w:line="480" w:lineRule="auto"/>
      </w:pPr>
      <w:r>
        <w:lastRenderedPageBreak/>
        <w:t>Lastly, while NBFCs are able to provide their services to areas where their branch is not located through their online customer base, PSBs are unable to access this benefit due to their reliance on offline procedures. Thus, populations from rural and other underrepresented areas by bank branches may have to travel far to receive education loan</w:t>
      </w:r>
      <w:r w:rsidR="00CF4A5B">
        <w:t>.</w:t>
      </w:r>
      <w:r>
        <w:t xml:space="preserve"> </w:t>
      </w:r>
    </w:p>
    <w:p w14:paraId="42F9B4F1" w14:textId="77777777" w:rsidR="003957D4" w:rsidRDefault="003957D4" w:rsidP="00A56CF2">
      <w:pPr>
        <w:spacing w:line="480" w:lineRule="auto"/>
      </w:pPr>
    </w:p>
    <w:p w14:paraId="3A392377" w14:textId="77777777" w:rsidR="004F53A5" w:rsidRDefault="003957D4" w:rsidP="004C556F">
      <w:pPr>
        <w:spacing w:line="480" w:lineRule="auto"/>
      </w:pPr>
      <w:r>
        <w:t xml:space="preserve">NBFCs have steadily grown in market share, and loan book (Figure 2 and 3), estimated to have a market share of 18.6% and loan book growth of 43.3% (compared to SCBs’ 5.9% growth) as of FY23. </w:t>
      </w:r>
      <w:r w:rsidR="00CE1ACA">
        <w:t xml:space="preserve">As of December 2023, their market share had already grown to 24% (Figure 5) and as the demand for higher education, especially abroad, skyrockets in India, in tandem with the Government’s aims to achieve a GRE of 50% by 2035, NBFCs are likely to increase their market share through their efficient products, and larger loan sizes. </w:t>
      </w:r>
    </w:p>
    <w:p w14:paraId="02C935E9" w14:textId="77777777" w:rsidR="004F53A5" w:rsidRDefault="004F53A5" w:rsidP="004C556F">
      <w:pPr>
        <w:spacing w:line="480" w:lineRule="auto"/>
      </w:pPr>
    </w:p>
    <w:p w14:paraId="0E1C8B93" w14:textId="3D125164" w:rsidR="007E60B6" w:rsidRDefault="000C21DA" w:rsidP="004C556F">
      <w:pPr>
        <w:spacing w:line="480" w:lineRule="auto"/>
      </w:pPr>
      <w:r>
        <w:t xml:space="preserve">However, this growth for NBFCs, till recently, has been limited to the </w:t>
      </w:r>
      <w:r>
        <w:rPr>
          <w:i/>
          <w:iCs/>
        </w:rPr>
        <w:t xml:space="preserve">foreign </w:t>
      </w:r>
      <w:r>
        <w:t xml:space="preserve">higher education market, Credila’s overseas education demand outpacing domestic growth by more than 6x over the last 3 years, as of FY24 (Credila Annual Report – Citation Needed). </w:t>
      </w:r>
      <w:r w:rsidR="003D5163">
        <w:t xml:space="preserve">In Avanse too, only 5.61% of loans disbursed and 2.71% of Assets under Management (AUM) were domestic education loans. This highlights the increasing divide of NBFCs’ tendency to cater to higher-income students aspiring to study abroad, while SCBs, primarily PSBs, cater to domestic education. </w:t>
      </w:r>
      <w:r w:rsidR="001D40B7">
        <w:t>This is problematic as it limits lower-income students from studying abroad, as the pre-requisites to achieve a loan, as discussed below, are extremely non-conducive to their conditions, from collateral requirements to interest rates.</w:t>
      </w:r>
    </w:p>
    <w:p w14:paraId="210A4859" w14:textId="77777777" w:rsidR="007E60B6" w:rsidRDefault="007E60B6">
      <w:r>
        <w:br w:type="page"/>
      </w:r>
    </w:p>
    <w:p w14:paraId="23C75D0C" w14:textId="6A34F49B" w:rsidR="003C1D3E" w:rsidRDefault="00B97AB2" w:rsidP="00A56CF2">
      <w:pPr>
        <w:spacing w:line="480" w:lineRule="auto"/>
        <w:rPr>
          <w:b/>
          <w:bCs/>
        </w:rPr>
      </w:pPr>
      <w:r w:rsidRPr="00B97AB2">
        <w:rPr>
          <w:b/>
          <w:bCs/>
        </w:rPr>
        <w:lastRenderedPageBreak/>
        <w:t>Accessibility</w:t>
      </w:r>
      <w:r w:rsidR="00191FA7">
        <w:rPr>
          <w:b/>
          <w:bCs/>
        </w:rPr>
        <w:t xml:space="preserve"> and Affordabili</w:t>
      </w:r>
      <w:r w:rsidR="00003425">
        <w:rPr>
          <w:b/>
          <w:bCs/>
        </w:rPr>
        <w:t xml:space="preserve">ty </w:t>
      </w:r>
    </w:p>
    <w:p w14:paraId="79179616" w14:textId="283D3128" w:rsidR="00B97AB2" w:rsidRDefault="00B97AB2" w:rsidP="00A56CF2">
      <w:pPr>
        <w:spacing w:line="480" w:lineRule="auto"/>
      </w:pPr>
      <w:r>
        <w:t xml:space="preserve">There is a clear distinction in the model of education loans for NBFCs vs. Scheduled Commercial Banks (SCBs) under the IBA, especially PSBs. Through the Model Education Loan Scheme, SCBs waive collateral requirements for loans upto Rs. 7.5L (Table 1) which is extremely effective in catering to low and middle-income students. This disposition of PSBs to serve lower and middle-income students is reflected in the Average Ticket Size (ATS) of SBI loans as 12.25 Lakh, whereas Credila’s ATS for FY24 was 26.28 Lakh (Table 2). </w:t>
      </w:r>
    </w:p>
    <w:p w14:paraId="4223EC1E" w14:textId="77777777" w:rsidR="001F599A" w:rsidRDefault="001F599A" w:rsidP="00A56CF2">
      <w:pPr>
        <w:spacing w:line="480" w:lineRule="auto"/>
      </w:pPr>
    </w:p>
    <w:p w14:paraId="2184E275" w14:textId="6B357A0B" w:rsidR="007E60B6" w:rsidRDefault="00B97AB2" w:rsidP="00A56CF2">
      <w:pPr>
        <w:spacing w:line="480" w:lineRule="auto"/>
      </w:pPr>
      <w:r>
        <w:t xml:space="preserve">The inaccessibility of NBFC’s education loans to lower income students is due to high co-signer income requirements </w:t>
      </w:r>
      <w:r w:rsidR="007B7F0E">
        <w:t>of</w:t>
      </w:r>
      <w:r>
        <w:t xml:space="preserve"> </w:t>
      </w:r>
      <w:r w:rsidR="007E22DD">
        <w:t>around 3.6</w:t>
      </w:r>
      <w:r>
        <w:t xml:space="preserve"> Lakh</w:t>
      </w:r>
      <w:r w:rsidR="007B7F0E">
        <w:t xml:space="preserve"> p.a.</w:t>
      </w:r>
      <w:r w:rsidR="007E22DD">
        <w:t xml:space="preserve"> for domestic loans</w:t>
      </w:r>
      <w:r>
        <w:t xml:space="preserve">, </w:t>
      </w:r>
      <w:r w:rsidR="00216118">
        <w:t xml:space="preserve">(Table </w:t>
      </w:r>
      <w:r w:rsidR="00DB45DB">
        <w:t>3</w:t>
      </w:r>
      <w:r w:rsidR="00216118">
        <w:t xml:space="preserve">) </w:t>
      </w:r>
      <w:r w:rsidR="00C23CC6">
        <w:t>oftentimes</w:t>
      </w:r>
      <w:r>
        <w:t xml:space="preserve"> </w:t>
      </w:r>
      <w:r w:rsidR="00940BCF">
        <w:t xml:space="preserve">even </w:t>
      </w:r>
      <w:r w:rsidR="009B5F7B">
        <w:t>higher</w:t>
      </w:r>
      <w:r w:rsidR="00216118">
        <w:t>,</w:t>
      </w:r>
      <w:r>
        <w:t xml:space="preserve"> the requirement of a strong academic and credit history, and collateral requirements. </w:t>
      </w:r>
      <w:r w:rsidR="007D3BB6">
        <w:t xml:space="preserve">NBFCs vary interest rate, maximum loan amounts and co-applicant’s minimum income based on credit history and academic scores, which SCBs, especially PSBs, refrain from. This is reflected in lower interest rates for higher GRE scores (Table </w:t>
      </w:r>
      <w:r w:rsidR="00DB45DB">
        <w:t>4</w:t>
      </w:r>
      <w:r w:rsidR="007D3BB6">
        <w:t>), with GRE scores above 310 paying 11.25%, and GRE scores of 285 paying as high as 14% to NBFCs.</w:t>
      </w:r>
      <w:r w:rsidR="00E10AEE">
        <w:t xml:space="preserve"> While specific data for varied interest rates for domestic higher education is unavailable, the structure for US Education Loans is likely mirrored and highlights academic background as a barrier to </w:t>
      </w:r>
      <w:r w:rsidR="00534922">
        <w:t>accessing larger</w:t>
      </w:r>
      <w:r w:rsidR="00E10AEE">
        <w:t xml:space="preserve"> loans. This </w:t>
      </w:r>
      <w:r w:rsidR="00534922">
        <w:t>barrier is</w:t>
      </w:r>
      <w:r w:rsidR="00E10AEE">
        <w:t xml:space="preserve"> </w:t>
      </w:r>
      <w:r w:rsidR="00534922">
        <w:t>furthered</w:t>
      </w:r>
      <w:r w:rsidR="00E10AEE">
        <w:t xml:space="preserve"> </w:t>
      </w:r>
      <w:r w:rsidR="005A1B0E">
        <w:t>through</w:t>
      </w:r>
      <w:r w:rsidR="00E10AEE">
        <w:t xml:space="preserve"> the co-applicant minimum income varying from 3L p.a. and above, depending on credit score, university enrolment and academic scores. </w:t>
      </w:r>
      <w:r w:rsidR="008A6A5E">
        <w:t xml:space="preserve">This is contrasted by PSBs, who do not factor in academic history nearly as strongly while considering interest rates (citation needed), especially for lower loan amounts. Additionally, under the </w:t>
      </w:r>
      <w:r w:rsidR="00884657">
        <w:t>CGFSEL</w:t>
      </w:r>
      <w:r w:rsidR="008A6A5E">
        <w:t xml:space="preserve"> by the Government of India, PSBs and Private Banks under the IBA Model Education Loan Scheme offer loans without collateral requirement (under 7.5L) to students pursuing domestic higher education. While this is beneficial in increasing accessibility, 7.5L is often less for a quality higher education, and thus lower and middle </w:t>
      </w:r>
      <w:r w:rsidR="008A6A5E">
        <w:lastRenderedPageBreak/>
        <w:t>income students seeking to attend prestigious institutions too require higher loans, though they lack the required collateral in assets</w:t>
      </w:r>
      <w:r w:rsidR="00F51D1C">
        <w:t xml:space="preserve"> required to attain such large loans from PSBs</w:t>
      </w:r>
      <w:r w:rsidR="008A6A5E">
        <w:t>. This exposes the access barrier</w:t>
      </w:r>
      <w:r w:rsidR="00F51D1C">
        <w:t xml:space="preserve"> - </w:t>
      </w:r>
      <w:r w:rsidR="008A6A5E">
        <w:t>while NBFCs offer unsecured loans up till 50-70L, these products often structurally lock out lower income students</w:t>
      </w:r>
      <w:r w:rsidR="00F51D1C">
        <w:t xml:space="preserve"> as discussed.</w:t>
      </w:r>
    </w:p>
    <w:p w14:paraId="7CA669C6" w14:textId="77777777" w:rsidR="007E60B6" w:rsidRDefault="007E60B6" w:rsidP="00A56CF2">
      <w:pPr>
        <w:spacing w:line="480" w:lineRule="auto"/>
      </w:pPr>
    </w:p>
    <w:p w14:paraId="472050AE" w14:textId="4E73628E" w:rsidR="00947102" w:rsidRDefault="0027452D" w:rsidP="00A56CF2">
      <w:pPr>
        <w:spacing w:line="480" w:lineRule="auto"/>
      </w:pPr>
      <w:r>
        <w:t xml:space="preserve"> </w:t>
      </w:r>
      <w:r w:rsidR="004C556F">
        <w:t xml:space="preserve">The Government of India Model Education Loan (MEL) Scheme notably increases the affordability of domestic higher education for students. A low-income student (income below 4.5L) with a 10L loan for 5 years (excluding period of study), can avail CSIS and the 3% subvention facilitated by the Government paying only a total of 11.8L as repayment, while a high-income student would pay 15.29L, at the same conditions (Table 8). </w:t>
      </w:r>
      <w:r w:rsidR="00D13DBB">
        <w:t>Taken further, through the Credila NBFC model, without interest capitalisation, the student would pay 17.24L in total repayments.</w:t>
      </w:r>
      <w:r w:rsidR="00EE5190">
        <w:t xml:space="preserve"> However, the problem of interest capitalisation is worth noting while contrasting NBFCs and SCB education loan model</w:t>
      </w:r>
      <w:r w:rsidR="002F714A">
        <w:t xml:space="preserve">, discussed in detail later. </w:t>
      </w:r>
    </w:p>
    <w:p w14:paraId="3E9C0CE3" w14:textId="77777777" w:rsidR="001F599A" w:rsidRDefault="001F599A" w:rsidP="00A56CF2">
      <w:pPr>
        <w:spacing w:line="480" w:lineRule="auto"/>
      </w:pPr>
    </w:p>
    <w:p w14:paraId="5FEED1F5" w14:textId="4B991E24" w:rsidR="007E60B6" w:rsidRDefault="00EE5190" w:rsidP="00A56CF2">
      <w:pPr>
        <w:spacing w:line="480" w:lineRule="auto"/>
      </w:pPr>
      <w:r>
        <w:t xml:space="preserve">While NBFCs such as Credila and Avanse mandate the payment of Simple Interest during the moratorium period, SCBs have a deferred payment with interest capitalisation. The payment of interest during the moratorium on one hand brings financial awareness in student’s life, reduces EMI/month (25.4K in Private Banks with interest capitalization vs. 22.4K in Credila without interest capitalization) which means a reduced burden after moratorium period, and is said to play a role in NBFCs’ low NPA </w:t>
      </w:r>
      <w:r w:rsidR="00E676D1">
        <w:t>rates</w:t>
      </w:r>
      <w:r>
        <w:t xml:space="preserve"> (Table 13) </w:t>
      </w:r>
      <w:r w:rsidR="00E676D1">
        <w:t>compared to PSBs like PNB</w:t>
      </w:r>
      <w:r w:rsidR="00F941C8">
        <w:t>.</w:t>
      </w:r>
    </w:p>
    <w:p w14:paraId="3A344178" w14:textId="01C062DA" w:rsidR="007068E0" w:rsidRDefault="00FD68F7" w:rsidP="00A56CF2">
      <w:pPr>
        <w:spacing w:line="480" w:lineRule="auto"/>
      </w:pPr>
      <w:r>
        <w:t>However, lower</w:t>
      </w:r>
      <w:r w:rsidR="00383616">
        <w:t xml:space="preserve"> income students, especially those who are unable to get a high-paying job during their study period (more typical of PSB beneficiaries than NBFC beneficiaries) might struggle with interest payments during their education period</w:t>
      </w:r>
      <w:r w:rsidR="00D669A7">
        <w:t>, and thus PSBs prefer interest capitalization</w:t>
      </w:r>
      <w:r w:rsidR="00383616">
        <w:t xml:space="preserve">. </w:t>
      </w:r>
      <w:r w:rsidR="00DF6D5B">
        <w:t xml:space="preserve">For those who do not qualify for the CSIS subsidy, though, capitalization results </w:t>
      </w:r>
      <w:r w:rsidR="00064DA2">
        <w:t>in higher EMI cost</w:t>
      </w:r>
      <w:r w:rsidR="009D691F">
        <w:t>.</w:t>
      </w:r>
      <w:r w:rsidR="00064DA2">
        <w:t xml:space="preserve">. </w:t>
      </w:r>
      <w:r w:rsidR="004B0108">
        <w:t>The</w:t>
      </w:r>
      <w:r w:rsidR="00064DA2">
        <w:t xml:space="preserve"> NBFC requirement to prevent interest capitalization </w:t>
      </w:r>
      <w:r w:rsidR="002F714A">
        <w:t>although</w:t>
      </w:r>
      <w:r w:rsidR="00420BCE">
        <w:t xml:space="preserve"> </w:t>
      </w:r>
      <w:r w:rsidR="00420BCE">
        <w:lastRenderedPageBreak/>
        <w:t xml:space="preserve">oftentimes </w:t>
      </w:r>
      <w:r w:rsidR="00064DA2">
        <w:t xml:space="preserve">seems more favourable than Private Banks’ deferred payment. </w:t>
      </w:r>
      <w:r w:rsidR="002F714A">
        <w:t xml:space="preserve"> </w:t>
      </w:r>
      <w:r w:rsidR="00064DA2">
        <w:t xml:space="preserve">Further, NBFCs even allow EMI payments on the principal amount during education period, which further reduces </w:t>
      </w:r>
      <w:r w:rsidR="008551BA">
        <w:t>burden of repayment</w:t>
      </w:r>
      <w:r w:rsidR="00064DA2">
        <w:t xml:space="preserve">, especially for middle and high income students. </w:t>
      </w:r>
      <w:r w:rsidR="006E269D">
        <w:t xml:space="preserve">This flexibility increases the attractiveness of </w:t>
      </w:r>
      <w:r w:rsidR="007E60B6">
        <w:t>NBFC loans.</w:t>
      </w:r>
      <w:r w:rsidR="006E269D">
        <w:t xml:space="preserve"> </w:t>
      </w:r>
    </w:p>
    <w:p w14:paraId="26AA959E" w14:textId="169169FA" w:rsidR="00447323" w:rsidRDefault="00447323" w:rsidP="00A56CF2">
      <w:pPr>
        <w:spacing w:line="480" w:lineRule="auto"/>
      </w:pPr>
      <w:r>
        <w:t xml:space="preserve">As 35% of first-time education loan applications in India face rejection (per RBI estimations) due to incomplete documentation, these documentation problems are likely to be more common among lower income people due to: inadequate income proof (lacking salary slips or ITR returns – if they are employed in the informal sector or self-employed) or weak or absent creditor history (no CIBIL files). Such records are treated as insufficient documentation by NBFCs and private banks, and oftentimes are ground for rejecting loans, or citing unsustainably high interest rates to middle income earners. </w:t>
      </w:r>
    </w:p>
    <w:p w14:paraId="419A5346" w14:textId="77777777" w:rsidR="0020047C" w:rsidRDefault="0020047C" w:rsidP="00A56CF2">
      <w:pPr>
        <w:spacing w:line="480" w:lineRule="auto"/>
      </w:pPr>
    </w:p>
    <w:p w14:paraId="474FD5DA" w14:textId="77777777" w:rsidR="0020047C" w:rsidRDefault="0020047C" w:rsidP="00A56CF2">
      <w:pPr>
        <w:spacing w:line="480" w:lineRule="auto"/>
      </w:pPr>
    </w:p>
    <w:p w14:paraId="131F0257" w14:textId="382203F6" w:rsidR="00F53D12" w:rsidRDefault="00F53D12" w:rsidP="008C4077"/>
    <w:p w14:paraId="0A9FDFDE" w14:textId="77777777" w:rsidR="007068E0" w:rsidRDefault="007068E0">
      <w:pPr>
        <w:rPr>
          <w:b/>
          <w:bCs/>
        </w:rPr>
      </w:pPr>
      <w:r>
        <w:rPr>
          <w:b/>
          <w:bCs/>
        </w:rPr>
        <w:br w:type="page"/>
      </w:r>
    </w:p>
    <w:p w14:paraId="01F81CEA" w14:textId="0FD21C99" w:rsidR="00F53D12" w:rsidRDefault="00F53D12" w:rsidP="00A56CF2">
      <w:pPr>
        <w:spacing w:line="480" w:lineRule="auto"/>
        <w:rPr>
          <w:b/>
          <w:bCs/>
        </w:rPr>
      </w:pPr>
      <w:r>
        <w:rPr>
          <w:b/>
          <w:bCs/>
        </w:rPr>
        <w:lastRenderedPageBreak/>
        <w:t>Performance</w:t>
      </w:r>
    </w:p>
    <w:p w14:paraId="59A9BE84" w14:textId="6F01F23A" w:rsidR="00670C62" w:rsidRDefault="00F53D12" w:rsidP="00A56CF2">
      <w:pPr>
        <w:spacing w:line="480" w:lineRule="auto"/>
      </w:pPr>
      <w:r>
        <w:t xml:space="preserve">The Gross Non-Performing Asset (NPA) rate for education loans is substantially lower for NBFCs such as Credila (0.08%) and Avanse (0.53%), compared to PSBs such as PNB with a 13.86% NPA rate (Table 13). </w:t>
      </w:r>
      <w:r w:rsidR="00602B22">
        <w:t>Even Private Banks’ loans are at a 5.78% NPA rate, far above NBFC quality.</w:t>
      </w:r>
      <w:r w:rsidR="00A70D2B">
        <w:t xml:space="preserve"> Note, this is not solely due to “NBFC” status – NPA% of personal loans stood at 11.2% towards the end of FY24, while NBFCs on average maintained 0.2% education loan NPA in the same time period (Figure 4). These figures consistently demonstrates the superior quality of education loans as an asset, particularly for NBFCs. The high quality of these loans is due to: high security requirements for large loans, rigorous credit and academic</w:t>
      </w:r>
      <w:r w:rsidR="005648A2">
        <w:t xml:space="preserve">  </w:t>
      </w:r>
      <w:r w:rsidR="00A70D2B">
        <w:t xml:space="preserve">background verification, co-borrower income thresholds, and other metrics that ensure NBFC education loanees are primarily higher income earners. </w:t>
      </w:r>
    </w:p>
    <w:p w14:paraId="47442ABF" w14:textId="77777777" w:rsidR="00670C62" w:rsidRDefault="00670C62" w:rsidP="00A56CF2">
      <w:pPr>
        <w:spacing w:line="480" w:lineRule="auto"/>
      </w:pPr>
    </w:p>
    <w:p w14:paraId="3D054FC5" w14:textId="77777777" w:rsidR="007068E0" w:rsidRDefault="007068E0" w:rsidP="00A56CF2">
      <w:pPr>
        <w:spacing w:line="480" w:lineRule="auto"/>
      </w:pPr>
    </w:p>
    <w:p w14:paraId="3DD564F3" w14:textId="0E225ACE" w:rsidR="00F53D12" w:rsidRPr="00F17F7D" w:rsidRDefault="00A70D2B" w:rsidP="00A56CF2">
      <w:pPr>
        <w:spacing w:line="480" w:lineRule="auto"/>
      </w:pPr>
      <w:r>
        <w:t xml:space="preserve">While the NBFC model itself, through efficient customer support, online assistance and regular check-in sessions might improve asset quality, it is the higher-income customers itself that create the substantial difference in NPA % between NBFCs and SCBs. While NBFCs benefit from higher-income earners, SCBs through the MEL and the low security requirements cater to lower income earners. Without security requirements and low family income levels, borrowers from SCBs invariably have higher NPA rates on their loans. </w:t>
      </w:r>
      <w:r w:rsidR="00F17F7D">
        <w:t xml:space="preserve">Additionally, though </w:t>
      </w:r>
      <w:r w:rsidR="00F17F7D" w:rsidRPr="00F17F7D">
        <w:rPr>
          <w:i/>
          <w:iCs/>
        </w:rPr>
        <w:t>guaranteed</w:t>
      </w:r>
      <w:r w:rsidR="00F17F7D">
        <w:rPr>
          <w:i/>
          <w:iCs/>
        </w:rPr>
        <w:t xml:space="preserve"> </w:t>
      </w:r>
      <w:r w:rsidR="00F17F7D">
        <w:t xml:space="preserve">by the Government of India through the </w:t>
      </w:r>
      <w:r w:rsidR="00884657">
        <w:t>CGFSEL</w:t>
      </w:r>
      <w:r w:rsidR="00F17F7D">
        <w:t>, public banks often report incomplete documentation, incorrect information or unreported income slips etc. as reasons where th</w:t>
      </w:r>
      <w:r w:rsidR="0034331B">
        <w:t>e banks aren’t re-imbursed.</w:t>
      </w:r>
    </w:p>
    <w:p w14:paraId="0BFED3E7" w14:textId="77777777" w:rsidR="008C4077" w:rsidRDefault="00BB6252" w:rsidP="008C4077">
      <w:pPr>
        <w:spacing w:line="480" w:lineRule="auto"/>
      </w:pPr>
      <w:r>
        <w:rPr>
          <w:sz w:val="18"/>
          <w:szCs w:val="18"/>
        </w:rPr>
        <w:br w:type="page"/>
      </w:r>
    </w:p>
    <w:p w14:paraId="4A140F19" w14:textId="77777777" w:rsidR="008C4077" w:rsidRDefault="008C4077" w:rsidP="008C4077">
      <w:pPr>
        <w:spacing w:line="480" w:lineRule="auto"/>
      </w:pPr>
      <w:r>
        <w:lastRenderedPageBreak/>
        <w:t>Thus, at the end, with the current education loan landscape in India, there are multiple contentions to be resolved. These include:</w:t>
      </w:r>
    </w:p>
    <w:p w14:paraId="7E94052D" w14:textId="77777777" w:rsidR="008C4077" w:rsidRDefault="008C4077" w:rsidP="008C4077">
      <w:pPr>
        <w:pStyle w:val="ListParagraph"/>
        <w:numPr>
          <w:ilvl w:val="0"/>
          <w:numId w:val="13"/>
        </w:numPr>
        <w:spacing w:line="480" w:lineRule="auto"/>
      </w:pPr>
      <w:r>
        <w:t>Functional gaps (underserved students):</w:t>
      </w:r>
    </w:p>
    <w:p w14:paraId="0F977A0C" w14:textId="77777777" w:rsidR="008C4077" w:rsidRDefault="008C4077" w:rsidP="008C4077">
      <w:pPr>
        <w:pStyle w:val="ListParagraph"/>
        <w:numPr>
          <w:ilvl w:val="1"/>
          <w:numId w:val="13"/>
        </w:numPr>
        <w:spacing w:line="480" w:lineRule="auto"/>
      </w:pPr>
      <w:r>
        <w:t>Low-income meritorious students wishing to study abroad</w:t>
      </w:r>
    </w:p>
    <w:p w14:paraId="4131EB03" w14:textId="77777777" w:rsidR="008C4077" w:rsidRDefault="008C4077" w:rsidP="008C4077">
      <w:pPr>
        <w:pStyle w:val="ListParagraph"/>
        <w:numPr>
          <w:ilvl w:val="1"/>
          <w:numId w:val="13"/>
        </w:numPr>
        <w:spacing w:line="480" w:lineRule="auto"/>
      </w:pPr>
      <w:r>
        <w:t>Low and middle-income students with weak co-signers</w:t>
      </w:r>
    </w:p>
    <w:p w14:paraId="3311A4F6" w14:textId="77777777" w:rsidR="008C4077" w:rsidRDefault="008C4077" w:rsidP="008C4077">
      <w:pPr>
        <w:pStyle w:val="ListParagraph"/>
        <w:numPr>
          <w:ilvl w:val="1"/>
          <w:numId w:val="13"/>
        </w:numPr>
        <w:spacing w:line="480" w:lineRule="auto"/>
      </w:pPr>
      <w:r>
        <w:t>High-income students with weak academic scores</w:t>
      </w:r>
    </w:p>
    <w:p w14:paraId="46F24729" w14:textId="77777777" w:rsidR="008C4077" w:rsidRDefault="008C4077" w:rsidP="008C4077">
      <w:pPr>
        <w:pStyle w:val="ListParagraph"/>
        <w:numPr>
          <w:ilvl w:val="0"/>
          <w:numId w:val="13"/>
        </w:numPr>
        <w:spacing w:line="480" w:lineRule="auto"/>
      </w:pPr>
      <w:r>
        <w:t xml:space="preserve">PSBs are inefficient in their service </w:t>
      </w:r>
    </w:p>
    <w:p w14:paraId="57A0C8E9" w14:textId="77777777" w:rsidR="008C4077" w:rsidRDefault="008C4077" w:rsidP="008C4077">
      <w:pPr>
        <w:pStyle w:val="ListParagraph"/>
        <w:numPr>
          <w:ilvl w:val="0"/>
          <w:numId w:val="13"/>
        </w:numPr>
        <w:spacing w:line="480" w:lineRule="auto"/>
      </w:pPr>
      <w:r>
        <w:t xml:space="preserve">PSBs are left only fulfilling PSL requirements due to high NPAs </w:t>
      </w:r>
    </w:p>
    <w:p w14:paraId="4E486464" w14:textId="77777777" w:rsidR="008C4077" w:rsidRDefault="008C4077" w:rsidP="008C4077">
      <w:pPr>
        <w:pStyle w:val="ListParagraph"/>
        <w:numPr>
          <w:ilvl w:val="0"/>
          <w:numId w:val="13"/>
        </w:numPr>
        <w:spacing w:line="480" w:lineRule="auto"/>
      </w:pPr>
      <w:r>
        <w:t xml:space="preserve">Growth of ATS of loans means scalable NBFCs exclude lower-income </w:t>
      </w:r>
    </w:p>
    <w:p w14:paraId="4A4030B0" w14:textId="77777777" w:rsidR="008C4077" w:rsidRDefault="008C4077" w:rsidP="008C4077">
      <w:pPr>
        <w:pStyle w:val="ListParagraph"/>
        <w:numPr>
          <w:ilvl w:val="0"/>
          <w:numId w:val="13"/>
        </w:numPr>
        <w:spacing w:line="480" w:lineRule="auto"/>
      </w:pPr>
      <w:r>
        <w:t>Growing education loan AUM reflects larger loans for foreign education and higher-income borrowers – domestic education is underserved</w:t>
      </w:r>
    </w:p>
    <w:p w14:paraId="1B989A0B" w14:textId="77777777" w:rsidR="008C4077" w:rsidRDefault="008C4077" w:rsidP="008C4077">
      <w:pPr>
        <w:spacing w:line="480" w:lineRule="auto"/>
      </w:pPr>
    </w:p>
    <w:p w14:paraId="485A6420" w14:textId="00065069" w:rsidR="008C4077" w:rsidRDefault="008C4077" w:rsidP="008C4077">
      <w:pPr>
        <w:spacing w:line="480" w:lineRule="auto"/>
      </w:pPr>
      <w:r>
        <w:t>The context provided mandates the suggestion of a policy framework to resolve the structural problem India’s education loan industry faces – as PSBs absorb risk and crack under it, and NBFCs reject risk by catering to higher income earners and grow exponentially. To serve the growing demand in education, and promote domestic education urgent action to redistribute, share and subsidise risk is required, along with a restructuring loan programmes to increase affordability and accessibility</w:t>
      </w:r>
      <w:r w:rsidR="00DF5C6C">
        <w:t>, this paper has highlighted the required structural reform.</w:t>
      </w:r>
    </w:p>
    <w:p w14:paraId="49D88238" w14:textId="2EE5DEAC" w:rsidR="008C4077" w:rsidRDefault="008C4077">
      <w:pPr>
        <w:rPr>
          <w:sz w:val="18"/>
          <w:szCs w:val="18"/>
        </w:rPr>
      </w:pPr>
      <w:r>
        <w:rPr>
          <w:sz w:val="18"/>
          <w:szCs w:val="18"/>
        </w:rPr>
        <w:br w:type="page"/>
      </w:r>
    </w:p>
    <w:p w14:paraId="50141288" w14:textId="77777777" w:rsidR="002A61C5" w:rsidRDefault="002A61C5" w:rsidP="002A61C5">
      <w:pPr>
        <w:pStyle w:val="Heading1"/>
      </w:pPr>
      <w:r>
        <w:lastRenderedPageBreak/>
        <w:t>Policy Framework</w:t>
      </w:r>
    </w:p>
    <w:p w14:paraId="740348EB" w14:textId="1D43E0CE" w:rsidR="006F2166" w:rsidRDefault="006F2166" w:rsidP="006B28C8">
      <w:pPr>
        <w:spacing w:line="480" w:lineRule="auto"/>
      </w:pPr>
      <w:r>
        <w:t>NBF</w:t>
      </w:r>
      <w:r w:rsidR="006B28C8">
        <w:t>Cs can largely be restructured to increase the overall public good. Though currently operating under RBI through the Companies Act (citation needed), due to the social relevance of education loans as a unique product, RBI may mandate fixed</w:t>
      </w:r>
      <w:r>
        <w:t xml:space="preserve"> </w:t>
      </w:r>
      <w:r w:rsidR="006B28C8">
        <w:t>Priority Sector Lending (PSL) in terms of</w:t>
      </w:r>
      <w:r>
        <w:t xml:space="preserve"> income brackets</w:t>
      </w:r>
      <w:r w:rsidR="006B28C8">
        <w:t xml:space="preserve"> for NBFCs. This would entail mandating a number of amounts and/or amount of funds disbursed to lower and middle-income students by NBFCs, potentially below 7.5L p.a. family income. </w:t>
      </w:r>
      <w:r w:rsidR="004C2F5C">
        <w:t>By mandating this, NBFCs would have to comply with this regulation by law.</w:t>
      </w:r>
    </w:p>
    <w:p w14:paraId="386926B6" w14:textId="77777777" w:rsidR="008D34F4" w:rsidRDefault="008D34F4" w:rsidP="006B28C8">
      <w:pPr>
        <w:spacing w:line="480" w:lineRule="auto"/>
      </w:pPr>
    </w:p>
    <w:p w14:paraId="349C758B" w14:textId="02CDC698" w:rsidR="006F2166" w:rsidRDefault="004C2F5C" w:rsidP="004C2F5C">
      <w:pPr>
        <w:spacing w:line="480" w:lineRule="auto"/>
      </w:pPr>
      <w:r>
        <w:t>Further, the</w:t>
      </w:r>
      <w:r w:rsidR="006F2166">
        <w:t xml:space="preserve"> Credit Guarantee</w:t>
      </w:r>
      <w:r>
        <w:t xml:space="preserve"> provided through CGFSEL can be extended by </w:t>
      </w:r>
      <w:r w:rsidR="006F2166">
        <w:t xml:space="preserve">making it </w:t>
      </w:r>
      <w:r w:rsidR="006F2166" w:rsidRPr="004C2F5C">
        <w:rPr>
          <w:i/>
          <w:iCs/>
        </w:rPr>
        <w:t xml:space="preserve">lender </w:t>
      </w:r>
      <w:r w:rsidRPr="004C2F5C">
        <w:rPr>
          <w:i/>
          <w:iCs/>
        </w:rPr>
        <w:t>agnostic</w:t>
      </w:r>
      <w:r>
        <w:t xml:space="preserve">. This would mean it is not claimed by the institution (PSB, Private Bank or NBFC), yet in the case of defaulting or inability to pay the loan, could be </w:t>
      </w:r>
      <w:r w:rsidRPr="004C2F5C">
        <w:t>claimed</w:t>
      </w:r>
      <w:r w:rsidR="006F2166">
        <w:t xml:space="preserve"> by student</w:t>
      </w:r>
      <w:r>
        <w:t xml:space="preserve"> (of the same criteria) to reimburse the bank. While preserving the element of risk-reduction for lenders, this policy expands its reach to include NBFCs, substantially increasing the lender base for lower income students.</w:t>
      </w:r>
    </w:p>
    <w:p w14:paraId="3215AC06" w14:textId="77777777" w:rsidR="008D34F4" w:rsidRDefault="008D34F4" w:rsidP="004C2F5C">
      <w:pPr>
        <w:spacing w:line="480" w:lineRule="auto"/>
      </w:pPr>
    </w:p>
    <w:p w14:paraId="1E25392B" w14:textId="150ED933" w:rsidR="008D34F4" w:rsidRDefault="004C2F5C" w:rsidP="004C2F5C">
      <w:pPr>
        <w:spacing w:line="480" w:lineRule="auto"/>
      </w:pPr>
      <w:r>
        <w:t>Next, the</w:t>
      </w:r>
      <w:r w:rsidR="006F2166">
        <w:t xml:space="preserve"> </w:t>
      </w:r>
      <w:r>
        <w:t>Central Sector Interest Subsidy scheme can be made</w:t>
      </w:r>
      <w:r w:rsidR="006F2166">
        <w:t xml:space="preserve"> portable</w:t>
      </w:r>
      <w:r>
        <w:t>, to extend to</w:t>
      </w:r>
      <w:r w:rsidR="006F2166">
        <w:t xml:space="preserve"> NBFC</w:t>
      </w:r>
      <w:r>
        <w:t>s. The Government of India should extend the interest subvention during moratorium period (to borrowers</w:t>
      </w:r>
      <w:r w:rsidR="0082434E">
        <w:t>, who meet the current criteria, to those of the</w:t>
      </w:r>
      <w:r>
        <w:t xml:space="preserve"> NBFC as well</w:t>
      </w:r>
      <w:r w:rsidR="0082434E">
        <w:t xml:space="preserve">. This should be done </w:t>
      </w:r>
      <w:r>
        <w:t>in lieu of the growing demand for education loans and</w:t>
      </w:r>
      <w:r w:rsidR="00565CF0">
        <w:t xml:space="preserve"> contrastingly</w:t>
      </w:r>
      <w:r w:rsidR="00702F4A">
        <w:t xml:space="preserve"> the</w:t>
      </w:r>
      <w:r>
        <w:t xml:space="preserve"> PSB’s disinterest in the industry due </w:t>
      </w:r>
      <w:r w:rsidR="00646955">
        <w:t>to their high GNPA rates.</w:t>
      </w:r>
    </w:p>
    <w:p w14:paraId="3CBD1BE3" w14:textId="77777777" w:rsidR="002A61C5" w:rsidRDefault="002A61C5" w:rsidP="004C2F5C">
      <w:pPr>
        <w:spacing w:line="480" w:lineRule="auto"/>
      </w:pPr>
    </w:p>
    <w:p w14:paraId="60CA4E89" w14:textId="77777777" w:rsidR="002A61C5" w:rsidRDefault="002A61C5" w:rsidP="004C2F5C">
      <w:pPr>
        <w:spacing w:line="480" w:lineRule="auto"/>
      </w:pPr>
    </w:p>
    <w:p w14:paraId="5FDC48D0" w14:textId="77777777" w:rsidR="008D34F4" w:rsidRDefault="008D34F4" w:rsidP="004C2F5C">
      <w:pPr>
        <w:spacing w:line="480" w:lineRule="auto"/>
      </w:pPr>
    </w:p>
    <w:p w14:paraId="7F4E7A85" w14:textId="03B80AA6" w:rsidR="006F2166" w:rsidRDefault="002975EF" w:rsidP="002975EF">
      <w:pPr>
        <w:spacing w:line="480" w:lineRule="auto"/>
      </w:pPr>
      <w:r>
        <w:lastRenderedPageBreak/>
        <w:t xml:space="preserve">Lastly, while yet operating independently, the </w:t>
      </w:r>
      <w:r w:rsidR="006F2166">
        <w:t xml:space="preserve">NBFC </w:t>
      </w:r>
      <w:r>
        <w:t>model should be integrated into the PM</w:t>
      </w:r>
      <w:r w:rsidR="006F2166">
        <w:t xml:space="preserve"> Vidyalakshmi</w:t>
      </w:r>
      <w:r>
        <w:t xml:space="preserve"> portal, to spread awareness of the presence of it is an alternative, for interested students, as unawareness related to the education loan </w:t>
      </w:r>
      <w:r w:rsidR="009B4A66">
        <w:t>model</w:t>
      </w:r>
      <w:r>
        <w:t xml:space="preserve"> is a </w:t>
      </w:r>
      <w:r w:rsidR="009B4A66">
        <w:t xml:space="preserve">root </w:t>
      </w:r>
      <w:r>
        <w:t>problem (citation needed), as discussed below.</w:t>
      </w:r>
    </w:p>
    <w:p w14:paraId="42B96FE5" w14:textId="77777777" w:rsidR="006F2166" w:rsidRDefault="006F2166" w:rsidP="006B28C8">
      <w:pPr>
        <w:spacing w:line="480" w:lineRule="auto"/>
      </w:pPr>
    </w:p>
    <w:p w14:paraId="351266C6" w14:textId="5A638788" w:rsidR="006F2166" w:rsidRDefault="00BC24BF" w:rsidP="00BC24BF">
      <w:pPr>
        <w:spacing w:line="480" w:lineRule="auto"/>
      </w:pPr>
      <w:r>
        <w:t>Next, there is a need for structural</w:t>
      </w:r>
      <w:r w:rsidR="006F2166">
        <w:t xml:space="preserve"> changes in </w:t>
      </w:r>
      <w:r>
        <w:t>the</w:t>
      </w:r>
      <w:r w:rsidR="006F2166">
        <w:t xml:space="preserve"> </w:t>
      </w:r>
      <w:r w:rsidR="003529A7">
        <w:t xml:space="preserve">repayment system </w:t>
      </w:r>
      <w:r>
        <w:t xml:space="preserve">under the current education loan scheme across all SCBs and NBFCs alike. </w:t>
      </w:r>
    </w:p>
    <w:p w14:paraId="360B31D6" w14:textId="740398DC" w:rsidR="00BC24BF" w:rsidRDefault="00BC24BF" w:rsidP="00BC24BF">
      <w:pPr>
        <w:spacing w:line="480" w:lineRule="auto"/>
      </w:pPr>
      <w:r>
        <w:t>Firstly, an income-</w:t>
      </w:r>
      <w:r w:rsidR="006F2166">
        <w:t>based payment</w:t>
      </w:r>
      <w:r>
        <w:t xml:space="preserve"> should be considered, inspired by the United States Federal Education Loan framework, to include income-based repayment (IBR) and Pay as you Earn (PAYE) repayment plans. Instead of fixed-Equated Monthly Instalment (EMI) payments, students can pay off their loan on the basis of their income, as calculated by the bank, varying at around 5-15% of </w:t>
      </w:r>
      <w:r w:rsidRPr="00C81969">
        <w:rPr>
          <w:i/>
          <w:iCs/>
        </w:rPr>
        <w:t>discretionary</w:t>
      </w:r>
      <w:r>
        <w:t xml:space="preserve"> incom</w:t>
      </w:r>
      <w:r w:rsidR="00C81969">
        <w:t xml:space="preserve">e, which is the income above the poverty line. </w:t>
      </w:r>
      <w:r w:rsidR="00235E37">
        <w:t>In the UK, the repayment rule is 9% of earnings about the repayment threshold</w:t>
      </w:r>
      <w:r w:rsidR="00960F71">
        <w:t xml:space="preserve">, changed periodically by the United Kingdom government. The Government of India can adopt a hybrid model of this system, suitable for the Indian context, deciding repayment thresholds, and the extent of usage of discretionary income. In principal, the income-based payment model would work to reduce the financial burden on students which may disincentivise some to pursue or complete their education. </w:t>
      </w:r>
    </w:p>
    <w:p w14:paraId="392C6669" w14:textId="77777777" w:rsidR="00960F71" w:rsidRDefault="00960F71" w:rsidP="00BC24BF">
      <w:pPr>
        <w:spacing w:line="480" w:lineRule="auto"/>
      </w:pPr>
    </w:p>
    <w:p w14:paraId="18E984AB" w14:textId="4D392F03" w:rsidR="00003A58" w:rsidRDefault="003529A7" w:rsidP="00BC24BF">
      <w:pPr>
        <w:spacing w:line="480" w:lineRule="auto"/>
      </w:pPr>
      <w:r>
        <w:t>Additionally, the Government of India should adopt</w:t>
      </w:r>
      <w:r w:rsidR="006F2166">
        <w:t xml:space="preserve"> forgiveness for public workers</w:t>
      </w:r>
      <w:r w:rsidR="00003A58">
        <w:t xml:space="preserve">. This would extend to those who conduct serve the public good. This should include, at the very least, those who complete their education to go on to become: government school teachers, professors at public universities, government hospitals doctors, public health workers, police officers and armed personnel, rural development officers, judicial officers, civil servants, workers in registered not-for-profits under government contracts or official collaborations. </w:t>
      </w:r>
      <w:r w:rsidR="00003A58">
        <w:lastRenderedPageBreak/>
        <w:t xml:space="preserve">Emphasis should be placed on those who serve Tier 3 cities, remote rural areas, or tribal and underdeveloped areas, and an income cap of approximately 6-8L family income should be placed. </w:t>
      </w:r>
      <w:r w:rsidR="00C910AD">
        <w:t xml:space="preserve"> This increases the likelihood of more individuals entering these noble professions, and would reduce the burden on those who choose to </w:t>
      </w:r>
      <w:r w:rsidR="00D2425D">
        <w:t>do work</w:t>
      </w:r>
      <w:r w:rsidR="00C910AD">
        <w:t xml:space="preserve"> </w:t>
      </w:r>
      <w:r w:rsidR="00B2482B">
        <w:t>for t</w:t>
      </w:r>
      <w:r w:rsidR="00C910AD">
        <w:t xml:space="preserve">he public good. </w:t>
      </w:r>
    </w:p>
    <w:p w14:paraId="1437CFDC" w14:textId="4C33BFA0" w:rsidR="006F2166" w:rsidRDefault="00863391" w:rsidP="006B28C8">
      <w:pPr>
        <w:spacing w:line="480" w:lineRule="auto"/>
      </w:pPr>
      <w:r>
        <w:t xml:space="preserve">Setting </w:t>
      </w:r>
      <w:r w:rsidR="0027701B">
        <w:t xml:space="preserve">up refinancing within education loans. After completing education, or if other factors causes an increase in the creditworthiness of a student, resulting in a better interest rate for the same principal, refinancing their loan would effectively mean </w:t>
      </w:r>
      <w:r w:rsidR="0027701B">
        <w:rPr>
          <w:i/>
          <w:iCs/>
        </w:rPr>
        <w:t xml:space="preserve">taking out a new loan to repay the old loan. </w:t>
      </w:r>
      <w:r w:rsidR="0027701B">
        <w:t>This results in a lower overall cost of repayment.</w:t>
      </w:r>
      <w:r w:rsidR="00DF7142">
        <w:t xml:space="preserve"> This is extremely useful in the current education loan framework – as lower-income students can avail government subsidies and credit guarantees for the initial period, and after the risk is reduced (as education period lapses, stable income source is found etc.), NBFCs can refinance the loan at a lower interest rate, reducing the PSBs NPA burden, helping continue the expansion of the currently growing NBFCs</w:t>
      </w:r>
      <w:r w:rsidR="004D5DB7">
        <w:t xml:space="preserve">, and ensuring the borrower the best deal. </w:t>
      </w:r>
      <w:r w:rsidR="00933558">
        <w:t>To incentivise refinancing in the interest of lower income earners, the Government should extend partial credit guarantees to NBFCs</w:t>
      </w:r>
      <w:r w:rsidR="0027701B">
        <w:t xml:space="preserve"> </w:t>
      </w:r>
      <w:r w:rsidR="00933558">
        <w:t xml:space="preserve">(25-40%) to reduce risk. </w:t>
      </w:r>
    </w:p>
    <w:p w14:paraId="79D024A8" w14:textId="77777777" w:rsidR="002A61C5" w:rsidRDefault="002A61C5" w:rsidP="006B28C8">
      <w:pPr>
        <w:spacing w:line="480" w:lineRule="auto"/>
      </w:pPr>
    </w:p>
    <w:p w14:paraId="370A82CF" w14:textId="5CAEF4F0" w:rsidR="00BB6252" w:rsidRPr="009C09CB" w:rsidRDefault="009A0297" w:rsidP="009C09CB">
      <w:pPr>
        <w:spacing w:line="480" w:lineRule="auto"/>
      </w:pPr>
      <w:r>
        <w:t xml:space="preserve">Lastly, there is an urgent need for awareness on all parts of the current education loan framework. Current problems due to unawareness include: higher interest rates due to insufficient documentation, unfavourable deals due to limited information on available products, limited information among low income earners on Government support, and lack of understanding of EMI structures, moratoriums, and interest capitalization concepts. Oftentimes, the </w:t>
      </w:r>
      <w:r>
        <w:rPr>
          <w:i/>
          <w:iCs/>
        </w:rPr>
        <w:t>true cost</w:t>
      </w:r>
      <w:r>
        <w:t xml:space="preserve"> of the loan is also not conveyed, which hides processing fees, moratorium interest and thus the complete burden. Studies that indicate only 10% of eligible borrowers avail CSIS benefit in certain district highlight the need for the Government to expand awareness amongst low income earners. Further, digital literacy and/or options for </w:t>
      </w:r>
      <w:r>
        <w:lastRenderedPageBreak/>
        <w:t xml:space="preserve">manual processing and application for those who are unable to complete loan application online is also required. Awareness through campaigns, on-campus and in-school literacy sessions, and mandating information disclosure among lending institutions must be used to reduce the barriers to all the information required. </w:t>
      </w:r>
      <w:r w:rsidR="00D737C6" w:rsidRPr="006F2166">
        <w:br w:type="page"/>
      </w:r>
    </w:p>
    <w:p w14:paraId="449555CB" w14:textId="030767FB" w:rsidR="005C168A" w:rsidRPr="005C168A" w:rsidRDefault="005C168A" w:rsidP="005C168A">
      <w:pPr>
        <w:pStyle w:val="Heading1"/>
      </w:pPr>
      <w:bookmarkStart w:id="5" w:name="_Toc201361312"/>
      <w:r w:rsidRPr="005C168A">
        <w:rPr>
          <w:i/>
          <w:iCs/>
        </w:rPr>
        <w:lastRenderedPageBreak/>
        <w:t>Conclusion</w:t>
      </w:r>
      <w:bookmarkEnd w:id="5"/>
      <w:r w:rsidRPr="005C168A">
        <w:t xml:space="preserve"> </w:t>
      </w:r>
    </w:p>
    <w:p w14:paraId="5F6FEAC8" w14:textId="56FCC2DE" w:rsidR="00892657" w:rsidRDefault="00892657" w:rsidP="005C168A">
      <w:pPr>
        <w:spacing w:line="480" w:lineRule="auto"/>
        <w:rPr>
          <w:lang w:bidi="ar-SA"/>
        </w:rPr>
      </w:pPr>
    </w:p>
    <w:p w14:paraId="77B833F4" w14:textId="667B2998" w:rsidR="00892657" w:rsidRPr="005C168A" w:rsidRDefault="00892657" w:rsidP="005C168A">
      <w:pPr>
        <w:spacing w:line="480" w:lineRule="auto"/>
        <w:rPr>
          <w:lang w:bidi="ar-SA"/>
        </w:rPr>
      </w:pPr>
      <w:r>
        <w:rPr>
          <w:lang w:bidi="ar-SA"/>
        </w:rPr>
        <w:t xml:space="preserve">As the fastest-growing major economy, and with aspirations to achieve developed status by 2047, education will invariably play a vital role in the country’s future. Thus, education loans, the tools used to finance the dreams of lower and middle-income students too will be crucial in enabling higher education, and increasing India’s GRE. This paper has discussed the strengths and weaknesses of the current education loan framework across the different pillars of accessibility, affordability, and performance under the backdrop of SCBs and NBFCs, and goes on to discuss the structural policy changes required to expand access and benefit to lower income students. </w:t>
      </w:r>
      <w:r w:rsidR="003154C4">
        <w:rPr>
          <w:lang w:bidi="ar-SA"/>
        </w:rPr>
        <w:t xml:space="preserve">Through an exploration of estimations, current valuations, and different lending institution’s policies, this paper has aimed to comprehensively breakdown the current limitations under the current framework, both by private players such as the NBFC, and by the Government of India through schemes such as the CGFSEL and CSIS. As noted, while the education loan industry has been positively growing in recent years, the reform required by all key players is vital in serving the public good. Drawing interest from different student loan models, the policies suggested aim to assist a more equitable and accessible student loan framework in India.  </w:t>
      </w:r>
    </w:p>
    <w:p w14:paraId="12B2BD2E" w14:textId="77777777" w:rsidR="005C168A" w:rsidRDefault="005C168A" w:rsidP="00A07C6B">
      <w:pPr>
        <w:spacing w:line="480" w:lineRule="auto"/>
      </w:pPr>
    </w:p>
    <w:p w14:paraId="1AC0766E" w14:textId="77777777" w:rsidR="00A07C6B" w:rsidRPr="00A07C6B" w:rsidRDefault="00A07C6B" w:rsidP="00A07C6B">
      <w:pPr>
        <w:spacing w:line="480" w:lineRule="auto"/>
        <w:rPr>
          <w:lang w:val="en-US"/>
        </w:rPr>
      </w:pPr>
    </w:p>
    <w:p w14:paraId="518FC3F9" w14:textId="77777777" w:rsidR="005C168A" w:rsidRDefault="005C168A">
      <w:pPr>
        <w:rPr>
          <w:lang w:val="en-US"/>
        </w:rPr>
      </w:pPr>
      <w:r>
        <w:rPr>
          <w:lang w:val="en-US"/>
        </w:rPr>
        <w:br w:type="page"/>
      </w:r>
    </w:p>
    <w:p w14:paraId="15879DAA" w14:textId="26631A47" w:rsidR="000F1CF1" w:rsidRDefault="001118B6" w:rsidP="005C168A">
      <w:pPr>
        <w:pStyle w:val="Heading1"/>
        <w:rPr>
          <w:lang w:val="en-US"/>
        </w:rPr>
      </w:pPr>
      <w:bookmarkStart w:id="6" w:name="_Toc201361313"/>
      <w:r>
        <w:rPr>
          <w:lang w:val="en-US"/>
        </w:rPr>
        <w:lastRenderedPageBreak/>
        <w:t>Works Cited</w:t>
      </w:r>
      <w:bookmarkEnd w:id="6"/>
    </w:p>
    <w:p w14:paraId="1E96A548" w14:textId="77777777" w:rsidR="004B6FA2" w:rsidRPr="004B6FA2" w:rsidRDefault="004B6FA2" w:rsidP="004B6FA2">
      <w:pPr>
        <w:rPr>
          <w:lang w:val="en-US"/>
        </w:rPr>
      </w:pPr>
    </w:p>
    <w:p w14:paraId="2176BFF6" w14:textId="77777777" w:rsidR="001118B6" w:rsidRDefault="001118B6" w:rsidP="001118B6">
      <w:pPr>
        <w:rPr>
          <w:lang w:val="en-US"/>
        </w:rPr>
      </w:pPr>
    </w:p>
    <w:p w14:paraId="541F731E" w14:textId="77777777" w:rsidR="00FC31FC" w:rsidRDefault="00FC31FC" w:rsidP="0008410A">
      <w:pPr>
        <w:pStyle w:val="ListParagraph"/>
        <w:numPr>
          <w:ilvl w:val="0"/>
          <w:numId w:val="17"/>
        </w:numPr>
        <w:spacing w:line="480" w:lineRule="auto"/>
      </w:pPr>
      <w:r w:rsidRPr="00FC31FC">
        <w:t xml:space="preserve">CARE Ratings. </w:t>
      </w:r>
      <w:r w:rsidRPr="00FC31FC">
        <w:rPr>
          <w:i/>
          <w:iCs/>
        </w:rPr>
        <w:t>Specialised Education NBFCs’ Market Share Doubles with Good Asset Quality</w:t>
      </w:r>
      <w:r w:rsidRPr="00FC31FC">
        <w:t>. CARE Ratings, 10 Feb. 2023.</w:t>
      </w:r>
      <w:r w:rsidRPr="00FC31FC">
        <w:br/>
      </w:r>
      <w:hyperlink r:id="rId13" w:tgtFrame="_new" w:history="1">
        <w:r w:rsidRPr="00FC31FC">
          <w:rPr>
            <w:rStyle w:val="Hyperlink"/>
          </w:rPr>
          <w:t>https://www.careratings.com/uploads/newsfiles/10022023025525_Specialised_Education_NBFCs%E2%80%99_Market_Share_Doubles_with_Good_Asset_Quality.pdf</w:t>
        </w:r>
      </w:hyperlink>
      <w:r w:rsidRPr="00FC31FC">
        <w:t>.</w:t>
      </w:r>
    </w:p>
    <w:p w14:paraId="25A8F429" w14:textId="77777777" w:rsidR="0050153F" w:rsidRPr="00FC31FC" w:rsidRDefault="0050153F" w:rsidP="0050153F">
      <w:pPr>
        <w:pStyle w:val="ListParagraph"/>
        <w:spacing w:line="480" w:lineRule="auto"/>
      </w:pPr>
    </w:p>
    <w:p w14:paraId="47290F6D" w14:textId="5828475E" w:rsidR="0050153F" w:rsidRDefault="00FC31FC" w:rsidP="0008410A">
      <w:pPr>
        <w:pStyle w:val="ListParagraph"/>
        <w:numPr>
          <w:ilvl w:val="0"/>
          <w:numId w:val="17"/>
        </w:numPr>
        <w:spacing w:line="480" w:lineRule="auto"/>
      </w:pPr>
      <w:r w:rsidRPr="00FC31FC">
        <w:t xml:space="preserve">Government of India. </w:t>
      </w:r>
      <w:r w:rsidRPr="00FC31FC">
        <w:rPr>
          <w:i/>
          <w:iCs/>
        </w:rPr>
        <w:t>Education Loan Scheme Document</w:t>
      </w:r>
      <w:r w:rsidRPr="00FC31FC">
        <w:t>. S3waas, Feb. 2024.</w:t>
      </w:r>
      <w:r w:rsidRPr="00FC31FC">
        <w:br/>
      </w:r>
      <w:hyperlink r:id="rId14" w:tgtFrame="_new" w:history="1">
        <w:r w:rsidRPr="00FC31FC">
          <w:rPr>
            <w:rStyle w:val="Hyperlink"/>
          </w:rPr>
          <w:t>https://cdnbbsr.s3waas.gov.in/s392049debbe566ca5782a3045cf300a3c/uploads/2024/02/20240719952688509.pdf</w:t>
        </w:r>
      </w:hyperlink>
      <w:r w:rsidRPr="00FC31FC">
        <w:t>.</w:t>
      </w:r>
    </w:p>
    <w:p w14:paraId="19615C92" w14:textId="77777777" w:rsidR="0050153F" w:rsidRPr="00FC31FC" w:rsidRDefault="0050153F" w:rsidP="0050153F">
      <w:pPr>
        <w:pStyle w:val="ListParagraph"/>
        <w:spacing w:line="480" w:lineRule="auto"/>
      </w:pPr>
    </w:p>
    <w:p w14:paraId="3927AF83" w14:textId="60216342" w:rsidR="0008410A" w:rsidRPr="0008410A" w:rsidRDefault="0008410A" w:rsidP="0008410A">
      <w:pPr>
        <w:pStyle w:val="ListParagraph"/>
        <w:numPr>
          <w:ilvl w:val="0"/>
          <w:numId w:val="17"/>
        </w:numPr>
        <w:spacing w:line="480" w:lineRule="auto"/>
      </w:pPr>
      <w:r w:rsidRPr="0008410A">
        <w:t xml:space="preserve">Indian Banks’ Association. </w:t>
      </w:r>
      <w:r w:rsidRPr="0008410A">
        <w:rPr>
          <w:i/>
          <w:iCs/>
        </w:rPr>
        <w:t>IBA Model Educational Loan Scheme for Pursuing Higher Education in India &amp; Abroad</w:t>
      </w:r>
      <w:r w:rsidRPr="0008410A">
        <w:t>. Indian Banks’ Association, Dec. 2022.</w:t>
      </w:r>
      <w:r w:rsidRPr="0008410A">
        <w:br/>
      </w:r>
    </w:p>
    <w:p w14:paraId="4285188B" w14:textId="57E46595" w:rsidR="0008410A" w:rsidRPr="0008410A" w:rsidRDefault="0008410A" w:rsidP="0008410A">
      <w:pPr>
        <w:pStyle w:val="ListParagraph"/>
        <w:numPr>
          <w:ilvl w:val="0"/>
          <w:numId w:val="17"/>
        </w:numPr>
        <w:spacing w:line="480" w:lineRule="auto"/>
      </w:pPr>
      <w:r w:rsidRPr="0008410A">
        <w:t xml:space="preserve">Chalil, Krishnan. “Financing Higher Education through Education Loan in India: Current Status, Challenges and Future Prospects.” </w:t>
      </w:r>
      <w:r w:rsidRPr="0008410A">
        <w:rPr>
          <w:i/>
          <w:iCs/>
        </w:rPr>
        <w:t>Orissa Journal of Commerce</w:t>
      </w:r>
      <w:r w:rsidRPr="0008410A">
        <w:t>, vol. 42, no. 1, July 2021, pp. 116–131.</w:t>
      </w:r>
      <w:r>
        <w:t>D</w:t>
      </w:r>
      <w:r w:rsidRPr="0008410A">
        <w:t>OI: 10.54063/ojc.2021.v42i01.09.</w:t>
      </w:r>
      <w:r w:rsidRPr="0008410A">
        <w:br/>
      </w:r>
    </w:p>
    <w:p w14:paraId="6E7F888F" w14:textId="77777777" w:rsidR="0008410A" w:rsidRDefault="0008410A" w:rsidP="0008410A">
      <w:pPr>
        <w:pStyle w:val="ListParagraph"/>
        <w:numPr>
          <w:ilvl w:val="0"/>
          <w:numId w:val="17"/>
        </w:numPr>
        <w:spacing w:line="480" w:lineRule="auto"/>
      </w:pPr>
      <w:r w:rsidRPr="0008410A">
        <w:t xml:space="preserve">Varghese, N. V. “Financing of Higher Education in India: Public versus Private Financing of Higher Education.” </w:t>
      </w:r>
      <w:r w:rsidRPr="0008410A">
        <w:rPr>
          <w:i/>
          <w:iCs/>
        </w:rPr>
        <w:t>ResearchGate</w:t>
      </w:r>
      <w:r w:rsidRPr="0008410A">
        <w:t>, Oct. 2021.</w:t>
      </w:r>
    </w:p>
    <w:p w14:paraId="4C3FC05F" w14:textId="77777777" w:rsidR="0008410A" w:rsidRDefault="0008410A" w:rsidP="0008410A">
      <w:pPr>
        <w:spacing w:line="480" w:lineRule="auto"/>
      </w:pPr>
    </w:p>
    <w:p w14:paraId="44C3D11B" w14:textId="77777777" w:rsidR="0008410A" w:rsidRDefault="0008410A" w:rsidP="0008410A">
      <w:pPr>
        <w:pStyle w:val="ListParagraph"/>
        <w:numPr>
          <w:ilvl w:val="0"/>
          <w:numId w:val="17"/>
        </w:numPr>
        <w:spacing w:line="480" w:lineRule="auto"/>
      </w:pPr>
      <w:r w:rsidRPr="00FC31FC">
        <w:t xml:space="preserve">Sharma, Jyoti. </w:t>
      </w:r>
      <w:r w:rsidRPr="00FC31FC">
        <w:rPr>
          <w:i/>
          <w:iCs/>
        </w:rPr>
        <w:t>Education Loans in India: An Overview</w:t>
      </w:r>
      <w:r w:rsidRPr="00FC31FC">
        <w:t xml:space="preserve">. </w:t>
      </w:r>
      <w:r w:rsidRPr="00FC31FC">
        <w:rPr>
          <w:i/>
          <w:iCs/>
        </w:rPr>
        <w:t>International Journal of Multidisciplinary Studies and Research Review</w:t>
      </w:r>
      <w:r w:rsidRPr="00FC31FC">
        <w:t>, Oct. 2022.</w:t>
      </w:r>
      <w:r w:rsidRPr="00FC31FC">
        <w:br/>
      </w:r>
      <w:hyperlink r:id="rId15" w:tgtFrame="_new" w:history="1">
        <w:r w:rsidRPr="00FC31FC">
          <w:rPr>
            <w:rStyle w:val="Hyperlink"/>
          </w:rPr>
          <w:t>http://ijmsrr.com/downloads/261020226.pdf</w:t>
        </w:r>
      </w:hyperlink>
      <w:r w:rsidRPr="00FC31FC">
        <w:t>.</w:t>
      </w:r>
    </w:p>
    <w:p w14:paraId="070B722D" w14:textId="747BCBA0" w:rsidR="0008410A" w:rsidRPr="0008410A" w:rsidRDefault="0008410A" w:rsidP="0008410A">
      <w:pPr>
        <w:pStyle w:val="ListParagraph"/>
        <w:numPr>
          <w:ilvl w:val="0"/>
          <w:numId w:val="17"/>
        </w:numPr>
        <w:spacing w:line="480" w:lineRule="auto"/>
      </w:pPr>
      <w:r w:rsidRPr="0008410A">
        <w:lastRenderedPageBreak/>
        <w:br/>
      </w:r>
    </w:p>
    <w:p w14:paraId="615E1935" w14:textId="77198F2E" w:rsidR="0050153F" w:rsidRPr="00FC31FC" w:rsidRDefault="0008410A" w:rsidP="0008410A">
      <w:pPr>
        <w:pStyle w:val="ListParagraph"/>
        <w:numPr>
          <w:ilvl w:val="0"/>
          <w:numId w:val="17"/>
        </w:numPr>
        <w:spacing w:line="480" w:lineRule="auto"/>
      </w:pPr>
      <w:r w:rsidRPr="0008410A">
        <w:t xml:space="preserve">Amar, Kaushal Naresh, and K. K. Agrawal. “Education Loans in India: Challenges, Impact, and Comparative Analysis with Global Systems.” </w:t>
      </w:r>
      <w:r w:rsidRPr="0008410A">
        <w:rPr>
          <w:i/>
          <w:iCs/>
        </w:rPr>
        <w:t>Journal of Emerging Technologies and Innovative Research (JETIR)</w:t>
      </w:r>
      <w:r w:rsidRPr="0008410A">
        <w:t>, vol. 11, no. 6, June 2024, pp. i480–i484.</w:t>
      </w:r>
      <w:r>
        <w:t xml:space="preserve"> </w:t>
      </w:r>
      <w:r w:rsidRPr="0008410A">
        <w:t>ISSN: 2349-5162.</w:t>
      </w:r>
    </w:p>
    <w:p w14:paraId="1B3BFD34" w14:textId="77777777" w:rsidR="0050153F" w:rsidRPr="00FC31FC" w:rsidRDefault="0050153F" w:rsidP="0050153F">
      <w:pPr>
        <w:spacing w:line="480" w:lineRule="auto"/>
      </w:pPr>
    </w:p>
    <w:p w14:paraId="65734E75" w14:textId="77777777" w:rsidR="00FC31FC" w:rsidRDefault="00FC31FC" w:rsidP="0008410A">
      <w:pPr>
        <w:pStyle w:val="ListParagraph"/>
        <w:numPr>
          <w:ilvl w:val="0"/>
          <w:numId w:val="17"/>
        </w:numPr>
        <w:spacing w:line="480" w:lineRule="auto"/>
      </w:pPr>
      <w:r w:rsidRPr="00FC31FC">
        <w:t xml:space="preserve">Gupta, Radhika. </w:t>
      </w:r>
      <w:r w:rsidRPr="00FC31FC">
        <w:rPr>
          <w:i/>
          <w:iCs/>
        </w:rPr>
        <w:t>Trends in Higher Education Financing in India</w:t>
      </w:r>
      <w:r w:rsidRPr="00FC31FC">
        <w:t xml:space="preserve">. </w:t>
      </w:r>
      <w:r w:rsidRPr="00FC31FC">
        <w:rPr>
          <w:i/>
          <w:iCs/>
        </w:rPr>
        <w:t>Journal of Emerging Technologies and Innovative Research (JETIR)</w:t>
      </w:r>
      <w:r w:rsidRPr="00FC31FC">
        <w:t>, vol. 11, no. 6, June 2024.</w:t>
      </w:r>
      <w:r w:rsidRPr="00FC31FC">
        <w:br/>
      </w:r>
      <w:hyperlink r:id="rId16" w:tgtFrame="_new" w:history="1">
        <w:r w:rsidRPr="00FC31FC">
          <w:rPr>
            <w:rStyle w:val="Hyperlink"/>
          </w:rPr>
          <w:t>https://www.jetir.org/papers/JETIR2406849.pdf</w:t>
        </w:r>
      </w:hyperlink>
      <w:r w:rsidRPr="00FC31FC">
        <w:t>.</w:t>
      </w:r>
    </w:p>
    <w:p w14:paraId="21EADE97" w14:textId="77777777" w:rsidR="0050153F" w:rsidRDefault="0050153F" w:rsidP="0050153F">
      <w:pPr>
        <w:pStyle w:val="ListParagraph"/>
      </w:pPr>
    </w:p>
    <w:p w14:paraId="34E72107" w14:textId="77777777" w:rsidR="0050153F" w:rsidRPr="00FC31FC" w:rsidRDefault="0050153F" w:rsidP="0050153F">
      <w:pPr>
        <w:pStyle w:val="ListParagraph"/>
        <w:spacing w:line="480" w:lineRule="auto"/>
      </w:pPr>
    </w:p>
    <w:p w14:paraId="1395BD24" w14:textId="77777777" w:rsidR="00FC31FC" w:rsidRDefault="00FC31FC" w:rsidP="0008410A">
      <w:pPr>
        <w:pStyle w:val="ListParagraph"/>
        <w:numPr>
          <w:ilvl w:val="0"/>
          <w:numId w:val="17"/>
        </w:numPr>
        <w:spacing w:line="480" w:lineRule="auto"/>
      </w:pPr>
      <w:r w:rsidRPr="00FC31FC">
        <w:t xml:space="preserve">HDFC Credila. </w:t>
      </w:r>
      <w:r w:rsidRPr="00FC31FC">
        <w:rPr>
          <w:i/>
          <w:iCs/>
        </w:rPr>
        <w:t>Annual Report FY 2023–24 (Revised)</w:t>
      </w:r>
      <w:r w:rsidRPr="00FC31FC">
        <w:t>. HDFC Credila Financial Services Ltd., 2024.</w:t>
      </w:r>
      <w:r w:rsidRPr="00FC31FC">
        <w:br/>
      </w:r>
      <w:hyperlink r:id="rId17" w:tgtFrame="_new" w:history="1">
        <w:r w:rsidRPr="00FC31FC">
          <w:rPr>
            <w:rStyle w:val="Hyperlink"/>
          </w:rPr>
          <w:t>https://www.credila.com/pdfs/HDFC_Credila_Annual_Report_FY_2023_24_revised.pdf</w:t>
        </w:r>
      </w:hyperlink>
      <w:r w:rsidRPr="00FC31FC">
        <w:t>.</w:t>
      </w:r>
    </w:p>
    <w:p w14:paraId="6FAACD45" w14:textId="77777777" w:rsidR="0050153F" w:rsidRPr="00FC31FC" w:rsidRDefault="0050153F" w:rsidP="0050153F">
      <w:pPr>
        <w:pStyle w:val="ListParagraph"/>
        <w:spacing w:line="480" w:lineRule="auto"/>
      </w:pPr>
    </w:p>
    <w:p w14:paraId="7285D15C" w14:textId="77777777" w:rsidR="00FC31FC" w:rsidRDefault="00FC31FC" w:rsidP="0008410A">
      <w:pPr>
        <w:pStyle w:val="ListParagraph"/>
        <w:numPr>
          <w:ilvl w:val="0"/>
          <w:numId w:val="17"/>
        </w:numPr>
        <w:spacing w:line="480" w:lineRule="auto"/>
      </w:pPr>
      <w:r w:rsidRPr="00FC31FC">
        <w:t xml:space="preserve">Avanse. </w:t>
      </w:r>
      <w:r w:rsidRPr="00FC31FC">
        <w:rPr>
          <w:i/>
          <w:iCs/>
        </w:rPr>
        <w:t>Key Fact Sheet FY24</w:t>
      </w:r>
      <w:r w:rsidRPr="00FC31FC">
        <w:t>. Avanse Financial Services Ltd., 2024.</w:t>
      </w:r>
      <w:r w:rsidRPr="00FC31FC">
        <w:br/>
      </w:r>
      <w:hyperlink r:id="rId18" w:tgtFrame="_new" w:history="1">
        <w:r w:rsidRPr="00FC31FC">
          <w:rPr>
            <w:rStyle w:val="Hyperlink"/>
          </w:rPr>
          <w:t>https://www.avanse.com/pdf/investors/key-fact-sheet-fy24-new.pdf</w:t>
        </w:r>
      </w:hyperlink>
      <w:r w:rsidRPr="00FC31FC">
        <w:t>.</w:t>
      </w:r>
    </w:p>
    <w:p w14:paraId="10C8DFFA" w14:textId="77777777" w:rsidR="0050153F" w:rsidRDefault="0050153F" w:rsidP="0050153F">
      <w:pPr>
        <w:pStyle w:val="ListParagraph"/>
      </w:pPr>
    </w:p>
    <w:p w14:paraId="23265648" w14:textId="77777777" w:rsidR="0050153F" w:rsidRPr="00FC31FC" w:rsidRDefault="0050153F" w:rsidP="0050153F">
      <w:pPr>
        <w:pStyle w:val="ListParagraph"/>
        <w:spacing w:line="480" w:lineRule="auto"/>
      </w:pPr>
    </w:p>
    <w:p w14:paraId="12BDBAF9" w14:textId="77777777" w:rsidR="00FC31FC" w:rsidRPr="00FC31FC" w:rsidRDefault="00FC31FC" w:rsidP="0008410A">
      <w:pPr>
        <w:pStyle w:val="ListParagraph"/>
        <w:numPr>
          <w:ilvl w:val="0"/>
          <w:numId w:val="17"/>
        </w:numPr>
        <w:spacing w:line="480" w:lineRule="auto"/>
      </w:pPr>
      <w:r w:rsidRPr="00FC31FC">
        <w:t xml:space="preserve">Punjab National Bank. </w:t>
      </w:r>
      <w:r w:rsidRPr="00FC31FC">
        <w:rPr>
          <w:i/>
          <w:iCs/>
        </w:rPr>
        <w:t>Annual Reports</w:t>
      </w:r>
      <w:r w:rsidRPr="00FC31FC">
        <w:t>. PNB India, 2024.</w:t>
      </w:r>
      <w:r w:rsidRPr="00FC31FC">
        <w:br/>
      </w:r>
      <w:hyperlink r:id="rId19" w:tgtFrame="_new" w:history="1">
        <w:r w:rsidRPr="00FC31FC">
          <w:rPr>
            <w:rStyle w:val="Hyperlink"/>
          </w:rPr>
          <w:t>https://www.pnbindia.in/annual-reports.html</w:t>
        </w:r>
      </w:hyperlink>
      <w:r w:rsidRPr="00FC31FC">
        <w:t>.</w:t>
      </w:r>
    </w:p>
    <w:p w14:paraId="459567F3" w14:textId="221347E7" w:rsidR="000A02BC" w:rsidRPr="00987120" w:rsidRDefault="000A02BC" w:rsidP="00FC31FC">
      <w:pPr>
        <w:spacing w:line="480" w:lineRule="auto"/>
        <w:ind w:firstLine="60"/>
        <w:rPr>
          <w:lang w:val="en-US"/>
        </w:rPr>
      </w:pPr>
    </w:p>
    <w:sectPr w:rsidR="000A02BC" w:rsidRPr="00987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6CF5A" w14:textId="77777777" w:rsidR="007A63AA" w:rsidRDefault="007A63AA" w:rsidP="005D51FC">
      <w:r>
        <w:separator/>
      </w:r>
    </w:p>
  </w:endnote>
  <w:endnote w:type="continuationSeparator" w:id="0">
    <w:p w14:paraId="2092F7FE" w14:textId="77777777" w:rsidR="007A63AA" w:rsidRDefault="007A63AA" w:rsidP="005D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0C7BC" w14:textId="77777777" w:rsidR="007A63AA" w:rsidRDefault="007A63AA" w:rsidP="005D51FC">
      <w:r>
        <w:separator/>
      </w:r>
    </w:p>
  </w:footnote>
  <w:footnote w:type="continuationSeparator" w:id="0">
    <w:p w14:paraId="3597A3BA" w14:textId="77777777" w:rsidR="007A63AA" w:rsidRDefault="007A63AA" w:rsidP="005D5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27F66"/>
    <w:multiLevelType w:val="multilevel"/>
    <w:tmpl w:val="5EB8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0ECD"/>
    <w:multiLevelType w:val="hybridMultilevel"/>
    <w:tmpl w:val="6242DA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FD3B12"/>
    <w:multiLevelType w:val="hybridMultilevel"/>
    <w:tmpl w:val="C2C0C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E1E8F"/>
    <w:multiLevelType w:val="hybridMultilevel"/>
    <w:tmpl w:val="C0040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3A4FDE"/>
    <w:multiLevelType w:val="hybridMultilevel"/>
    <w:tmpl w:val="8AA2F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7059A1"/>
    <w:multiLevelType w:val="hybridMultilevel"/>
    <w:tmpl w:val="11C643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921D6D"/>
    <w:multiLevelType w:val="multilevel"/>
    <w:tmpl w:val="8526A5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B7B0E"/>
    <w:multiLevelType w:val="hybridMultilevel"/>
    <w:tmpl w:val="6242D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E20175"/>
    <w:multiLevelType w:val="hybridMultilevel"/>
    <w:tmpl w:val="6BA4FA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D4197D"/>
    <w:multiLevelType w:val="multilevel"/>
    <w:tmpl w:val="21B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77716"/>
    <w:multiLevelType w:val="hybridMultilevel"/>
    <w:tmpl w:val="C646E4B8"/>
    <w:lvl w:ilvl="0" w:tplc="542CAE5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A8F17AD"/>
    <w:multiLevelType w:val="hybridMultilevel"/>
    <w:tmpl w:val="FB08E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A41FF6"/>
    <w:multiLevelType w:val="hybridMultilevel"/>
    <w:tmpl w:val="00284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EB3B3A"/>
    <w:multiLevelType w:val="multilevel"/>
    <w:tmpl w:val="8526A5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F376A"/>
    <w:multiLevelType w:val="hybridMultilevel"/>
    <w:tmpl w:val="99CA473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EF5EC7"/>
    <w:multiLevelType w:val="hybridMultilevel"/>
    <w:tmpl w:val="01EC2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632D28"/>
    <w:multiLevelType w:val="multilevel"/>
    <w:tmpl w:val="28C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945601">
    <w:abstractNumId w:val="15"/>
  </w:num>
  <w:num w:numId="2" w16cid:durableId="1467046327">
    <w:abstractNumId w:val="9"/>
  </w:num>
  <w:num w:numId="3" w16cid:durableId="386614185">
    <w:abstractNumId w:val="0"/>
  </w:num>
  <w:num w:numId="4" w16cid:durableId="1280258346">
    <w:abstractNumId w:val="14"/>
  </w:num>
  <w:num w:numId="5" w16cid:durableId="365956479">
    <w:abstractNumId w:val="12"/>
  </w:num>
  <w:num w:numId="6" w16cid:durableId="570165916">
    <w:abstractNumId w:val="10"/>
  </w:num>
  <w:num w:numId="7" w16cid:durableId="1455783676">
    <w:abstractNumId w:val="2"/>
  </w:num>
  <w:num w:numId="8" w16cid:durableId="1005472762">
    <w:abstractNumId w:val="11"/>
  </w:num>
  <w:num w:numId="9" w16cid:durableId="1683626676">
    <w:abstractNumId w:val="7"/>
  </w:num>
  <w:num w:numId="10" w16cid:durableId="2104370789">
    <w:abstractNumId w:val="16"/>
  </w:num>
  <w:num w:numId="11" w16cid:durableId="274292541">
    <w:abstractNumId w:val="3"/>
  </w:num>
  <w:num w:numId="12" w16cid:durableId="1980568647">
    <w:abstractNumId w:val="1"/>
  </w:num>
  <w:num w:numId="13" w16cid:durableId="212890479">
    <w:abstractNumId w:val="8"/>
  </w:num>
  <w:num w:numId="14" w16cid:durableId="938177176">
    <w:abstractNumId w:val="5"/>
  </w:num>
  <w:num w:numId="15" w16cid:durableId="2108962950">
    <w:abstractNumId w:val="4"/>
  </w:num>
  <w:num w:numId="16" w16cid:durableId="1418212769">
    <w:abstractNumId w:val="13"/>
  </w:num>
  <w:num w:numId="17" w16cid:durableId="1104881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49"/>
    <w:rsid w:val="00001CCE"/>
    <w:rsid w:val="00003425"/>
    <w:rsid w:val="00003A58"/>
    <w:rsid w:val="000042AA"/>
    <w:rsid w:val="00020986"/>
    <w:rsid w:val="00022E1C"/>
    <w:rsid w:val="0002545D"/>
    <w:rsid w:val="00033C19"/>
    <w:rsid w:val="00042B29"/>
    <w:rsid w:val="00045A75"/>
    <w:rsid w:val="00060068"/>
    <w:rsid w:val="00064DA2"/>
    <w:rsid w:val="00083635"/>
    <w:rsid w:val="0008410A"/>
    <w:rsid w:val="00090FE0"/>
    <w:rsid w:val="00095BC7"/>
    <w:rsid w:val="000A02BC"/>
    <w:rsid w:val="000A4E33"/>
    <w:rsid w:val="000B568D"/>
    <w:rsid w:val="000C214A"/>
    <w:rsid w:val="000C21DA"/>
    <w:rsid w:val="000C3C7C"/>
    <w:rsid w:val="000D4F59"/>
    <w:rsid w:val="000E28A5"/>
    <w:rsid w:val="000E582B"/>
    <w:rsid w:val="000F1CF1"/>
    <w:rsid w:val="000F6026"/>
    <w:rsid w:val="00101CCB"/>
    <w:rsid w:val="00106E5C"/>
    <w:rsid w:val="001118B6"/>
    <w:rsid w:val="00126CEF"/>
    <w:rsid w:val="00130F44"/>
    <w:rsid w:val="00137E6C"/>
    <w:rsid w:val="00141B4E"/>
    <w:rsid w:val="001425D4"/>
    <w:rsid w:val="00154254"/>
    <w:rsid w:val="00175259"/>
    <w:rsid w:val="00182825"/>
    <w:rsid w:val="00191FA7"/>
    <w:rsid w:val="001C1F68"/>
    <w:rsid w:val="001C33D6"/>
    <w:rsid w:val="001C7319"/>
    <w:rsid w:val="001D40B7"/>
    <w:rsid w:val="001D67D8"/>
    <w:rsid w:val="001E08A2"/>
    <w:rsid w:val="001E65ED"/>
    <w:rsid w:val="001F599A"/>
    <w:rsid w:val="0020047C"/>
    <w:rsid w:val="00205456"/>
    <w:rsid w:val="00206E36"/>
    <w:rsid w:val="0020750B"/>
    <w:rsid w:val="00210983"/>
    <w:rsid w:val="00216118"/>
    <w:rsid w:val="00235E37"/>
    <w:rsid w:val="00243DBF"/>
    <w:rsid w:val="00256B8A"/>
    <w:rsid w:val="00256FFA"/>
    <w:rsid w:val="00257AA9"/>
    <w:rsid w:val="00262B47"/>
    <w:rsid w:val="0027452D"/>
    <w:rsid w:val="0027701B"/>
    <w:rsid w:val="00292CC0"/>
    <w:rsid w:val="002975EF"/>
    <w:rsid w:val="002A61C5"/>
    <w:rsid w:val="002B49FB"/>
    <w:rsid w:val="002B54B7"/>
    <w:rsid w:val="002B6B70"/>
    <w:rsid w:val="002B761B"/>
    <w:rsid w:val="002B7AED"/>
    <w:rsid w:val="002C50FD"/>
    <w:rsid w:val="002D3898"/>
    <w:rsid w:val="002E5B1D"/>
    <w:rsid w:val="002F4882"/>
    <w:rsid w:val="002F714A"/>
    <w:rsid w:val="00300E4E"/>
    <w:rsid w:val="00304F99"/>
    <w:rsid w:val="00305238"/>
    <w:rsid w:val="0030772A"/>
    <w:rsid w:val="00311B65"/>
    <w:rsid w:val="003154C4"/>
    <w:rsid w:val="00316BFC"/>
    <w:rsid w:val="0033522F"/>
    <w:rsid w:val="0034331B"/>
    <w:rsid w:val="00344548"/>
    <w:rsid w:val="003529A7"/>
    <w:rsid w:val="00353A1B"/>
    <w:rsid w:val="003543A5"/>
    <w:rsid w:val="0036481F"/>
    <w:rsid w:val="003725CE"/>
    <w:rsid w:val="00372718"/>
    <w:rsid w:val="00375DD9"/>
    <w:rsid w:val="00380FA8"/>
    <w:rsid w:val="00383616"/>
    <w:rsid w:val="00390D8A"/>
    <w:rsid w:val="003952DD"/>
    <w:rsid w:val="003957D4"/>
    <w:rsid w:val="003A4FE1"/>
    <w:rsid w:val="003A7011"/>
    <w:rsid w:val="003C1AEE"/>
    <w:rsid w:val="003C1D3E"/>
    <w:rsid w:val="003D4999"/>
    <w:rsid w:val="003D5163"/>
    <w:rsid w:val="003E0310"/>
    <w:rsid w:val="003E3AD2"/>
    <w:rsid w:val="003F013A"/>
    <w:rsid w:val="003F0C5B"/>
    <w:rsid w:val="003F6498"/>
    <w:rsid w:val="003F786E"/>
    <w:rsid w:val="00400311"/>
    <w:rsid w:val="004034F3"/>
    <w:rsid w:val="00420221"/>
    <w:rsid w:val="00420BCE"/>
    <w:rsid w:val="0042150E"/>
    <w:rsid w:val="00422432"/>
    <w:rsid w:val="0042512E"/>
    <w:rsid w:val="00425289"/>
    <w:rsid w:val="0042676A"/>
    <w:rsid w:val="004336F5"/>
    <w:rsid w:val="00440342"/>
    <w:rsid w:val="00447323"/>
    <w:rsid w:val="004556FF"/>
    <w:rsid w:val="00473B2C"/>
    <w:rsid w:val="00481C83"/>
    <w:rsid w:val="004867D7"/>
    <w:rsid w:val="004B0108"/>
    <w:rsid w:val="004B2A29"/>
    <w:rsid w:val="004B6FA2"/>
    <w:rsid w:val="004C2F5C"/>
    <w:rsid w:val="004C556F"/>
    <w:rsid w:val="004C577B"/>
    <w:rsid w:val="004D0277"/>
    <w:rsid w:val="004D1FD4"/>
    <w:rsid w:val="004D5DB7"/>
    <w:rsid w:val="004F53A5"/>
    <w:rsid w:val="0050153F"/>
    <w:rsid w:val="0050234C"/>
    <w:rsid w:val="0050370B"/>
    <w:rsid w:val="00505413"/>
    <w:rsid w:val="00515ACC"/>
    <w:rsid w:val="00523A79"/>
    <w:rsid w:val="0053082D"/>
    <w:rsid w:val="00534922"/>
    <w:rsid w:val="00540513"/>
    <w:rsid w:val="00542D1D"/>
    <w:rsid w:val="00555795"/>
    <w:rsid w:val="005648A2"/>
    <w:rsid w:val="00565CF0"/>
    <w:rsid w:val="00567640"/>
    <w:rsid w:val="00584CDC"/>
    <w:rsid w:val="00592E8A"/>
    <w:rsid w:val="005A1B0E"/>
    <w:rsid w:val="005C168A"/>
    <w:rsid w:val="005C6691"/>
    <w:rsid w:val="005D51FC"/>
    <w:rsid w:val="00602B22"/>
    <w:rsid w:val="00611793"/>
    <w:rsid w:val="00646955"/>
    <w:rsid w:val="00653290"/>
    <w:rsid w:val="006535CA"/>
    <w:rsid w:val="00654E88"/>
    <w:rsid w:val="00657206"/>
    <w:rsid w:val="00665F16"/>
    <w:rsid w:val="00670C62"/>
    <w:rsid w:val="0067497B"/>
    <w:rsid w:val="006853A0"/>
    <w:rsid w:val="00687C64"/>
    <w:rsid w:val="006A1140"/>
    <w:rsid w:val="006B1F7A"/>
    <w:rsid w:val="006B28C8"/>
    <w:rsid w:val="006C091B"/>
    <w:rsid w:val="006D3429"/>
    <w:rsid w:val="006D5CCE"/>
    <w:rsid w:val="006E269D"/>
    <w:rsid w:val="006F2166"/>
    <w:rsid w:val="00700BA5"/>
    <w:rsid w:val="00702F4A"/>
    <w:rsid w:val="007068E0"/>
    <w:rsid w:val="00713768"/>
    <w:rsid w:val="0071672B"/>
    <w:rsid w:val="00726A89"/>
    <w:rsid w:val="00733FA0"/>
    <w:rsid w:val="00742C77"/>
    <w:rsid w:val="00750F05"/>
    <w:rsid w:val="007553A4"/>
    <w:rsid w:val="00765B27"/>
    <w:rsid w:val="00766211"/>
    <w:rsid w:val="007722FA"/>
    <w:rsid w:val="00776E80"/>
    <w:rsid w:val="00786271"/>
    <w:rsid w:val="007924E8"/>
    <w:rsid w:val="007A075F"/>
    <w:rsid w:val="007A22CE"/>
    <w:rsid w:val="007A32B6"/>
    <w:rsid w:val="007A63AA"/>
    <w:rsid w:val="007A695A"/>
    <w:rsid w:val="007B48CC"/>
    <w:rsid w:val="007B74DC"/>
    <w:rsid w:val="007B7F0E"/>
    <w:rsid w:val="007D3601"/>
    <w:rsid w:val="007D3BB6"/>
    <w:rsid w:val="007E22DD"/>
    <w:rsid w:val="007E417C"/>
    <w:rsid w:val="007E60B6"/>
    <w:rsid w:val="007F7BB4"/>
    <w:rsid w:val="008069A6"/>
    <w:rsid w:val="0082434E"/>
    <w:rsid w:val="008329A1"/>
    <w:rsid w:val="008367CF"/>
    <w:rsid w:val="0085446B"/>
    <w:rsid w:val="008551BA"/>
    <w:rsid w:val="00856062"/>
    <w:rsid w:val="008571B2"/>
    <w:rsid w:val="00863391"/>
    <w:rsid w:val="00880D0F"/>
    <w:rsid w:val="00884657"/>
    <w:rsid w:val="0089032B"/>
    <w:rsid w:val="00892657"/>
    <w:rsid w:val="00892D28"/>
    <w:rsid w:val="00897A35"/>
    <w:rsid w:val="008A62CB"/>
    <w:rsid w:val="008A6A5E"/>
    <w:rsid w:val="008C4077"/>
    <w:rsid w:val="008C61DE"/>
    <w:rsid w:val="008D024A"/>
    <w:rsid w:val="008D34F4"/>
    <w:rsid w:val="008D71EB"/>
    <w:rsid w:val="008E0803"/>
    <w:rsid w:val="008E73C8"/>
    <w:rsid w:val="008F66A7"/>
    <w:rsid w:val="008F6BA9"/>
    <w:rsid w:val="00901A25"/>
    <w:rsid w:val="00904730"/>
    <w:rsid w:val="00907775"/>
    <w:rsid w:val="00912D86"/>
    <w:rsid w:val="00933558"/>
    <w:rsid w:val="00940BCF"/>
    <w:rsid w:val="00947102"/>
    <w:rsid w:val="00960F71"/>
    <w:rsid w:val="00964B84"/>
    <w:rsid w:val="00983A6D"/>
    <w:rsid w:val="00986744"/>
    <w:rsid w:val="00987120"/>
    <w:rsid w:val="009A0297"/>
    <w:rsid w:val="009A503C"/>
    <w:rsid w:val="009B2E5A"/>
    <w:rsid w:val="009B4A66"/>
    <w:rsid w:val="009B5F7B"/>
    <w:rsid w:val="009C09CB"/>
    <w:rsid w:val="009C0E3D"/>
    <w:rsid w:val="009C6CF9"/>
    <w:rsid w:val="009D5ED1"/>
    <w:rsid w:val="009D691F"/>
    <w:rsid w:val="009E3B2E"/>
    <w:rsid w:val="00A01610"/>
    <w:rsid w:val="00A07C6B"/>
    <w:rsid w:val="00A15057"/>
    <w:rsid w:val="00A3551A"/>
    <w:rsid w:val="00A45270"/>
    <w:rsid w:val="00A56CF2"/>
    <w:rsid w:val="00A5720D"/>
    <w:rsid w:val="00A664FB"/>
    <w:rsid w:val="00A70D2B"/>
    <w:rsid w:val="00AA459C"/>
    <w:rsid w:val="00AA45AC"/>
    <w:rsid w:val="00AB324A"/>
    <w:rsid w:val="00AB3D22"/>
    <w:rsid w:val="00AB6C54"/>
    <w:rsid w:val="00AC3E4B"/>
    <w:rsid w:val="00AD4BE7"/>
    <w:rsid w:val="00AF7D3A"/>
    <w:rsid w:val="00B01ED5"/>
    <w:rsid w:val="00B20B45"/>
    <w:rsid w:val="00B239B9"/>
    <w:rsid w:val="00B2482B"/>
    <w:rsid w:val="00B26F6F"/>
    <w:rsid w:val="00B27355"/>
    <w:rsid w:val="00B41B70"/>
    <w:rsid w:val="00B443F6"/>
    <w:rsid w:val="00B568EA"/>
    <w:rsid w:val="00B6724C"/>
    <w:rsid w:val="00B957A4"/>
    <w:rsid w:val="00B96ED3"/>
    <w:rsid w:val="00B97AB2"/>
    <w:rsid w:val="00BB6252"/>
    <w:rsid w:val="00BC24BF"/>
    <w:rsid w:val="00BC5E95"/>
    <w:rsid w:val="00BF4E55"/>
    <w:rsid w:val="00C060C6"/>
    <w:rsid w:val="00C21689"/>
    <w:rsid w:val="00C22ABF"/>
    <w:rsid w:val="00C23CC6"/>
    <w:rsid w:val="00C31538"/>
    <w:rsid w:val="00C3677D"/>
    <w:rsid w:val="00C44A48"/>
    <w:rsid w:val="00C562DB"/>
    <w:rsid w:val="00C709D6"/>
    <w:rsid w:val="00C74A28"/>
    <w:rsid w:val="00C80258"/>
    <w:rsid w:val="00C81969"/>
    <w:rsid w:val="00C824E6"/>
    <w:rsid w:val="00C910AD"/>
    <w:rsid w:val="00C94DC1"/>
    <w:rsid w:val="00CC009C"/>
    <w:rsid w:val="00CC16A4"/>
    <w:rsid w:val="00CC3965"/>
    <w:rsid w:val="00CC6A41"/>
    <w:rsid w:val="00CD4802"/>
    <w:rsid w:val="00CE1ACA"/>
    <w:rsid w:val="00CE5705"/>
    <w:rsid w:val="00CF34BB"/>
    <w:rsid w:val="00CF4A5B"/>
    <w:rsid w:val="00CF4CC3"/>
    <w:rsid w:val="00D13DBB"/>
    <w:rsid w:val="00D2425D"/>
    <w:rsid w:val="00D25100"/>
    <w:rsid w:val="00D27E56"/>
    <w:rsid w:val="00D4099B"/>
    <w:rsid w:val="00D45B17"/>
    <w:rsid w:val="00D51A49"/>
    <w:rsid w:val="00D669A7"/>
    <w:rsid w:val="00D70603"/>
    <w:rsid w:val="00D737C6"/>
    <w:rsid w:val="00D74853"/>
    <w:rsid w:val="00D865DF"/>
    <w:rsid w:val="00D9065A"/>
    <w:rsid w:val="00D91308"/>
    <w:rsid w:val="00DB45DB"/>
    <w:rsid w:val="00DB6386"/>
    <w:rsid w:val="00DC4345"/>
    <w:rsid w:val="00DD0E10"/>
    <w:rsid w:val="00DF5C6C"/>
    <w:rsid w:val="00DF6D5B"/>
    <w:rsid w:val="00DF7142"/>
    <w:rsid w:val="00E032B9"/>
    <w:rsid w:val="00E10AEE"/>
    <w:rsid w:val="00E1299E"/>
    <w:rsid w:val="00E13F24"/>
    <w:rsid w:val="00E30F93"/>
    <w:rsid w:val="00E33312"/>
    <w:rsid w:val="00E479FA"/>
    <w:rsid w:val="00E63B07"/>
    <w:rsid w:val="00E676D1"/>
    <w:rsid w:val="00E743BE"/>
    <w:rsid w:val="00E94641"/>
    <w:rsid w:val="00EA2D6A"/>
    <w:rsid w:val="00EB3D4E"/>
    <w:rsid w:val="00EC7CBA"/>
    <w:rsid w:val="00ED1A75"/>
    <w:rsid w:val="00ED42EB"/>
    <w:rsid w:val="00EE01D4"/>
    <w:rsid w:val="00EE5190"/>
    <w:rsid w:val="00EF0B28"/>
    <w:rsid w:val="00EF3C71"/>
    <w:rsid w:val="00EF64E3"/>
    <w:rsid w:val="00F17F7D"/>
    <w:rsid w:val="00F229F7"/>
    <w:rsid w:val="00F3345B"/>
    <w:rsid w:val="00F33C86"/>
    <w:rsid w:val="00F51D1C"/>
    <w:rsid w:val="00F52F05"/>
    <w:rsid w:val="00F53D12"/>
    <w:rsid w:val="00F64EFE"/>
    <w:rsid w:val="00F655EB"/>
    <w:rsid w:val="00F66875"/>
    <w:rsid w:val="00F82C50"/>
    <w:rsid w:val="00F93814"/>
    <w:rsid w:val="00F941C8"/>
    <w:rsid w:val="00F9598E"/>
    <w:rsid w:val="00FC31FC"/>
    <w:rsid w:val="00FC6C6E"/>
    <w:rsid w:val="00FD68F7"/>
    <w:rsid w:val="00FE52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F9C0"/>
  <w15:chartTrackingRefBased/>
  <w15:docId w15:val="{042CAD9E-20FB-4B46-AC62-A5223E7A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E0"/>
    <w:rPr>
      <w:rFonts w:ascii="Times New Roman" w:eastAsia="Times New Roman" w:hAnsi="Times New Roman" w:cs="Times New Roman"/>
      <w:kern w:val="0"/>
      <w:lang w:eastAsia="en-GB" w:bidi="hi-IN"/>
      <w14:ligatures w14:val="none"/>
    </w:rPr>
  </w:style>
  <w:style w:type="paragraph" w:styleId="Heading1">
    <w:name w:val="heading 1"/>
    <w:basedOn w:val="Normal"/>
    <w:next w:val="Normal"/>
    <w:link w:val="Heading1Char"/>
    <w:uiPriority w:val="9"/>
    <w:qFormat/>
    <w:rsid w:val="00D5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A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A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A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A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4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51A4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51A4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51A4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51A4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51A4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51A4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51A4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51A4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51A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4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51A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A4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51A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A49"/>
    <w:rPr>
      <w:i/>
      <w:iCs/>
      <w:color w:val="404040" w:themeColor="text1" w:themeTint="BF"/>
      <w:lang w:val="en-GB"/>
    </w:rPr>
  </w:style>
  <w:style w:type="paragraph" w:styleId="ListParagraph">
    <w:name w:val="List Paragraph"/>
    <w:basedOn w:val="Normal"/>
    <w:uiPriority w:val="34"/>
    <w:qFormat/>
    <w:rsid w:val="00D51A49"/>
    <w:pPr>
      <w:ind w:left="720"/>
      <w:contextualSpacing/>
    </w:pPr>
  </w:style>
  <w:style w:type="character" w:styleId="IntenseEmphasis">
    <w:name w:val="Intense Emphasis"/>
    <w:basedOn w:val="DefaultParagraphFont"/>
    <w:uiPriority w:val="21"/>
    <w:qFormat/>
    <w:rsid w:val="00D51A49"/>
    <w:rPr>
      <w:i/>
      <w:iCs/>
      <w:color w:val="0F4761" w:themeColor="accent1" w:themeShade="BF"/>
    </w:rPr>
  </w:style>
  <w:style w:type="paragraph" w:styleId="IntenseQuote">
    <w:name w:val="Intense Quote"/>
    <w:basedOn w:val="Normal"/>
    <w:next w:val="Normal"/>
    <w:link w:val="IntenseQuoteChar"/>
    <w:uiPriority w:val="30"/>
    <w:qFormat/>
    <w:rsid w:val="00D5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A49"/>
    <w:rPr>
      <w:i/>
      <w:iCs/>
      <w:color w:val="0F4761" w:themeColor="accent1" w:themeShade="BF"/>
      <w:lang w:val="en-GB"/>
    </w:rPr>
  </w:style>
  <w:style w:type="character" w:styleId="IntenseReference">
    <w:name w:val="Intense Reference"/>
    <w:basedOn w:val="DefaultParagraphFont"/>
    <w:uiPriority w:val="32"/>
    <w:qFormat/>
    <w:rsid w:val="00D51A49"/>
    <w:rPr>
      <w:b/>
      <w:bCs/>
      <w:smallCaps/>
      <w:color w:val="0F4761" w:themeColor="accent1" w:themeShade="BF"/>
      <w:spacing w:val="5"/>
    </w:rPr>
  </w:style>
  <w:style w:type="character" w:styleId="Hyperlink">
    <w:name w:val="Hyperlink"/>
    <w:basedOn w:val="DefaultParagraphFont"/>
    <w:uiPriority w:val="99"/>
    <w:unhideWhenUsed/>
    <w:rsid w:val="000F1CF1"/>
    <w:rPr>
      <w:color w:val="467886" w:themeColor="hyperlink"/>
      <w:u w:val="single"/>
    </w:rPr>
  </w:style>
  <w:style w:type="character" w:styleId="UnresolvedMention">
    <w:name w:val="Unresolved Mention"/>
    <w:basedOn w:val="DefaultParagraphFont"/>
    <w:uiPriority w:val="99"/>
    <w:semiHidden/>
    <w:unhideWhenUsed/>
    <w:rsid w:val="000F1CF1"/>
    <w:rPr>
      <w:color w:val="605E5C"/>
      <w:shd w:val="clear" w:color="auto" w:fill="E1DFDD"/>
    </w:rPr>
  </w:style>
  <w:style w:type="table" w:styleId="TableGrid">
    <w:name w:val="Table Grid"/>
    <w:basedOn w:val="TableNormal"/>
    <w:uiPriority w:val="39"/>
    <w:rsid w:val="00481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A25"/>
    <w:pPr>
      <w:spacing w:before="100" w:beforeAutospacing="1" w:after="100" w:afterAutospacing="1"/>
    </w:pPr>
  </w:style>
  <w:style w:type="character" w:styleId="Strong">
    <w:name w:val="Strong"/>
    <w:basedOn w:val="DefaultParagraphFont"/>
    <w:uiPriority w:val="22"/>
    <w:qFormat/>
    <w:rsid w:val="008A62CB"/>
    <w:rPr>
      <w:b/>
      <w:bCs/>
    </w:rPr>
  </w:style>
  <w:style w:type="character" w:styleId="FollowedHyperlink">
    <w:name w:val="FollowedHyperlink"/>
    <w:basedOn w:val="DefaultParagraphFont"/>
    <w:uiPriority w:val="99"/>
    <w:semiHidden/>
    <w:unhideWhenUsed/>
    <w:rsid w:val="00555795"/>
    <w:rPr>
      <w:color w:val="96607D" w:themeColor="followedHyperlink"/>
      <w:u w:val="single"/>
    </w:rPr>
  </w:style>
  <w:style w:type="paragraph" w:styleId="Caption">
    <w:name w:val="caption"/>
    <w:basedOn w:val="Normal"/>
    <w:next w:val="Normal"/>
    <w:uiPriority w:val="35"/>
    <w:unhideWhenUsed/>
    <w:qFormat/>
    <w:rsid w:val="00555795"/>
    <w:pPr>
      <w:spacing w:after="200"/>
    </w:pPr>
    <w:rPr>
      <w:rFonts w:cs="Mangal"/>
      <w:i/>
      <w:iCs/>
      <w:color w:val="0E2841" w:themeColor="text2"/>
      <w:sz w:val="18"/>
      <w:szCs w:val="16"/>
    </w:rPr>
  </w:style>
  <w:style w:type="paragraph" w:styleId="Header">
    <w:name w:val="header"/>
    <w:basedOn w:val="Normal"/>
    <w:link w:val="HeaderChar"/>
    <w:uiPriority w:val="99"/>
    <w:unhideWhenUsed/>
    <w:rsid w:val="005D51F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5D51FC"/>
    <w:rPr>
      <w:rFonts w:ascii="Times New Roman" w:eastAsia="Times New Roman" w:hAnsi="Times New Roman" w:cs="Mangal"/>
      <w:kern w:val="0"/>
      <w:szCs w:val="21"/>
      <w:lang w:eastAsia="en-GB" w:bidi="hi-IN"/>
      <w14:ligatures w14:val="none"/>
    </w:rPr>
  </w:style>
  <w:style w:type="paragraph" w:styleId="Footer">
    <w:name w:val="footer"/>
    <w:basedOn w:val="Normal"/>
    <w:link w:val="FooterChar"/>
    <w:uiPriority w:val="99"/>
    <w:unhideWhenUsed/>
    <w:rsid w:val="005D51F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5D51FC"/>
    <w:rPr>
      <w:rFonts w:ascii="Times New Roman" w:eastAsia="Times New Roman" w:hAnsi="Times New Roman" w:cs="Mangal"/>
      <w:kern w:val="0"/>
      <w:szCs w:val="21"/>
      <w:lang w:eastAsia="en-GB" w:bidi="hi-IN"/>
      <w14:ligatures w14:val="none"/>
    </w:rPr>
  </w:style>
  <w:style w:type="paragraph" w:styleId="TOCHeading">
    <w:name w:val="TOC Heading"/>
    <w:basedOn w:val="Heading1"/>
    <w:next w:val="Normal"/>
    <w:uiPriority w:val="39"/>
    <w:unhideWhenUsed/>
    <w:qFormat/>
    <w:rsid w:val="00912D86"/>
    <w:pPr>
      <w:spacing w:before="480" w:after="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912D86"/>
    <w:pPr>
      <w:spacing w:before="120"/>
    </w:pPr>
    <w:rPr>
      <w:rFonts w:asciiTheme="minorHAnsi" w:hAnsiTheme="minorHAnsi" w:cs="Mangal"/>
      <w:b/>
      <w:bCs/>
      <w:i/>
      <w:iCs/>
      <w:szCs w:val="20"/>
    </w:rPr>
  </w:style>
  <w:style w:type="paragraph" w:styleId="TOC2">
    <w:name w:val="toc 2"/>
    <w:basedOn w:val="Normal"/>
    <w:next w:val="Normal"/>
    <w:autoRedefine/>
    <w:uiPriority w:val="39"/>
    <w:semiHidden/>
    <w:unhideWhenUsed/>
    <w:rsid w:val="00912D86"/>
    <w:pPr>
      <w:spacing w:before="120"/>
      <w:ind w:left="240"/>
    </w:pPr>
    <w:rPr>
      <w:rFonts w:asciiTheme="minorHAnsi" w:hAnsiTheme="minorHAnsi" w:cs="Mangal"/>
      <w:b/>
      <w:bCs/>
      <w:sz w:val="22"/>
      <w:szCs w:val="18"/>
    </w:rPr>
  </w:style>
  <w:style w:type="paragraph" w:styleId="TOC3">
    <w:name w:val="toc 3"/>
    <w:basedOn w:val="Normal"/>
    <w:next w:val="Normal"/>
    <w:autoRedefine/>
    <w:uiPriority w:val="39"/>
    <w:semiHidden/>
    <w:unhideWhenUsed/>
    <w:rsid w:val="00912D86"/>
    <w:pPr>
      <w:ind w:left="480"/>
    </w:pPr>
    <w:rPr>
      <w:rFonts w:asciiTheme="minorHAnsi" w:hAnsiTheme="minorHAnsi" w:cs="Mangal"/>
      <w:sz w:val="20"/>
      <w:szCs w:val="16"/>
    </w:rPr>
  </w:style>
  <w:style w:type="paragraph" w:styleId="TOC4">
    <w:name w:val="toc 4"/>
    <w:basedOn w:val="Normal"/>
    <w:next w:val="Normal"/>
    <w:autoRedefine/>
    <w:uiPriority w:val="39"/>
    <w:semiHidden/>
    <w:unhideWhenUsed/>
    <w:rsid w:val="00912D86"/>
    <w:pPr>
      <w:ind w:left="720"/>
    </w:pPr>
    <w:rPr>
      <w:rFonts w:asciiTheme="minorHAnsi" w:hAnsiTheme="minorHAnsi" w:cs="Mangal"/>
      <w:sz w:val="20"/>
      <w:szCs w:val="16"/>
    </w:rPr>
  </w:style>
  <w:style w:type="paragraph" w:styleId="TOC5">
    <w:name w:val="toc 5"/>
    <w:basedOn w:val="Normal"/>
    <w:next w:val="Normal"/>
    <w:autoRedefine/>
    <w:uiPriority w:val="39"/>
    <w:semiHidden/>
    <w:unhideWhenUsed/>
    <w:rsid w:val="00912D86"/>
    <w:pPr>
      <w:ind w:left="960"/>
    </w:pPr>
    <w:rPr>
      <w:rFonts w:asciiTheme="minorHAnsi" w:hAnsiTheme="minorHAnsi" w:cs="Mangal"/>
      <w:sz w:val="20"/>
      <w:szCs w:val="16"/>
    </w:rPr>
  </w:style>
  <w:style w:type="paragraph" w:styleId="TOC6">
    <w:name w:val="toc 6"/>
    <w:basedOn w:val="Normal"/>
    <w:next w:val="Normal"/>
    <w:autoRedefine/>
    <w:uiPriority w:val="39"/>
    <w:semiHidden/>
    <w:unhideWhenUsed/>
    <w:rsid w:val="00912D86"/>
    <w:pPr>
      <w:ind w:left="1200"/>
    </w:pPr>
    <w:rPr>
      <w:rFonts w:asciiTheme="minorHAnsi" w:hAnsiTheme="minorHAnsi" w:cs="Mangal"/>
      <w:sz w:val="20"/>
      <w:szCs w:val="16"/>
    </w:rPr>
  </w:style>
  <w:style w:type="paragraph" w:styleId="TOC7">
    <w:name w:val="toc 7"/>
    <w:basedOn w:val="Normal"/>
    <w:next w:val="Normal"/>
    <w:autoRedefine/>
    <w:uiPriority w:val="39"/>
    <w:semiHidden/>
    <w:unhideWhenUsed/>
    <w:rsid w:val="00912D86"/>
    <w:pPr>
      <w:ind w:left="1440"/>
    </w:pPr>
    <w:rPr>
      <w:rFonts w:asciiTheme="minorHAnsi" w:hAnsiTheme="minorHAnsi" w:cs="Mangal"/>
      <w:sz w:val="20"/>
      <w:szCs w:val="16"/>
    </w:rPr>
  </w:style>
  <w:style w:type="paragraph" w:styleId="TOC8">
    <w:name w:val="toc 8"/>
    <w:basedOn w:val="Normal"/>
    <w:next w:val="Normal"/>
    <w:autoRedefine/>
    <w:uiPriority w:val="39"/>
    <w:semiHidden/>
    <w:unhideWhenUsed/>
    <w:rsid w:val="00912D86"/>
    <w:pPr>
      <w:ind w:left="1680"/>
    </w:pPr>
    <w:rPr>
      <w:rFonts w:asciiTheme="minorHAnsi" w:hAnsiTheme="minorHAnsi" w:cs="Mangal"/>
      <w:sz w:val="20"/>
      <w:szCs w:val="16"/>
    </w:rPr>
  </w:style>
  <w:style w:type="paragraph" w:styleId="TOC9">
    <w:name w:val="toc 9"/>
    <w:basedOn w:val="Normal"/>
    <w:next w:val="Normal"/>
    <w:autoRedefine/>
    <w:uiPriority w:val="39"/>
    <w:semiHidden/>
    <w:unhideWhenUsed/>
    <w:rsid w:val="00912D86"/>
    <w:pPr>
      <w:ind w:left="1920"/>
    </w:pPr>
    <w:rPr>
      <w:rFonts w:asciiTheme="minorHAnsi" w:hAnsiTheme="minorHAnsi" w:cs="Mangal"/>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81379">
      <w:bodyDiv w:val="1"/>
      <w:marLeft w:val="0"/>
      <w:marRight w:val="0"/>
      <w:marTop w:val="0"/>
      <w:marBottom w:val="0"/>
      <w:divBdr>
        <w:top w:val="none" w:sz="0" w:space="0" w:color="auto"/>
        <w:left w:val="none" w:sz="0" w:space="0" w:color="auto"/>
        <w:bottom w:val="none" w:sz="0" w:space="0" w:color="auto"/>
        <w:right w:val="none" w:sz="0" w:space="0" w:color="auto"/>
      </w:divBdr>
    </w:div>
    <w:div w:id="179785190">
      <w:bodyDiv w:val="1"/>
      <w:marLeft w:val="0"/>
      <w:marRight w:val="0"/>
      <w:marTop w:val="0"/>
      <w:marBottom w:val="0"/>
      <w:divBdr>
        <w:top w:val="none" w:sz="0" w:space="0" w:color="auto"/>
        <w:left w:val="none" w:sz="0" w:space="0" w:color="auto"/>
        <w:bottom w:val="none" w:sz="0" w:space="0" w:color="auto"/>
        <w:right w:val="none" w:sz="0" w:space="0" w:color="auto"/>
      </w:divBdr>
    </w:div>
    <w:div w:id="336346107">
      <w:bodyDiv w:val="1"/>
      <w:marLeft w:val="0"/>
      <w:marRight w:val="0"/>
      <w:marTop w:val="0"/>
      <w:marBottom w:val="0"/>
      <w:divBdr>
        <w:top w:val="none" w:sz="0" w:space="0" w:color="auto"/>
        <w:left w:val="none" w:sz="0" w:space="0" w:color="auto"/>
        <w:bottom w:val="none" w:sz="0" w:space="0" w:color="auto"/>
        <w:right w:val="none" w:sz="0" w:space="0" w:color="auto"/>
      </w:divBdr>
    </w:div>
    <w:div w:id="389228770">
      <w:bodyDiv w:val="1"/>
      <w:marLeft w:val="0"/>
      <w:marRight w:val="0"/>
      <w:marTop w:val="0"/>
      <w:marBottom w:val="0"/>
      <w:divBdr>
        <w:top w:val="none" w:sz="0" w:space="0" w:color="auto"/>
        <w:left w:val="none" w:sz="0" w:space="0" w:color="auto"/>
        <w:bottom w:val="none" w:sz="0" w:space="0" w:color="auto"/>
        <w:right w:val="none" w:sz="0" w:space="0" w:color="auto"/>
      </w:divBdr>
    </w:div>
    <w:div w:id="416291661">
      <w:bodyDiv w:val="1"/>
      <w:marLeft w:val="0"/>
      <w:marRight w:val="0"/>
      <w:marTop w:val="0"/>
      <w:marBottom w:val="0"/>
      <w:divBdr>
        <w:top w:val="none" w:sz="0" w:space="0" w:color="auto"/>
        <w:left w:val="none" w:sz="0" w:space="0" w:color="auto"/>
        <w:bottom w:val="none" w:sz="0" w:space="0" w:color="auto"/>
        <w:right w:val="none" w:sz="0" w:space="0" w:color="auto"/>
      </w:divBdr>
    </w:div>
    <w:div w:id="421924441">
      <w:bodyDiv w:val="1"/>
      <w:marLeft w:val="0"/>
      <w:marRight w:val="0"/>
      <w:marTop w:val="0"/>
      <w:marBottom w:val="0"/>
      <w:divBdr>
        <w:top w:val="none" w:sz="0" w:space="0" w:color="auto"/>
        <w:left w:val="none" w:sz="0" w:space="0" w:color="auto"/>
        <w:bottom w:val="none" w:sz="0" w:space="0" w:color="auto"/>
        <w:right w:val="none" w:sz="0" w:space="0" w:color="auto"/>
      </w:divBdr>
    </w:div>
    <w:div w:id="473252790">
      <w:bodyDiv w:val="1"/>
      <w:marLeft w:val="0"/>
      <w:marRight w:val="0"/>
      <w:marTop w:val="0"/>
      <w:marBottom w:val="0"/>
      <w:divBdr>
        <w:top w:val="none" w:sz="0" w:space="0" w:color="auto"/>
        <w:left w:val="none" w:sz="0" w:space="0" w:color="auto"/>
        <w:bottom w:val="none" w:sz="0" w:space="0" w:color="auto"/>
        <w:right w:val="none" w:sz="0" w:space="0" w:color="auto"/>
      </w:divBdr>
    </w:div>
    <w:div w:id="508838800">
      <w:bodyDiv w:val="1"/>
      <w:marLeft w:val="0"/>
      <w:marRight w:val="0"/>
      <w:marTop w:val="0"/>
      <w:marBottom w:val="0"/>
      <w:divBdr>
        <w:top w:val="none" w:sz="0" w:space="0" w:color="auto"/>
        <w:left w:val="none" w:sz="0" w:space="0" w:color="auto"/>
        <w:bottom w:val="none" w:sz="0" w:space="0" w:color="auto"/>
        <w:right w:val="none" w:sz="0" w:space="0" w:color="auto"/>
      </w:divBdr>
    </w:div>
    <w:div w:id="649754155">
      <w:bodyDiv w:val="1"/>
      <w:marLeft w:val="0"/>
      <w:marRight w:val="0"/>
      <w:marTop w:val="0"/>
      <w:marBottom w:val="0"/>
      <w:divBdr>
        <w:top w:val="none" w:sz="0" w:space="0" w:color="auto"/>
        <w:left w:val="none" w:sz="0" w:space="0" w:color="auto"/>
        <w:bottom w:val="none" w:sz="0" w:space="0" w:color="auto"/>
        <w:right w:val="none" w:sz="0" w:space="0" w:color="auto"/>
      </w:divBdr>
    </w:div>
    <w:div w:id="910189311">
      <w:bodyDiv w:val="1"/>
      <w:marLeft w:val="0"/>
      <w:marRight w:val="0"/>
      <w:marTop w:val="0"/>
      <w:marBottom w:val="0"/>
      <w:divBdr>
        <w:top w:val="none" w:sz="0" w:space="0" w:color="auto"/>
        <w:left w:val="none" w:sz="0" w:space="0" w:color="auto"/>
        <w:bottom w:val="none" w:sz="0" w:space="0" w:color="auto"/>
        <w:right w:val="none" w:sz="0" w:space="0" w:color="auto"/>
      </w:divBdr>
    </w:div>
    <w:div w:id="983585436">
      <w:bodyDiv w:val="1"/>
      <w:marLeft w:val="0"/>
      <w:marRight w:val="0"/>
      <w:marTop w:val="0"/>
      <w:marBottom w:val="0"/>
      <w:divBdr>
        <w:top w:val="none" w:sz="0" w:space="0" w:color="auto"/>
        <w:left w:val="none" w:sz="0" w:space="0" w:color="auto"/>
        <w:bottom w:val="none" w:sz="0" w:space="0" w:color="auto"/>
        <w:right w:val="none" w:sz="0" w:space="0" w:color="auto"/>
      </w:divBdr>
    </w:div>
    <w:div w:id="991257079">
      <w:bodyDiv w:val="1"/>
      <w:marLeft w:val="0"/>
      <w:marRight w:val="0"/>
      <w:marTop w:val="0"/>
      <w:marBottom w:val="0"/>
      <w:divBdr>
        <w:top w:val="none" w:sz="0" w:space="0" w:color="auto"/>
        <w:left w:val="none" w:sz="0" w:space="0" w:color="auto"/>
        <w:bottom w:val="none" w:sz="0" w:space="0" w:color="auto"/>
        <w:right w:val="none" w:sz="0" w:space="0" w:color="auto"/>
      </w:divBdr>
    </w:div>
    <w:div w:id="1019625723">
      <w:bodyDiv w:val="1"/>
      <w:marLeft w:val="0"/>
      <w:marRight w:val="0"/>
      <w:marTop w:val="0"/>
      <w:marBottom w:val="0"/>
      <w:divBdr>
        <w:top w:val="none" w:sz="0" w:space="0" w:color="auto"/>
        <w:left w:val="none" w:sz="0" w:space="0" w:color="auto"/>
        <w:bottom w:val="none" w:sz="0" w:space="0" w:color="auto"/>
        <w:right w:val="none" w:sz="0" w:space="0" w:color="auto"/>
      </w:divBdr>
    </w:div>
    <w:div w:id="1096630161">
      <w:bodyDiv w:val="1"/>
      <w:marLeft w:val="0"/>
      <w:marRight w:val="0"/>
      <w:marTop w:val="0"/>
      <w:marBottom w:val="0"/>
      <w:divBdr>
        <w:top w:val="none" w:sz="0" w:space="0" w:color="auto"/>
        <w:left w:val="none" w:sz="0" w:space="0" w:color="auto"/>
        <w:bottom w:val="none" w:sz="0" w:space="0" w:color="auto"/>
        <w:right w:val="none" w:sz="0" w:space="0" w:color="auto"/>
      </w:divBdr>
    </w:div>
    <w:div w:id="1141732857">
      <w:bodyDiv w:val="1"/>
      <w:marLeft w:val="0"/>
      <w:marRight w:val="0"/>
      <w:marTop w:val="0"/>
      <w:marBottom w:val="0"/>
      <w:divBdr>
        <w:top w:val="none" w:sz="0" w:space="0" w:color="auto"/>
        <w:left w:val="none" w:sz="0" w:space="0" w:color="auto"/>
        <w:bottom w:val="none" w:sz="0" w:space="0" w:color="auto"/>
        <w:right w:val="none" w:sz="0" w:space="0" w:color="auto"/>
      </w:divBdr>
    </w:div>
    <w:div w:id="1167674367">
      <w:bodyDiv w:val="1"/>
      <w:marLeft w:val="0"/>
      <w:marRight w:val="0"/>
      <w:marTop w:val="0"/>
      <w:marBottom w:val="0"/>
      <w:divBdr>
        <w:top w:val="none" w:sz="0" w:space="0" w:color="auto"/>
        <w:left w:val="none" w:sz="0" w:space="0" w:color="auto"/>
        <w:bottom w:val="none" w:sz="0" w:space="0" w:color="auto"/>
        <w:right w:val="none" w:sz="0" w:space="0" w:color="auto"/>
      </w:divBdr>
    </w:div>
    <w:div w:id="1364132619">
      <w:bodyDiv w:val="1"/>
      <w:marLeft w:val="0"/>
      <w:marRight w:val="0"/>
      <w:marTop w:val="0"/>
      <w:marBottom w:val="0"/>
      <w:divBdr>
        <w:top w:val="none" w:sz="0" w:space="0" w:color="auto"/>
        <w:left w:val="none" w:sz="0" w:space="0" w:color="auto"/>
        <w:bottom w:val="none" w:sz="0" w:space="0" w:color="auto"/>
        <w:right w:val="none" w:sz="0" w:space="0" w:color="auto"/>
      </w:divBdr>
    </w:div>
    <w:div w:id="1374772114">
      <w:bodyDiv w:val="1"/>
      <w:marLeft w:val="0"/>
      <w:marRight w:val="0"/>
      <w:marTop w:val="0"/>
      <w:marBottom w:val="0"/>
      <w:divBdr>
        <w:top w:val="none" w:sz="0" w:space="0" w:color="auto"/>
        <w:left w:val="none" w:sz="0" w:space="0" w:color="auto"/>
        <w:bottom w:val="none" w:sz="0" w:space="0" w:color="auto"/>
        <w:right w:val="none" w:sz="0" w:space="0" w:color="auto"/>
      </w:divBdr>
    </w:div>
    <w:div w:id="1586836171">
      <w:bodyDiv w:val="1"/>
      <w:marLeft w:val="0"/>
      <w:marRight w:val="0"/>
      <w:marTop w:val="0"/>
      <w:marBottom w:val="0"/>
      <w:divBdr>
        <w:top w:val="none" w:sz="0" w:space="0" w:color="auto"/>
        <w:left w:val="none" w:sz="0" w:space="0" w:color="auto"/>
        <w:bottom w:val="none" w:sz="0" w:space="0" w:color="auto"/>
        <w:right w:val="none" w:sz="0" w:space="0" w:color="auto"/>
      </w:divBdr>
    </w:div>
    <w:div w:id="1741561438">
      <w:bodyDiv w:val="1"/>
      <w:marLeft w:val="0"/>
      <w:marRight w:val="0"/>
      <w:marTop w:val="0"/>
      <w:marBottom w:val="0"/>
      <w:divBdr>
        <w:top w:val="none" w:sz="0" w:space="0" w:color="auto"/>
        <w:left w:val="none" w:sz="0" w:space="0" w:color="auto"/>
        <w:bottom w:val="none" w:sz="0" w:space="0" w:color="auto"/>
        <w:right w:val="none" w:sz="0" w:space="0" w:color="auto"/>
      </w:divBdr>
    </w:div>
    <w:div w:id="1941713678">
      <w:bodyDiv w:val="1"/>
      <w:marLeft w:val="0"/>
      <w:marRight w:val="0"/>
      <w:marTop w:val="0"/>
      <w:marBottom w:val="0"/>
      <w:divBdr>
        <w:top w:val="none" w:sz="0" w:space="0" w:color="auto"/>
        <w:left w:val="none" w:sz="0" w:space="0" w:color="auto"/>
        <w:bottom w:val="none" w:sz="0" w:space="0" w:color="auto"/>
        <w:right w:val="none" w:sz="0" w:space="0" w:color="auto"/>
      </w:divBdr>
    </w:div>
    <w:div w:id="1941836508">
      <w:bodyDiv w:val="1"/>
      <w:marLeft w:val="0"/>
      <w:marRight w:val="0"/>
      <w:marTop w:val="0"/>
      <w:marBottom w:val="0"/>
      <w:divBdr>
        <w:top w:val="none" w:sz="0" w:space="0" w:color="auto"/>
        <w:left w:val="none" w:sz="0" w:space="0" w:color="auto"/>
        <w:bottom w:val="none" w:sz="0" w:space="0" w:color="auto"/>
        <w:right w:val="none" w:sz="0" w:space="0" w:color="auto"/>
      </w:divBdr>
    </w:div>
    <w:div w:id="1955744371">
      <w:bodyDiv w:val="1"/>
      <w:marLeft w:val="0"/>
      <w:marRight w:val="0"/>
      <w:marTop w:val="0"/>
      <w:marBottom w:val="0"/>
      <w:divBdr>
        <w:top w:val="none" w:sz="0" w:space="0" w:color="auto"/>
        <w:left w:val="none" w:sz="0" w:space="0" w:color="auto"/>
        <w:bottom w:val="none" w:sz="0" w:space="0" w:color="auto"/>
        <w:right w:val="none" w:sz="0" w:space="0" w:color="auto"/>
      </w:divBdr>
    </w:div>
    <w:div w:id="1979870180">
      <w:bodyDiv w:val="1"/>
      <w:marLeft w:val="0"/>
      <w:marRight w:val="0"/>
      <w:marTop w:val="0"/>
      <w:marBottom w:val="0"/>
      <w:divBdr>
        <w:top w:val="none" w:sz="0" w:space="0" w:color="auto"/>
        <w:left w:val="none" w:sz="0" w:space="0" w:color="auto"/>
        <w:bottom w:val="none" w:sz="0" w:space="0" w:color="auto"/>
        <w:right w:val="none" w:sz="0" w:space="0" w:color="auto"/>
      </w:divBdr>
    </w:div>
    <w:div w:id="1984234238">
      <w:bodyDiv w:val="1"/>
      <w:marLeft w:val="0"/>
      <w:marRight w:val="0"/>
      <w:marTop w:val="0"/>
      <w:marBottom w:val="0"/>
      <w:divBdr>
        <w:top w:val="none" w:sz="0" w:space="0" w:color="auto"/>
        <w:left w:val="none" w:sz="0" w:space="0" w:color="auto"/>
        <w:bottom w:val="none" w:sz="0" w:space="0" w:color="auto"/>
        <w:right w:val="none" w:sz="0" w:space="0" w:color="auto"/>
      </w:divBdr>
    </w:div>
    <w:div w:id="2028405528">
      <w:bodyDiv w:val="1"/>
      <w:marLeft w:val="0"/>
      <w:marRight w:val="0"/>
      <w:marTop w:val="0"/>
      <w:marBottom w:val="0"/>
      <w:divBdr>
        <w:top w:val="none" w:sz="0" w:space="0" w:color="auto"/>
        <w:left w:val="none" w:sz="0" w:space="0" w:color="auto"/>
        <w:bottom w:val="none" w:sz="0" w:space="0" w:color="auto"/>
        <w:right w:val="none" w:sz="0" w:space="0" w:color="auto"/>
      </w:divBdr>
    </w:div>
    <w:div w:id="2057653342">
      <w:bodyDiv w:val="1"/>
      <w:marLeft w:val="0"/>
      <w:marRight w:val="0"/>
      <w:marTop w:val="0"/>
      <w:marBottom w:val="0"/>
      <w:divBdr>
        <w:top w:val="none" w:sz="0" w:space="0" w:color="auto"/>
        <w:left w:val="none" w:sz="0" w:space="0" w:color="auto"/>
        <w:bottom w:val="none" w:sz="0" w:space="0" w:color="auto"/>
        <w:right w:val="none" w:sz="0" w:space="0" w:color="auto"/>
      </w:divBdr>
    </w:div>
    <w:div w:id="2081443381">
      <w:bodyDiv w:val="1"/>
      <w:marLeft w:val="0"/>
      <w:marRight w:val="0"/>
      <w:marTop w:val="0"/>
      <w:marBottom w:val="0"/>
      <w:divBdr>
        <w:top w:val="none" w:sz="0" w:space="0" w:color="auto"/>
        <w:left w:val="none" w:sz="0" w:space="0" w:color="auto"/>
        <w:bottom w:val="none" w:sz="0" w:space="0" w:color="auto"/>
        <w:right w:val="none" w:sz="0" w:space="0" w:color="auto"/>
      </w:divBdr>
    </w:div>
    <w:div w:id="2114932549">
      <w:bodyDiv w:val="1"/>
      <w:marLeft w:val="0"/>
      <w:marRight w:val="0"/>
      <w:marTop w:val="0"/>
      <w:marBottom w:val="0"/>
      <w:divBdr>
        <w:top w:val="none" w:sz="0" w:space="0" w:color="auto"/>
        <w:left w:val="none" w:sz="0" w:space="0" w:color="auto"/>
        <w:bottom w:val="none" w:sz="0" w:space="0" w:color="auto"/>
        <w:right w:val="none" w:sz="0" w:space="0" w:color="auto"/>
      </w:divBdr>
    </w:div>
    <w:div w:id="2120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reratings.com/uploads/newsfiles/10022023025525_Specialised_Education_NBFCs%E2%80%99_Market_Share_Doubles_with_Good_Asset_Quality.pdf" TargetMode="External"/><Relationship Id="rId18" Type="http://schemas.openxmlformats.org/officeDocument/2006/relationships/hyperlink" Target="https://www.avanse.com/pdf/investors/key-fact-sheet-fy24-new.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redila.com/pdfs/HDFC_Credila_Annual_Report_FY_2023_24_revised.pdf" TargetMode="External"/><Relationship Id="rId2" Type="http://schemas.openxmlformats.org/officeDocument/2006/relationships/numbering" Target="numbering.xml"/><Relationship Id="rId16" Type="http://schemas.openxmlformats.org/officeDocument/2006/relationships/hyperlink" Target="https://www.jetir.org/papers/JETIR240684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jmsrr.com/downloads/261020226.pdf" TargetMode="External"/><Relationship Id="rId10" Type="http://schemas.openxmlformats.org/officeDocument/2006/relationships/image" Target="media/image3.png"/><Relationship Id="rId19" Type="http://schemas.openxmlformats.org/officeDocument/2006/relationships/hyperlink" Target="https://www.pnbindia.in/annual-repor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bbsr.s3waas.gov.in/s392049debbe566ca5782a3045cf300a3c/uploads/2024/02/202407199526885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41F06-0E97-BB46-829E-43D3EA241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33</Pages>
  <Words>5942</Words>
  <Characters>33871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Agarwal</dc:creator>
  <cp:keywords/>
  <dc:description/>
  <cp:lastModifiedBy>Aashish Agarwal</cp:lastModifiedBy>
  <cp:revision>6</cp:revision>
  <cp:lastPrinted>2025-06-20T20:07:00Z</cp:lastPrinted>
  <dcterms:created xsi:type="dcterms:W3CDTF">2025-06-20T20:07:00Z</dcterms:created>
  <dcterms:modified xsi:type="dcterms:W3CDTF">2025-06-23T03:50:00Z</dcterms:modified>
</cp:coreProperties>
</file>