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Qiscus Custom Agent Allocation</w:t>
      </w:r>
    </w:p>
    <w:p>
      <w:pPr>
        <w:spacing w:after="300"/>
      </w:pPr>
      <w:r>
        <w:rPr>
          <w:color w:val="555555"/>
          <w:sz w:val="28"/>
          <w:szCs w:val="28"/>
        </w:rPr>
        <w:t xml:space="preserve">Project Plan &amp; Technical Scope</w:t>
      </w:r>
    </w:p>
    <w:p>
      <w:pPr>
        <w:pStyle w:val="Heading1"/>
        <w:spacing w:after="160" w:before="360"/>
      </w:pPr>
      <w:r>
        <w:t xml:space="preserve">1. Objective</w:t>
      </w:r>
    </w:p>
    <w:p>
      <w:pPr>
        <w:spacing w:after="140"/>
      </w:pPr>
      <w:r>
        <w:t xml:space="preserve">Membuat service custom agent allocation untuk Qiscus Omnichannel Chat sesuai ketentuan test (dokumen "Qiscus Custom Agent Allocation Test"), dengan scope dibatasi persis pada 4 requirement inti berikut — tanpa fitur tambahan di luar itu, karena ini adalah project test, bukan production.</w:t>
      </w:r>
    </w:p>
    <w:p>
      <w:pPr>
        <w:pStyle w:val="ListParagraph"/>
        <w:numPr>
          <w:ilvl w:val="0"/>
          <w:numId w:val="2"/>
        </w:numPr>
        <w:spacing w:after="60"/>
      </w:pPr>
      <w:r>
        <w:t xml:space="preserve">Setiap agent punya kuota maksimum customer yang dapat ditangani bersamaan (default dapat dikonfigurasi, contoh: 1 agent menangani 2 customer).</w:t>
      </w:r>
    </w:p>
    <w:p>
      <w:pPr>
        <w:pStyle w:val="ListParagraph"/>
        <w:numPr>
          <w:ilvl w:val="0"/>
          <w:numId w:val="2"/>
        </w:numPr>
        <w:spacing w:after="60"/>
      </w:pPr>
      <w:r>
        <w:t xml:space="preserve">Aturan antrian menggunakan FIFO — customer yang datang lebih dulu, dilayani lebih dulu begitu ada slot kosong.</w:t>
      </w:r>
    </w:p>
    <w:p>
      <w:pPr>
        <w:pStyle w:val="ListParagraph"/>
        <w:numPr>
          <w:ilvl w:val="0"/>
          <w:numId w:val="2"/>
        </w:numPr>
        <w:spacing w:after="60"/>
      </w:pPr>
      <w:r>
        <w:t xml:space="preserve">Hanya melakukan assignment ke agent berstatus online.</w:t>
      </w:r>
    </w:p>
    <w:p>
      <w:pPr>
        <w:pStyle w:val="ListParagraph"/>
        <w:numPr>
          <w:ilvl w:val="0"/>
          <w:numId w:val="2"/>
        </w:numPr>
        <w:spacing w:after="60"/>
      </w:pPr>
      <w:r>
        <w:t xml:space="preserve">Service di-deploy ke public URL dan didaftarkan sebagai Custom Agent Allocation Webhook di dashboard Qiscus Omnichannel.</w:t>
      </w:r>
    </w:p>
    <w:p>
      <w:pPr>
        <w:pStyle w:val="Heading1"/>
        <w:spacing w:after="160" w:before="360"/>
      </w:pPr>
      <w:r>
        <w:t xml:space="preserve">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shd w:fill="2F5496" w:val="clear"/>
            <w:tcMar>
              <w:top w:type="dxa" w:w="80"/>
              <w:left w:type="dxa" w:w="100"/>
              <w:bottom w:type="dxa" w:w="80"/>
              <w:right w:type="dxa" w:w="100"/>
            </w:tcMar>
          </w:tcPr>
          <w:p>
            <w:r>
              <w:rPr>
                <w:b/>
                <w:bCs/>
                <w:color w:val="FFFFFF"/>
              </w:rPr>
              <w:t xml:space="preserve">Layer</w:t>
            </w:r>
          </w:p>
        </w:tc>
        <w:tc>
          <w:tcPr>
            <w:tcW w:type="dxa" w:w="2600"/>
            <w:shd w:fill="2F5496" w:val="clear"/>
            <w:tcMar>
              <w:top w:type="dxa" w:w="80"/>
              <w:left w:type="dxa" w:w="100"/>
              <w:bottom w:type="dxa" w:w="80"/>
              <w:right w:type="dxa" w:w="100"/>
            </w:tcMar>
          </w:tcPr>
          <w:p>
            <w:r>
              <w:rPr>
                <w:b/>
                <w:bCs/>
                <w:color w:val="FFFFFF"/>
              </w:rPr>
              <w:t xml:space="preserve">Pilihan</w:t>
            </w:r>
          </w:p>
        </w:tc>
        <w:tc>
          <w:tcPr>
            <w:tcW w:type="dxa" w:w="4726"/>
            <w:shd w:fill="2F5496" w:val="clear"/>
            <w:tcMar>
              <w:top w:type="dxa" w:w="80"/>
              <w:left w:type="dxa" w:w="100"/>
              <w:bottom w:type="dxa" w:w="80"/>
              <w:right w:type="dxa" w:w="100"/>
            </w:tcMar>
          </w:tcPr>
          <w:p>
            <w:r>
              <w:rPr>
                <w:b/>
                <w:bCs/>
                <w:color w:val="FFFFFF"/>
              </w:rPr>
              <w:t xml:space="preserve">Alasan singkat</w:t>
            </w:r>
          </w:p>
        </w:tc>
      </w:tr>
      <w:tr>
        <w:tc>
          <w:tcPr>
            <w:tcW w:type="dxa" w:w="1700"/>
            <w:tcMar>
              <w:top w:type="dxa" w:w="80"/>
              <w:left w:type="dxa" w:w="100"/>
              <w:bottom w:type="dxa" w:w="80"/>
              <w:right w:type="dxa" w:w="100"/>
            </w:tcMar>
          </w:tcPr>
          <w:p>
            <w:r>
              <w:rPr>
                <w:b w:val="false"/>
                <w:bCs w:val="false"/>
              </w:rPr>
              <w:t xml:space="preserve">Runtime &amp; Bahasa</w:t>
            </w:r>
          </w:p>
        </w:tc>
        <w:tc>
          <w:tcPr>
            <w:tcW w:type="dxa" w:w="2600"/>
            <w:tcMar>
              <w:top w:type="dxa" w:w="80"/>
              <w:left w:type="dxa" w:w="100"/>
              <w:bottom w:type="dxa" w:w="80"/>
              <w:right w:type="dxa" w:w="100"/>
            </w:tcMar>
          </w:tcPr>
          <w:p>
            <w:r>
              <w:rPr>
                <w:b w:val="false"/>
                <w:bCs w:val="false"/>
              </w:rPr>
              <w:t xml:space="preserve">Node.js + TypeScript</w:t>
            </w:r>
          </w:p>
        </w:tc>
        <w:tc>
          <w:tcPr>
            <w:tcW w:type="dxa" w:w="4726"/>
            <w:tcMar>
              <w:top w:type="dxa" w:w="80"/>
              <w:left w:type="dxa" w:w="100"/>
              <w:bottom w:type="dxa" w:w="80"/>
              <w:right w:type="dxa" w:w="100"/>
            </w:tcMar>
          </w:tcPr>
          <w:p>
            <w:r>
              <w:rPr>
                <w:b w:val="false"/>
                <w:bCs w:val="false"/>
              </w:rPr>
              <w:t xml:space="preserve">Sesuai proficiency harian, iterasi cepat untuk deadline test; TypeScript membantu menangkap kesalahan tipe/field API Qiscus yang sebagian belum terverifikasi penuh dari dokumentasi.</w:t>
            </w:r>
          </w:p>
        </w:tc>
      </w:tr>
      <w:tr>
        <w:tc>
          <w:tcPr>
            <w:tcW w:type="dxa" w:w="1700"/>
            <w:tcMar>
              <w:top w:type="dxa" w:w="80"/>
              <w:left w:type="dxa" w:w="100"/>
              <w:bottom w:type="dxa" w:w="80"/>
              <w:right w:type="dxa" w:w="100"/>
            </w:tcMar>
          </w:tcPr>
          <w:p>
            <w:r>
              <w:rPr>
                <w:b w:val="false"/>
                <w:bCs w:val="false"/>
              </w:rPr>
              <w:t xml:space="preserve">Web Framework</w:t>
            </w:r>
          </w:p>
        </w:tc>
        <w:tc>
          <w:tcPr>
            <w:tcW w:type="dxa" w:w="2600"/>
            <w:tcMar>
              <w:top w:type="dxa" w:w="80"/>
              <w:left w:type="dxa" w:w="100"/>
              <w:bottom w:type="dxa" w:w="80"/>
              <w:right w:type="dxa" w:w="100"/>
            </w:tcMar>
          </w:tcPr>
          <w:p>
            <w:r>
              <w:rPr>
                <w:b w:val="false"/>
                <w:bCs w:val="false"/>
              </w:rPr>
              <w:t xml:space="preserve">Express</w:t>
            </w:r>
          </w:p>
        </w:tc>
        <w:tc>
          <w:tcPr>
            <w:tcW w:type="dxa" w:w="4726"/>
            <w:tcMar>
              <w:top w:type="dxa" w:w="80"/>
              <w:left w:type="dxa" w:w="100"/>
              <w:bottom w:type="dxa" w:w="80"/>
              <w:right w:type="dxa" w:w="100"/>
            </w:tcMar>
          </w:tcPr>
          <w:p>
            <w:r>
              <w:rPr>
                <w:b w:val="false"/>
                <w:bCs w:val="false"/>
              </w:rPr>
              <w:t xml:space="preserve">Sederhana untuk 2 endpoint webhook + beberapa outbound API call; dokumentasi &amp; familiaritas lebih tinggi dibanding alternatif seperti Fastify.</w:t>
            </w:r>
          </w:p>
        </w:tc>
      </w:tr>
      <w:tr>
        <w:tc>
          <w:tcPr>
            <w:tcW w:type="dxa" w:w="1700"/>
            <w:tcMar>
              <w:top w:type="dxa" w:w="80"/>
              <w:left w:type="dxa" w:w="100"/>
              <w:bottom w:type="dxa" w:w="80"/>
              <w:right w:type="dxa" w:w="100"/>
            </w:tcMar>
          </w:tcPr>
          <w:p>
            <w:r>
              <w:rPr>
                <w:b w:val="false"/>
                <w:bCs w:val="false"/>
              </w:rPr>
              <w:t xml:space="preserve">Database</w:t>
            </w:r>
          </w:p>
        </w:tc>
        <w:tc>
          <w:tcPr>
            <w:tcW w:type="dxa" w:w="2600"/>
            <w:tcMar>
              <w:top w:type="dxa" w:w="80"/>
              <w:left w:type="dxa" w:w="100"/>
              <w:bottom w:type="dxa" w:w="80"/>
              <w:right w:type="dxa" w:w="100"/>
            </w:tcMar>
          </w:tcPr>
          <w:p>
            <w:r>
              <w:rPr>
                <w:b w:val="false"/>
                <w:bCs w:val="false"/>
              </w:rPr>
              <w:t xml:space="preserve">PostgreSQL</w:t>
            </w:r>
          </w:p>
        </w:tc>
        <w:tc>
          <w:tcPr>
            <w:tcW w:type="dxa" w:w="4726"/>
            <w:tcMar>
              <w:top w:type="dxa" w:w="80"/>
              <w:left w:type="dxa" w:w="100"/>
              <w:bottom w:type="dxa" w:w="80"/>
              <w:right w:type="dxa" w:w="100"/>
            </w:tcMar>
          </w:tcPr>
          <w:p>
            <w:r>
              <w:rPr>
                <w:b w:val="false"/>
                <w:bCs w:val="false"/>
              </w:rPr>
              <w:t xml:space="preserve">Menyimpan data agent lokal (kuota) dan antrian assignment (untuk FIFO ordering); transaction/row-lock untuk mencegah race condition saat dua webhook masuk bersamaan.</w:t>
            </w:r>
          </w:p>
        </w:tc>
      </w:tr>
      <w:tr>
        <w:tc>
          <w:tcPr>
            <w:tcW w:type="dxa" w:w="1700"/>
            <w:tcMar>
              <w:top w:type="dxa" w:w="80"/>
              <w:left w:type="dxa" w:w="100"/>
              <w:bottom w:type="dxa" w:w="80"/>
              <w:right w:type="dxa" w:w="100"/>
            </w:tcMar>
          </w:tcPr>
          <w:p>
            <w:r>
              <w:rPr>
                <w:b w:val="false"/>
                <w:bCs w:val="false"/>
              </w:rPr>
              <w:t xml:space="preserve">ORM</w:t>
            </w:r>
          </w:p>
        </w:tc>
        <w:tc>
          <w:tcPr>
            <w:tcW w:type="dxa" w:w="2600"/>
            <w:tcMar>
              <w:top w:type="dxa" w:w="80"/>
              <w:left w:type="dxa" w:w="100"/>
              <w:bottom w:type="dxa" w:w="80"/>
              <w:right w:type="dxa" w:w="100"/>
            </w:tcMar>
          </w:tcPr>
          <w:p>
            <w:r>
              <w:rPr>
                <w:b w:val="false"/>
                <w:bCs w:val="false"/>
              </w:rPr>
              <w:t xml:space="preserve">Prisma</w:t>
            </w:r>
          </w:p>
        </w:tc>
        <w:tc>
          <w:tcPr>
            <w:tcW w:type="dxa" w:w="4726"/>
            <w:tcMar>
              <w:top w:type="dxa" w:w="80"/>
              <w:left w:type="dxa" w:w="100"/>
              <w:bottom w:type="dxa" w:w="80"/>
              <w:right w:type="dxa" w:w="100"/>
            </w:tcMar>
          </w:tcPr>
          <w:p>
            <w:r>
              <w:rPr>
                <w:b w:val="false"/>
                <w:bCs w:val="false"/>
              </w:rPr>
              <w:t xml:space="preserve">Schema declaratif cocok untuk ERD yang kecil; tetap mendukung raw query untuk row-level locking di titik kritis (assignment).</w:t>
            </w:r>
          </w:p>
        </w:tc>
      </w:tr>
      <w:tr>
        <w:tc>
          <w:tcPr>
            <w:tcW w:type="dxa" w:w="1700"/>
            <w:tcMar>
              <w:top w:type="dxa" w:w="80"/>
              <w:left w:type="dxa" w:w="100"/>
              <w:bottom w:type="dxa" w:w="80"/>
              <w:right w:type="dxa" w:w="100"/>
            </w:tcMar>
          </w:tcPr>
          <w:p>
            <w:r>
              <w:rPr>
                <w:b w:val="false"/>
                <w:bCs w:val="false"/>
              </w:rPr>
              <w:t xml:space="preserve">Deployment</w:t>
            </w:r>
          </w:p>
        </w:tc>
        <w:tc>
          <w:tcPr>
            <w:tcW w:type="dxa" w:w="2600"/>
            <w:tcMar>
              <w:top w:type="dxa" w:w="80"/>
              <w:left w:type="dxa" w:w="100"/>
              <w:bottom w:type="dxa" w:w="80"/>
              <w:right w:type="dxa" w:w="100"/>
            </w:tcMar>
          </w:tcPr>
          <w:p>
            <w:r>
              <w:rPr>
                <w:b w:val="false"/>
                <w:bCs w:val="false"/>
              </w:rPr>
              <w:t xml:space="preserve">Railway</w:t>
            </w:r>
          </w:p>
        </w:tc>
        <w:tc>
          <w:tcPr>
            <w:tcW w:type="dxa" w:w="4726"/>
            <w:tcMar>
              <w:top w:type="dxa" w:w="80"/>
              <w:left w:type="dxa" w:w="100"/>
              <w:bottom w:type="dxa" w:w="80"/>
              <w:right w:type="dxa" w:w="100"/>
            </w:tcMar>
          </w:tcPr>
          <w:p>
            <w:r>
              <w:rPr>
                <w:b w:val="false"/>
                <w:bCs w:val="false"/>
              </w:rPr>
              <w:t xml:space="preserve">Hosting Node service + Postgres addon dalam satu project, dapat public HTTPS URL cepat tanpa setup manual tambahan.</w:t>
            </w:r>
          </w:p>
        </w:tc>
      </w:tr>
      <w:tr>
        <w:tc>
          <w:tcPr>
            <w:tcW w:type="dxa" w:w="1700"/>
            <w:tcMar>
              <w:top w:type="dxa" w:w="80"/>
              <w:left w:type="dxa" w:w="100"/>
              <w:bottom w:type="dxa" w:w="80"/>
              <w:right w:type="dxa" w:w="100"/>
            </w:tcMar>
          </w:tcPr>
          <w:p>
            <w:r>
              <w:rPr>
                <w:b w:val="false"/>
                <w:bCs w:val="false"/>
              </w:rPr>
              <w:t xml:space="preserve">Scheduler</w:t>
            </w:r>
          </w:p>
        </w:tc>
        <w:tc>
          <w:tcPr>
            <w:tcW w:type="dxa" w:w="2600"/>
            <w:tcMar>
              <w:top w:type="dxa" w:w="80"/>
              <w:left w:type="dxa" w:w="100"/>
              <w:bottom w:type="dxa" w:w="80"/>
              <w:right w:type="dxa" w:w="100"/>
            </w:tcMar>
          </w:tcPr>
          <w:p>
            <w:r>
              <w:rPr>
                <w:b w:val="false"/>
                <w:bCs w:val="false"/>
              </w:rPr>
              <w:t xml:space="preserve">setInterval di proses yang sama (bukan worker terpisah)</w:t>
            </w:r>
          </w:p>
        </w:tc>
        <w:tc>
          <w:tcPr>
            <w:tcW w:type="dxa" w:w="4726"/>
            <w:tcMar>
              <w:top w:type="dxa" w:w="80"/>
              <w:left w:type="dxa" w:w="100"/>
              <w:bottom w:type="dxa" w:w="80"/>
              <w:right w:type="dxa" w:w="100"/>
            </w:tcMar>
          </w:tcPr>
          <w:p>
            <w:r>
              <w:rPr>
                <w:b w:val="false"/>
                <w:bCs w:val="false"/>
              </w:rPr>
              <w:t xml:space="preserve">Untuk reconciliation antrian (lihat bagian 4) — skala test ini tidak memerlukan queue system terpisah (Redis/BullMQ).</w:t>
            </w:r>
          </w:p>
        </w:tc>
      </w:tr>
    </w:tbl>
    <w:p>
      <w:pPr>
        <w:pStyle w:val="Heading1"/>
        <w:spacing w:after="160" w:before="360"/>
      </w:pPr>
      <w:r>
        <w:t xml:space="preserve">3. Alur Sistem</w:t>
      </w:r>
    </w:p>
    <w:p>
      <w:pPr>
        <w:pStyle w:val="Heading2"/>
        <w:spacing w:after="120" w:before="260"/>
      </w:pPr>
      <w:r>
        <w:t xml:space="preserve">3.1 Custom Agent Allocation Webhook (inbound)</w:t>
      </w:r>
    </w:p>
    <w:p>
      <w:pPr>
        <w:spacing w:after="140"/>
      </w:pPr>
      <w:r>
        <w:t xml:space="preserve">Trigger: customer baru mengirim pesan dan belum ter-assign ke agent manapun.</w:t>
      </w:r>
    </w:p>
    <w:p>
      <w:pPr>
        <w:pStyle w:val="ListParagraph"/>
        <w:numPr>
          <w:ilvl w:val="0"/>
          <w:numId w:val="2"/>
        </w:numPr>
        <w:spacing w:after="60"/>
      </w:pPr>
      <w:r>
        <w:t xml:space="preserve">Simpan entri baru di tabel assignments dengan status waiting.</w:t>
      </w:r>
    </w:p>
    <w:p>
      <w:pPr>
        <w:pStyle w:val="ListParagraph"/>
        <w:numPr>
          <w:ilvl w:val="0"/>
          <w:numId w:val="2"/>
        </w:numPr>
        <w:spacing w:after="60"/>
      </w:pPr>
      <w:r>
        <w:t xml:space="preserve">Ambil status agent online + beban kerja saat ini dari API Available Agents (v2).</w:t>
      </w:r>
    </w:p>
    <w:p>
      <w:pPr>
        <w:pStyle w:val="ListParagraph"/>
        <w:numPr>
          <w:ilvl w:val="0"/>
          <w:numId w:val="2"/>
        </w:numPr>
        <w:spacing w:after="60"/>
      </w:pPr>
      <w:r>
        <w:t xml:space="preserve">Filter agent online dengan current_customer_count di bawah kuota konfigurasi.</w:t>
      </w:r>
    </w:p>
    <w:p>
      <w:pPr>
        <w:pStyle w:val="ListParagraph"/>
        <w:numPr>
          <w:ilvl w:val="0"/>
          <w:numId w:val="2"/>
        </w:numPr>
        <w:spacing w:after="60"/>
      </w:pPr>
      <w:r>
        <w:t xml:space="preserve">Jika ada slot kosong: pilih agent (mis. beban paling ringan), panggil Assign Agent API, update status entri jadi assigned.</w:t>
      </w:r>
    </w:p>
    <w:p>
      <w:pPr>
        <w:pStyle w:val="ListParagraph"/>
        <w:numPr>
          <w:ilvl w:val="0"/>
          <w:numId w:val="2"/>
        </w:numPr>
        <w:spacing w:after="60"/>
      </w:pPr>
      <w:r>
        <w:t xml:space="preserve">Jika tidak ada slot kosong: entri tetap berstatus waiting, urutan ditentukan oleh created_at (FIFO).</w:t>
      </w:r>
    </w:p>
    <w:p>
      <w:pPr>
        <w:pStyle w:val="Heading2"/>
        <w:spacing w:after="120" w:before="260"/>
      </w:pPr>
      <w:r>
        <w:t xml:space="preserve">3.2 Mark As Resolved Webhook (inbound)</w:t>
      </w:r>
    </w:p>
    <w:p>
      <w:pPr>
        <w:spacing w:after="140"/>
      </w:pPr>
      <w:r>
        <w:t xml:space="preserve">Trigger: chat diresolve oleh admin/agent/supervisor. Wajib diimplementasikan — tanpa ini kuota agent tidak pernah berkurang dan antrian macet permanen.</w:t>
      </w:r>
    </w:p>
    <w:p>
      <w:pPr>
        <w:pStyle w:val="ListParagraph"/>
        <w:numPr>
          <w:ilvl w:val="0"/>
          <w:numId w:val="2"/>
        </w:numPr>
        <w:spacing w:after="60"/>
      </w:pPr>
      <w:r>
        <w:t xml:space="preserve">Set status entri assignments terkait menjadi resolved.</w:t>
      </w:r>
    </w:p>
    <w:p>
      <w:pPr>
        <w:pStyle w:val="ListParagraph"/>
        <w:numPr>
          <w:ilvl w:val="0"/>
          <w:numId w:val="2"/>
        </w:numPr>
        <w:spacing w:after="60"/>
      </w:pPr>
      <w:r>
        <w:t xml:space="preserve">Cek antrian waiting (urut created_at ASC), coba assign ke agent yang sekarang punya slot kosong.</w:t>
      </w:r>
    </w:p>
    <w:p>
      <w:pPr>
        <w:pStyle w:val="Heading2"/>
        <w:spacing w:after="120" w:before="260"/>
      </w:pPr>
      <w:r>
        <w:t xml:space="preserve">3.3 Reconciliation (interval ringan, bukan queue system terpisah)</w:t>
      </w:r>
    </w:p>
    <w:p>
      <w:pPr>
        <w:spacing w:after="140"/>
      </w:pPr>
      <w:r>
        <w:t xml:space="preserve">Menutup celah: tidak ada webhook yang memberi tahu "agent baru tersedia" (mis. agent login/toggle available setelah sebelumnya offline/penuh). Tanpa ini, customer yang sudah di antrian bisa stuck permanen.</w:t>
      </w:r>
    </w:p>
    <w:p>
      <w:pPr>
        <w:pStyle w:val="ListParagraph"/>
        <w:numPr>
          <w:ilvl w:val="0"/>
          <w:numId w:val="2"/>
        </w:numPr>
        <w:spacing w:after="60"/>
      </w:pPr>
      <w:r>
        <w:t xml:space="preserve">Jalan tiap 15–30 detik di proses yang sama dengan web server.</w:t>
      </w:r>
    </w:p>
    <w:p>
      <w:pPr>
        <w:pStyle w:val="ListParagraph"/>
        <w:numPr>
          <w:ilvl w:val="0"/>
          <w:numId w:val="2"/>
        </w:numPr>
        <w:spacing w:after="60"/>
      </w:pPr>
      <w:r>
        <w:t xml:space="preserve">Skip pemanggilan API sama sekali jika tidak ada entri waiting di database (menghindari pemborosan API call saat antrian kosong).</w:t>
      </w:r>
    </w:p>
    <w:p>
      <w:pPr>
        <w:pStyle w:val="ListParagraph"/>
        <w:numPr>
          <w:ilvl w:val="0"/>
          <w:numId w:val="2"/>
        </w:numPr>
        <w:spacing w:after="60"/>
      </w:pPr>
      <w:r>
        <w:t xml:space="preserve">Jika ada entri waiting, proses dengan logic yang sama seperti 3.2.</w:t>
      </w:r>
    </w:p>
    <w:p>
      <w:pPr>
        <w:pStyle w:val="Heading1"/>
        <w:spacing w:after="160" w:before="360"/>
      </w:pPr>
      <w:r>
        <w:t xml:space="preserve">4. Entity Relationship Diagram (ERD)</w:t>
      </w:r>
    </w:p>
    <w:p>
      <w:pPr>
        <w:spacing w:after="140"/>
      </w:pPr>
      <w:r>
        <w:t xml:space="preserve">Desain sengaja minim tabel — current_customer_count diambil live dari API Available Agents (v2), bukan disimpan lokal, untuk menghindari data agent desync dari sumber kebenaran di sisi Qiscus.</w:t>
      </w:r>
    </w:p>
    <w:p>
      <w:pPr>
        <w:pStyle w:val="Heading2"/>
        <w:spacing w:after="120" w:before="260"/>
      </w:pPr>
      <w:r>
        <w:t xml:space="preserve">4.1 Tabel: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shd w:fill="2F5496" w:val="clear"/>
            <w:tcMar>
              <w:top w:type="dxa" w:w="80"/>
              <w:left w:type="dxa" w:w="100"/>
              <w:bottom w:type="dxa" w:w="80"/>
              <w:right w:type="dxa" w:w="100"/>
            </w:tcMar>
          </w:tcPr>
          <w:p>
            <w:r>
              <w:rPr>
                <w:b/>
                <w:bCs/>
                <w:color w:val="FFFFFF"/>
              </w:rPr>
              <w:t xml:space="preserve">Field</w:t>
            </w:r>
          </w:p>
        </w:tc>
        <w:tc>
          <w:tcPr>
            <w:tcW w:type="dxa" w:w="1800"/>
            <w:shd w:fill="2F5496" w:val="clear"/>
            <w:tcMar>
              <w:top w:type="dxa" w:w="80"/>
              <w:left w:type="dxa" w:w="100"/>
              <w:bottom w:type="dxa" w:w="80"/>
              <w:right w:type="dxa" w:w="100"/>
            </w:tcMar>
          </w:tcPr>
          <w:p>
            <w:r>
              <w:rPr>
                <w:b/>
                <w:bCs/>
                <w:color w:val="FFFFFF"/>
              </w:rPr>
              <w:t xml:space="preserve">Tipe</w:t>
            </w:r>
          </w:p>
        </w:tc>
        <w:tc>
          <w:tcPr>
            <w:tcW w:type="dxa" w:w="4626"/>
            <w:shd w:fill="2F5496" w:val="clear"/>
            <w:tcMar>
              <w:top w:type="dxa" w:w="80"/>
              <w:left w:type="dxa" w:w="100"/>
              <w:bottom w:type="dxa" w:w="80"/>
              <w:right w:type="dxa" w:w="100"/>
            </w:tcMar>
          </w:tcPr>
          <w:p>
            <w:r>
              <w:rPr>
                <w:b/>
                <w:bCs/>
                <w:color w:val="FFFFFF"/>
              </w:rPr>
              <w:t xml:space="preserve">Keterangan</w:t>
            </w:r>
          </w:p>
        </w:tc>
      </w:tr>
      <w:tr>
        <w:tc>
          <w:tcPr>
            <w:tcW w:type="dxa" w:w="2600"/>
            <w:tcMar>
              <w:top w:type="dxa" w:w="80"/>
              <w:left w:type="dxa" w:w="100"/>
              <w:bottom w:type="dxa" w:w="80"/>
              <w:right w:type="dxa" w:w="100"/>
            </w:tcMar>
          </w:tcPr>
          <w:p>
            <w:r>
              <w:rPr>
                <w:b w:val="false"/>
                <w:bCs w:val="false"/>
              </w:rPr>
              <w:t xml:space="preserve">id</w:t>
            </w:r>
          </w:p>
        </w:tc>
        <w:tc>
          <w:tcPr>
            <w:tcW w:type="dxa" w:w="1800"/>
            <w:tcMar>
              <w:top w:type="dxa" w:w="80"/>
              <w:left w:type="dxa" w:w="100"/>
              <w:bottom w:type="dxa" w:w="80"/>
              <w:right w:type="dxa" w:w="100"/>
            </w:tcMar>
          </w:tcPr>
          <w:p>
            <w:r>
              <w:rPr>
                <w:b w:val="false"/>
                <w:bCs w:val="false"/>
              </w:rPr>
              <w:t xml:space="preserve">INT (PK)</w:t>
            </w:r>
          </w:p>
        </w:tc>
        <w:tc>
          <w:tcPr>
            <w:tcW w:type="dxa" w:w="4626"/>
            <w:tcMar>
              <w:top w:type="dxa" w:w="80"/>
              <w:left w:type="dxa" w:w="100"/>
              <w:bottom w:type="dxa" w:w="80"/>
              <w:right w:type="dxa" w:w="100"/>
            </w:tcMar>
          </w:tcPr>
          <w:p>
            <w:r>
              <w:rPr>
                <w:b w:val="false"/>
                <w:bCs w:val="false"/>
              </w:rPr>
              <w:t xml:space="preserve">Primary key lokal</w:t>
            </w:r>
          </w:p>
        </w:tc>
      </w:tr>
      <w:tr>
        <w:tc>
          <w:tcPr>
            <w:tcW w:type="dxa" w:w="2600"/>
            <w:tcMar>
              <w:top w:type="dxa" w:w="80"/>
              <w:left w:type="dxa" w:w="100"/>
              <w:bottom w:type="dxa" w:w="80"/>
              <w:right w:type="dxa" w:w="100"/>
            </w:tcMar>
          </w:tcPr>
          <w:p>
            <w:r>
              <w:rPr>
                <w:b w:val="false"/>
                <w:bCs w:val="false"/>
              </w:rPr>
              <w:t xml:space="preserve">qiscus_agent_id</w:t>
            </w:r>
          </w:p>
        </w:tc>
        <w:tc>
          <w:tcPr>
            <w:tcW w:type="dxa" w:w="1800"/>
            <w:tcMar>
              <w:top w:type="dxa" w:w="80"/>
              <w:left w:type="dxa" w:w="100"/>
              <w:bottom w:type="dxa" w:w="80"/>
              <w:right w:type="dxa" w:w="100"/>
            </w:tcMar>
          </w:tcPr>
          <w:p>
            <w:r>
              <w:rPr>
                <w:b w:val="false"/>
                <w:bCs w:val="false"/>
              </w:rPr>
              <w:t xml:space="preserve">STRING</w:t>
            </w:r>
          </w:p>
        </w:tc>
        <w:tc>
          <w:tcPr>
            <w:tcW w:type="dxa" w:w="4626"/>
            <w:tcMar>
              <w:top w:type="dxa" w:w="80"/>
              <w:left w:type="dxa" w:w="100"/>
              <w:bottom w:type="dxa" w:w="80"/>
              <w:right w:type="dxa" w:w="100"/>
            </w:tcMar>
          </w:tcPr>
          <w:p>
            <w:r>
              <w:rPr>
                <w:b w:val="false"/>
                <w:bCs w:val="false"/>
              </w:rPr>
              <w:t xml:space="preserve">ID agent di sistem Qiscus (dari Available Agents API)</w:t>
            </w:r>
          </w:p>
        </w:tc>
      </w:tr>
      <w:tr>
        <w:tc>
          <w:tcPr>
            <w:tcW w:type="dxa" w:w="2600"/>
            <w:tcMar>
              <w:top w:type="dxa" w:w="80"/>
              <w:left w:type="dxa" w:w="100"/>
              <w:bottom w:type="dxa" w:w="80"/>
              <w:right w:type="dxa" w:w="100"/>
            </w:tcMar>
          </w:tcPr>
          <w:p>
            <w:r>
              <w:rPr>
                <w:b w:val="false"/>
                <w:bCs w:val="false"/>
              </w:rPr>
              <w:t xml:space="preserve">name</w:t>
            </w:r>
          </w:p>
        </w:tc>
        <w:tc>
          <w:tcPr>
            <w:tcW w:type="dxa" w:w="1800"/>
            <w:tcMar>
              <w:top w:type="dxa" w:w="80"/>
              <w:left w:type="dxa" w:w="100"/>
              <w:bottom w:type="dxa" w:w="80"/>
              <w:right w:type="dxa" w:w="100"/>
            </w:tcMar>
          </w:tcPr>
          <w:p>
            <w:r>
              <w:rPr>
                <w:b w:val="false"/>
                <w:bCs w:val="false"/>
              </w:rPr>
              <w:t xml:space="preserve">STRING</w:t>
            </w:r>
          </w:p>
        </w:tc>
        <w:tc>
          <w:tcPr>
            <w:tcW w:type="dxa" w:w="4626"/>
            <w:tcMar>
              <w:top w:type="dxa" w:w="80"/>
              <w:left w:type="dxa" w:w="100"/>
              <w:bottom w:type="dxa" w:w="80"/>
              <w:right w:type="dxa" w:w="100"/>
            </w:tcMar>
          </w:tcPr>
          <w:p>
            <w:r>
              <w:rPr>
                <w:b w:val="false"/>
                <w:bCs w:val="false"/>
              </w:rPr>
              <w:t xml:space="preserve">Nama agent</w:t>
            </w:r>
          </w:p>
        </w:tc>
      </w:tr>
      <w:tr>
        <w:tc>
          <w:tcPr>
            <w:tcW w:type="dxa" w:w="2600"/>
            <w:tcMar>
              <w:top w:type="dxa" w:w="80"/>
              <w:left w:type="dxa" w:w="100"/>
              <w:bottom w:type="dxa" w:w="80"/>
              <w:right w:type="dxa" w:w="100"/>
            </w:tcMar>
          </w:tcPr>
          <w:p>
            <w:r>
              <w:rPr>
                <w:b w:val="false"/>
                <w:bCs w:val="false"/>
              </w:rPr>
              <w:t xml:space="preserve">email</w:t>
            </w:r>
          </w:p>
        </w:tc>
        <w:tc>
          <w:tcPr>
            <w:tcW w:type="dxa" w:w="1800"/>
            <w:tcMar>
              <w:top w:type="dxa" w:w="80"/>
              <w:left w:type="dxa" w:w="100"/>
              <w:bottom w:type="dxa" w:w="80"/>
              <w:right w:type="dxa" w:w="100"/>
            </w:tcMar>
          </w:tcPr>
          <w:p>
            <w:r>
              <w:rPr>
                <w:b w:val="false"/>
                <w:bCs w:val="false"/>
              </w:rPr>
              <w:t xml:space="preserve">STRING</w:t>
            </w:r>
          </w:p>
        </w:tc>
        <w:tc>
          <w:tcPr>
            <w:tcW w:type="dxa" w:w="4626"/>
            <w:tcMar>
              <w:top w:type="dxa" w:w="80"/>
              <w:left w:type="dxa" w:w="100"/>
              <w:bottom w:type="dxa" w:w="80"/>
              <w:right w:type="dxa" w:w="100"/>
            </w:tcMar>
          </w:tcPr>
          <w:p>
            <w:r>
              <w:rPr>
                <w:b w:val="false"/>
                <w:bCs w:val="false"/>
              </w:rPr>
              <w:t xml:space="preserve">Email agent</w:t>
            </w:r>
          </w:p>
        </w:tc>
      </w:tr>
      <w:tr>
        <w:tc>
          <w:tcPr>
            <w:tcW w:type="dxa" w:w="2600"/>
            <w:tcMar>
              <w:top w:type="dxa" w:w="80"/>
              <w:left w:type="dxa" w:w="100"/>
              <w:bottom w:type="dxa" w:w="80"/>
              <w:right w:type="dxa" w:w="100"/>
            </w:tcMar>
          </w:tcPr>
          <w:p>
            <w:r>
              <w:rPr>
                <w:b w:val="false"/>
                <w:bCs w:val="false"/>
              </w:rPr>
              <w:t xml:space="preserve">max_concurrent</w:t>
            </w:r>
          </w:p>
        </w:tc>
        <w:tc>
          <w:tcPr>
            <w:tcW w:type="dxa" w:w="1800"/>
            <w:tcMar>
              <w:top w:type="dxa" w:w="80"/>
              <w:left w:type="dxa" w:w="100"/>
              <w:bottom w:type="dxa" w:w="80"/>
              <w:right w:type="dxa" w:w="100"/>
            </w:tcMar>
          </w:tcPr>
          <w:p>
            <w:r>
              <w:rPr>
                <w:b w:val="false"/>
                <w:bCs w:val="false"/>
              </w:rPr>
              <w:t xml:space="preserve">INT</w:t>
            </w:r>
          </w:p>
        </w:tc>
        <w:tc>
          <w:tcPr>
            <w:tcW w:type="dxa" w:w="4626"/>
            <w:tcMar>
              <w:top w:type="dxa" w:w="80"/>
              <w:left w:type="dxa" w:w="100"/>
              <w:bottom w:type="dxa" w:w="80"/>
              <w:right w:type="dxa" w:w="100"/>
            </w:tcMar>
          </w:tcPr>
          <w:p>
            <w:r>
              <w:rPr>
                <w:b w:val="false"/>
                <w:bCs w:val="false"/>
              </w:rPr>
              <w:t xml:space="preserve">Kuota maksimum customer bersamaan, default configurable</w:t>
            </w:r>
          </w:p>
        </w:tc>
      </w:tr>
      <w:tr>
        <w:tc>
          <w:tcPr>
            <w:tcW w:type="dxa" w:w="2600"/>
            <w:tcMar>
              <w:top w:type="dxa" w:w="80"/>
              <w:left w:type="dxa" w:w="100"/>
              <w:bottom w:type="dxa" w:w="80"/>
              <w:right w:type="dxa" w:w="100"/>
            </w:tcMar>
          </w:tcPr>
          <w:p>
            <w:r>
              <w:rPr>
                <w:b w:val="false"/>
                <w:bCs w:val="false"/>
              </w:rPr>
              <w:t xml:space="preserve">created_at / updated_at</w:t>
            </w:r>
          </w:p>
        </w:tc>
        <w:tc>
          <w:tcPr>
            <w:tcW w:type="dxa" w:w="1800"/>
            <w:tcMar>
              <w:top w:type="dxa" w:w="80"/>
              <w:left w:type="dxa" w:w="100"/>
              <w:bottom w:type="dxa" w:w="80"/>
              <w:right w:type="dxa" w:w="100"/>
            </w:tcMar>
          </w:tcPr>
          <w:p>
            <w:r>
              <w:rPr>
                <w:b w:val="false"/>
                <w:bCs w:val="false"/>
              </w:rPr>
              <w:t xml:space="preserve">TIMESTAMP</w:t>
            </w:r>
          </w:p>
        </w:tc>
        <w:tc>
          <w:tcPr>
            <w:tcW w:type="dxa" w:w="4626"/>
            <w:tcMar>
              <w:top w:type="dxa" w:w="80"/>
              <w:left w:type="dxa" w:w="100"/>
              <w:bottom w:type="dxa" w:w="80"/>
              <w:right w:type="dxa" w:w="100"/>
            </w:tcMar>
          </w:tcPr>
          <w:p>
            <w:r>
              <w:rPr>
                <w:b w:val="false"/>
                <w:bCs w:val="false"/>
              </w:rPr>
              <w:t xml:space="preserve">Audit</w:t>
            </w:r>
          </w:p>
        </w:tc>
      </w:tr>
    </w:tbl>
    <w:p>
      <w:pPr>
        <w:pStyle w:val="Heading2"/>
        <w:spacing w:after="120" w:before="260"/>
      </w:pPr>
      <w:r>
        <w:t xml:space="preserve">4.2 Tabel: assignments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shd w:fill="2F5496" w:val="clear"/>
            <w:tcMar>
              <w:top w:type="dxa" w:w="80"/>
              <w:left w:type="dxa" w:w="100"/>
              <w:bottom w:type="dxa" w:w="80"/>
              <w:right w:type="dxa" w:w="100"/>
            </w:tcMar>
          </w:tcPr>
          <w:p>
            <w:r>
              <w:rPr>
                <w:b/>
                <w:bCs/>
                <w:color w:val="FFFFFF"/>
              </w:rPr>
              <w:t xml:space="preserve">Field</w:t>
            </w:r>
          </w:p>
        </w:tc>
        <w:tc>
          <w:tcPr>
            <w:tcW w:type="dxa" w:w="2400"/>
            <w:shd w:fill="2F5496" w:val="clear"/>
            <w:tcMar>
              <w:top w:type="dxa" w:w="80"/>
              <w:left w:type="dxa" w:w="100"/>
              <w:bottom w:type="dxa" w:w="80"/>
              <w:right w:type="dxa" w:w="100"/>
            </w:tcMar>
          </w:tcPr>
          <w:p>
            <w:r>
              <w:rPr>
                <w:b/>
                <w:bCs/>
                <w:color w:val="FFFFFF"/>
              </w:rPr>
              <w:t xml:space="preserve">Tipe</w:t>
            </w:r>
          </w:p>
        </w:tc>
        <w:tc>
          <w:tcPr>
            <w:tcW w:type="dxa" w:w="4026"/>
            <w:shd w:fill="2F5496" w:val="clear"/>
            <w:tcMar>
              <w:top w:type="dxa" w:w="80"/>
              <w:left w:type="dxa" w:w="100"/>
              <w:bottom w:type="dxa" w:w="80"/>
              <w:right w:type="dxa" w:w="100"/>
            </w:tcMar>
          </w:tcPr>
          <w:p>
            <w:r>
              <w:rPr>
                <w:b/>
                <w:bCs/>
                <w:color w:val="FFFFFF"/>
              </w:rPr>
              <w:t xml:space="preserve">Keterangan</w:t>
            </w:r>
          </w:p>
        </w:tc>
      </w:tr>
      <w:tr>
        <w:tc>
          <w:tcPr>
            <w:tcW w:type="dxa" w:w="2600"/>
            <w:tcMar>
              <w:top w:type="dxa" w:w="80"/>
              <w:left w:type="dxa" w:w="100"/>
              <w:bottom w:type="dxa" w:w="80"/>
              <w:right w:type="dxa" w:w="100"/>
            </w:tcMar>
          </w:tcPr>
          <w:p>
            <w:r>
              <w:rPr>
                <w:b w:val="false"/>
                <w:bCs w:val="false"/>
              </w:rPr>
              <w:t xml:space="preserve">id</w:t>
            </w:r>
          </w:p>
        </w:tc>
        <w:tc>
          <w:tcPr>
            <w:tcW w:type="dxa" w:w="2400"/>
            <w:tcMar>
              <w:top w:type="dxa" w:w="80"/>
              <w:left w:type="dxa" w:w="100"/>
              <w:bottom w:type="dxa" w:w="80"/>
              <w:right w:type="dxa" w:w="100"/>
            </w:tcMar>
          </w:tcPr>
          <w:p>
            <w:r>
              <w:rPr>
                <w:b w:val="false"/>
                <w:bCs w:val="false"/>
              </w:rPr>
              <w:t xml:space="preserve">INT (PK)</w:t>
            </w:r>
          </w:p>
        </w:tc>
        <w:tc>
          <w:tcPr>
            <w:tcW w:type="dxa" w:w="4026"/>
            <w:tcMar>
              <w:top w:type="dxa" w:w="80"/>
              <w:left w:type="dxa" w:w="100"/>
              <w:bottom w:type="dxa" w:w="80"/>
              <w:right w:type="dxa" w:w="100"/>
            </w:tcMar>
          </w:tcPr>
          <w:p>
            <w:r>
              <w:rPr>
                <w:b w:val="false"/>
                <w:bCs w:val="false"/>
              </w:rPr>
              <w:t xml:space="preserve">Primary key lokal</w:t>
            </w:r>
          </w:p>
        </w:tc>
      </w:tr>
      <w:tr>
        <w:tc>
          <w:tcPr>
            <w:tcW w:type="dxa" w:w="2600"/>
            <w:tcMar>
              <w:top w:type="dxa" w:w="80"/>
              <w:left w:type="dxa" w:w="100"/>
              <w:bottom w:type="dxa" w:w="80"/>
              <w:right w:type="dxa" w:w="100"/>
            </w:tcMar>
          </w:tcPr>
          <w:p>
            <w:r>
              <w:rPr>
                <w:b w:val="false"/>
                <w:bCs w:val="false"/>
              </w:rPr>
              <w:t xml:space="preserve">room_id</w:t>
            </w:r>
          </w:p>
        </w:tc>
        <w:tc>
          <w:tcPr>
            <w:tcW w:type="dxa" w:w="2400"/>
            <w:tcMar>
              <w:top w:type="dxa" w:w="80"/>
              <w:left w:type="dxa" w:w="100"/>
              <w:bottom w:type="dxa" w:w="80"/>
              <w:right w:type="dxa" w:w="100"/>
            </w:tcMar>
          </w:tcPr>
          <w:p>
            <w:r>
              <w:rPr>
                <w:b w:val="false"/>
                <w:bCs w:val="false"/>
              </w:rPr>
              <w:t xml:space="preserve">STRING</w:t>
            </w:r>
          </w:p>
        </w:tc>
        <w:tc>
          <w:tcPr>
            <w:tcW w:type="dxa" w:w="4026"/>
            <w:tcMar>
              <w:top w:type="dxa" w:w="80"/>
              <w:left w:type="dxa" w:w="100"/>
              <w:bottom w:type="dxa" w:w="80"/>
              <w:right w:type="dxa" w:w="100"/>
            </w:tcMar>
          </w:tcPr>
          <w:p>
            <w:r>
              <w:rPr>
                <w:b w:val="false"/>
                <w:bCs w:val="false"/>
              </w:rPr>
              <w:t xml:space="preserve">Room ID dari Qiscus</w:t>
            </w:r>
          </w:p>
        </w:tc>
      </w:tr>
      <w:tr>
        <w:tc>
          <w:tcPr>
            <w:tcW w:type="dxa" w:w="2600"/>
            <w:tcMar>
              <w:top w:type="dxa" w:w="80"/>
              <w:left w:type="dxa" w:w="100"/>
              <w:bottom w:type="dxa" w:w="80"/>
              <w:right w:type="dxa" w:w="100"/>
            </w:tcMar>
          </w:tcPr>
          <w:p>
            <w:r>
              <w:rPr>
                <w:b w:val="false"/>
                <w:bCs w:val="false"/>
              </w:rPr>
              <w:t xml:space="preserve">customer_identifier</w:t>
            </w:r>
          </w:p>
        </w:tc>
        <w:tc>
          <w:tcPr>
            <w:tcW w:type="dxa" w:w="2400"/>
            <w:tcMar>
              <w:top w:type="dxa" w:w="80"/>
              <w:left w:type="dxa" w:w="100"/>
              <w:bottom w:type="dxa" w:w="80"/>
              <w:right w:type="dxa" w:w="100"/>
            </w:tcMar>
          </w:tcPr>
          <w:p>
            <w:r>
              <w:rPr>
                <w:b w:val="false"/>
                <w:bCs w:val="false"/>
              </w:rPr>
              <w:t xml:space="preserve">STRING</w:t>
            </w:r>
          </w:p>
        </w:tc>
        <w:tc>
          <w:tcPr>
            <w:tcW w:type="dxa" w:w="4026"/>
            <w:tcMar>
              <w:top w:type="dxa" w:w="80"/>
              <w:left w:type="dxa" w:w="100"/>
              <w:bottom w:type="dxa" w:w="80"/>
              <w:right w:type="dxa" w:w="100"/>
            </w:tcMar>
          </w:tcPr>
          <w:p>
            <w:r>
              <w:rPr>
                <w:b w:val="false"/>
                <w:bCs w:val="false"/>
              </w:rPr>
              <w:t xml:space="preserve">Email/user_id customer</w:t>
            </w:r>
          </w:p>
        </w:tc>
      </w:tr>
      <w:tr>
        <w:tc>
          <w:tcPr>
            <w:tcW w:type="dxa" w:w="2600"/>
            <w:tcMar>
              <w:top w:type="dxa" w:w="80"/>
              <w:left w:type="dxa" w:w="100"/>
              <w:bottom w:type="dxa" w:w="80"/>
              <w:right w:type="dxa" w:w="100"/>
            </w:tcMar>
          </w:tcPr>
          <w:p>
            <w:r>
              <w:rPr>
                <w:b w:val="false"/>
                <w:bCs w:val="false"/>
              </w:rPr>
              <w:t xml:space="preserve">agent_id</w:t>
            </w:r>
          </w:p>
        </w:tc>
        <w:tc>
          <w:tcPr>
            <w:tcW w:type="dxa" w:w="2400"/>
            <w:tcMar>
              <w:top w:type="dxa" w:w="80"/>
              <w:left w:type="dxa" w:w="100"/>
              <w:bottom w:type="dxa" w:w="80"/>
              <w:right w:type="dxa" w:w="100"/>
            </w:tcMar>
          </w:tcPr>
          <w:p>
            <w:r>
              <w:rPr>
                <w:b w:val="false"/>
                <w:bCs w:val="false"/>
              </w:rPr>
              <w:t xml:space="preserve">INT (FK -&gt; agents.id)</w:t>
            </w:r>
          </w:p>
        </w:tc>
        <w:tc>
          <w:tcPr>
            <w:tcW w:type="dxa" w:w="4026"/>
            <w:tcMar>
              <w:top w:type="dxa" w:w="80"/>
              <w:left w:type="dxa" w:w="100"/>
              <w:bottom w:type="dxa" w:w="80"/>
              <w:right w:type="dxa" w:w="100"/>
            </w:tcMar>
          </w:tcPr>
          <w:p>
            <w:r>
              <w:rPr>
                <w:b w:val="false"/>
                <w:bCs w:val="false"/>
              </w:rPr>
              <w:t xml:space="preserve">Nullable selama masih waiting</w:t>
            </w:r>
          </w:p>
        </w:tc>
      </w:tr>
      <w:tr>
        <w:tc>
          <w:tcPr>
            <w:tcW w:type="dxa" w:w="2600"/>
            <w:tcMar>
              <w:top w:type="dxa" w:w="80"/>
              <w:left w:type="dxa" w:w="100"/>
              <w:bottom w:type="dxa" w:w="80"/>
              <w:right w:type="dxa" w:w="100"/>
            </w:tcMar>
          </w:tcPr>
          <w:p>
            <w:r>
              <w:rPr>
                <w:b w:val="false"/>
                <w:bCs w:val="false"/>
              </w:rPr>
              <w:t xml:space="preserve">status</w:t>
            </w:r>
          </w:p>
        </w:tc>
        <w:tc>
          <w:tcPr>
            <w:tcW w:type="dxa" w:w="2400"/>
            <w:tcMar>
              <w:top w:type="dxa" w:w="80"/>
              <w:left w:type="dxa" w:w="100"/>
              <w:bottom w:type="dxa" w:w="80"/>
              <w:right w:type="dxa" w:w="100"/>
            </w:tcMar>
          </w:tcPr>
          <w:p>
            <w:r>
              <w:rPr>
                <w:b w:val="false"/>
                <w:bCs w:val="false"/>
              </w:rPr>
              <w:t xml:space="preserve">ENUM</w:t>
            </w:r>
          </w:p>
        </w:tc>
        <w:tc>
          <w:tcPr>
            <w:tcW w:type="dxa" w:w="4026"/>
            <w:tcMar>
              <w:top w:type="dxa" w:w="80"/>
              <w:left w:type="dxa" w:w="100"/>
              <w:bottom w:type="dxa" w:w="80"/>
              <w:right w:type="dxa" w:w="100"/>
            </w:tcMar>
          </w:tcPr>
          <w:p>
            <w:r>
              <w:rPr>
                <w:b w:val="false"/>
                <w:bCs w:val="false"/>
              </w:rPr>
              <w:t xml:space="preserve">waiting | assigned | resolved</w:t>
            </w:r>
          </w:p>
        </w:tc>
      </w:tr>
      <w:tr>
        <w:tc>
          <w:tcPr>
            <w:tcW w:type="dxa" w:w="2600"/>
            <w:tcMar>
              <w:top w:type="dxa" w:w="80"/>
              <w:left w:type="dxa" w:w="100"/>
              <w:bottom w:type="dxa" w:w="80"/>
              <w:right w:type="dxa" w:w="100"/>
            </w:tcMar>
          </w:tcPr>
          <w:p>
            <w:r>
              <w:rPr>
                <w:b w:val="false"/>
                <w:bCs w:val="false"/>
              </w:rPr>
              <w:t xml:space="preserve">created_at</w:t>
            </w:r>
          </w:p>
        </w:tc>
        <w:tc>
          <w:tcPr>
            <w:tcW w:type="dxa" w:w="2400"/>
            <w:tcMar>
              <w:top w:type="dxa" w:w="80"/>
              <w:left w:type="dxa" w:w="100"/>
              <w:bottom w:type="dxa" w:w="80"/>
              <w:right w:type="dxa" w:w="100"/>
            </w:tcMar>
          </w:tcPr>
          <w:p>
            <w:r>
              <w:rPr>
                <w:b w:val="false"/>
                <w:bCs w:val="false"/>
              </w:rPr>
              <w:t xml:space="preserve">TIMESTAMP</w:t>
            </w:r>
          </w:p>
        </w:tc>
        <w:tc>
          <w:tcPr>
            <w:tcW w:type="dxa" w:w="4026"/>
            <w:tcMar>
              <w:top w:type="dxa" w:w="80"/>
              <w:left w:type="dxa" w:w="100"/>
              <w:bottom w:type="dxa" w:w="80"/>
              <w:right w:type="dxa" w:w="100"/>
            </w:tcMar>
          </w:tcPr>
          <w:p>
            <w:r>
              <w:rPr>
                <w:b w:val="false"/>
                <w:bCs w:val="false"/>
              </w:rPr>
              <w:t xml:space="preserve">Menentukan urutan FIFO</w:t>
            </w:r>
          </w:p>
        </w:tc>
      </w:tr>
      <w:tr>
        <w:tc>
          <w:tcPr>
            <w:tcW w:type="dxa" w:w="2600"/>
            <w:tcMar>
              <w:top w:type="dxa" w:w="80"/>
              <w:left w:type="dxa" w:w="100"/>
              <w:bottom w:type="dxa" w:w="80"/>
              <w:right w:type="dxa" w:w="100"/>
            </w:tcMar>
          </w:tcPr>
          <w:p>
            <w:r>
              <w:rPr>
                <w:b w:val="false"/>
                <w:bCs w:val="false"/>
              </w:rPr>
              <w:t xml:space="preserve">assigned_at / resolved_at</w:t>
            </w:r>
          </w:p>
        </w:tc>
        <w:tc>
          <w:tcPr>
            <w:tcW w:type="dxa" w:w="2400"/>
            <w:tcMar>
              <w:top w:type="dxa" w:w="80"/>
              <w:left w:type="dxa" w:w="100"/>
              <w:bottom w:type="dxa" w:w="80"/>
              <w:right w:type="dxa" w:w="100"/>
            </w:tcMar>
          </w:tcPr>
          <w:p>
            <w:r>
              <w:rPr>
                <w:b w:val="false"/>
                <w:bCs w:val="false"/>
              </w:rPr>
              <w:t xml:space="preserve">TIMESTAMP</w:t>
            </w:r>
          </w:p>
        </w:tc>
        <w:tc>
          <w:tcPr>
            <w:tcW w:type="dxa" w:w="4026"/>
            <w:tcMar>
              <w:top w:type="dxa" w:w="80"/>
              <w:left w:type="dxa" w:w="100"/>
              <w:bottom w:type="dxa" w:w="80"/>
              <w:right w:type="dxa" w:w="100"/>
            </w:tcMar>
          </w:tcPr>
          <w:p>
            <w:r>
              <w:rPr>
                <w:b w:val="false"/>
                <w:bCs w:val="false"/>
              </w:rPr>
              <w:t xml:space="preserve">Nullable, diisi saat event terjadi</w:t>
            </w:r>
          </w:p>
        </w:tc>
      </w:tr>
    </w:tbl>
    <w:p>
      <w:pPr>
        <w:pStyle w:val="Heading2"/>
        <w:spacing w:after="120" w:before="260"/>
      </w:pPr>
      <w:r>
        <w:t xml:space="preserve">4.3 Relasi</w:t>
      </w:r>
    </w:p>
    <w:p>
      <w:pPr>
        <w:pStyle w:val="ListParagraph"/>
        <w:numPr>
          <w:ilvl w:val="0"/>
          <w:numId w:val="2"/>
        </w:numPr>
        <w:spacing w:after="60"/>
      </w:pPr>
      <w:r>
        <w:t xml:space="preserve">agents (1) — (N) assignments — satu agent dapat menangani banyak assignment sepanjang waktu, dibatasi kuota max_concurrent yang dicek terhadap current_customer_count live dari Qiscus, bukan dihitung dari tabel ini.</w:t>
      </w:r>
    </w:p>
    <w:p>
      <w:pPr>
        <w:pStyle w:val="ListParagraph"/>
        <w:numPr>
          <w:ilvl w:val="0"/>
          <w:numId w:val="2"/>
        </w:numPr>
        <w:spacing w:after="60"/>
      </w:pPr>
      <w:r>
        <w:t xml:space="preserve">Antrian FIFO = SELECT * FROM assignments WHERE status='waiting' ORDER BY created_at ASC — tidak memerlukan tabel queue terpisah.</w:t>
      </w:r>
    </w:p>
    <w:p>
      <w:pPr>
        <w:pStyle w:val="ListParagraph"/>
        <w:numPr>
          <w:ilvl w:val="0"/>
          <w:numId w:val="2"/>
        </w:numPr>
        <w:spacing w:after="60"/>
      </w:pPr>
      <w:r>
        <w:t xml:space="preserve">Index disarankan: assignments(status, created_at) dan assignments(room_id).</w:t>
      </w:r>
    </w:p>
    <w:p>
      <w:pPr>
        <w:pStyle w:val="Heading1"/>
        <w:spacing w:after="160" w:before="360"/>
      </w:pPr>
      <w:r>
        <w:t xml:space="preserve">5. Integrasi API Qiscus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shd w:fill="2F5496" w:val="clear"/>
            <w:tcMar>
              <w:top w:type="dxa" w:w="80"/>
              <w:left w:type="dxa" w:w="100"/>
              <w:bottom w:type="dxa" w:w="80"/>
              <w:right w:type="dxa" w:w="100"/>
            </w:tcMar>
          </w:tcPr>
          <w:p>
            <w:r>
              <w:rPr>
                <w:b/>
                <w:bCs/>
                <w:color w:val="FFFFFF"/>
              </w:rPr>
              <w:t xml:space="preserve">Endpoint</w:t>
            </w:r>
          </w:p>
        </w:tc>
        <w:tc>
          <w:tcPr>
            <w:tcW w:type="dxa" w:w="1800"/>
            <w:shd w:fill="2F5496" w:val="clear"/>
            <w:tcMar>
              <w:top w:type="dxa" w:w="80"/>
              <w:left w:type="dxa" w:w="100"/>
              <w:bottom w:type="dxa" w:w="80"/>
              <w:right w:type="dxa" w:w="100"/>
            </w:tcMar>
          </w:tcPr>
          <w:p>
            <w:r>
              <w:rPr>
                <w:b/>
                <w:bCs/>
                <w:color w:val="FFFFFF"/>
              </w:rPr>
              <w:t xml:space="preserve">Arah</w:t>
            </w:r>
          </w:p>
        </w:tc>
        <w:tc>
          <w:tcPr>
            <w:tcW w:type="dxa" w:w="3826"/>
            <w:shd w:fill="2F5496" w:val="clear"/>
            <w:tcMar>
              <w:top w:type="dxa" w:w="80"/>
              <w:left w:type="dxa" w:w="100"/>
              <w:bottom w:type="dxa" w:w="80"/>
              <w:right w:type="dxa" w:w="100"/>
            </w:tcMar>
          </w:tcPr>
          <w:p>
            <w:r>
              <w:rPr>
                <w:b/>
                <w:bCs/>
                <w:color w:val="FFFFFF"/>
              </w:rPr>
              <w:t xml:space="preserve">Fungsi</w:t>
            </w:r>
          </w:p>
        </w:tc>
      </w:tr>
      <w:tr>
        <w:tc>
          <w:tcPr>
            <w:tcW w:type="dxa" w:w="3400"/>
            <w:tcMar>
              <w:top w:type="dxa" w:w="80"/>
              <w:left w:type="dxa" w:w="100"/>
              <w:bottom w:type="dxa" w:w="80"/>
              <w:right w:type="dxa" w:w="100"/>
            </w:tcMar>
          </w:tcPr>
          <w:p>
            <w:r>
              <w:rPr>
                <w:b w:val="false"/>
                <w:bCs w:val="false"/>
              </w:rPr>
              <w:t xml:space="preserve">Custom Agent Allocation Webhook</w:t>
            </w:r>
          </w:p>
        </w:tc>
        <w:tc>
          <w:tcPr>
            <w:tcW w:type="dxa" w:w="1800"/>
            <w:tcMar>
              <w:top w:type="dxa" w:w="80"/>
              <w:left w:type="dxa" w:w="100"/>
              <w:bottom w:type="dxa" w:w="80"/>
              <w:right w:type="dxa" w:w="100"/>
            </w:tcMar>
          </w:tcPr>
          <w:p>
            <w:r>
              <w:rPr>
                <w:b w:val="false"/>
                <w:bCs w:val="false"/>
              </w:rPr>
              <w:t xml:space="preserve">Inbound (Qiscus -&gt; service)</w:t>
            </w:r>
          </w:p>
        </w:tc>
        <w:tc>
          <w:tcPr>
            <w:tcW w:type="dxa" w:w="3826"/>
            <w:tcMar>
              <w:top w:type="dxa" w:w="80"/>
              <w:left w:type="dxa" w:w="100"/>
              <w:bottom w:type="dxa" w:w="80"/>
              <w:right w:type="dxa" w:w="100"/>
            </w:tcMar>
          </w:tcPr>
          <w:p>
            <w:r>
              <w:rPr>
                <w:b w:val="false"/>
                <w:bCs w:val="false"/>
              </w:rPr>
              <w:t xml:space="preserve">Trigger saat customer baru belum ter-assign</w:t>
            </w:r>
          </w:p>
        </w:tc>
      </w:tr>
      <w:tr>
        <w:tc>
          <w:tcPr>
            <w:tcW w:type="dxa" w:w="3400"/>
            <w:tcMar>
              <w:top w:type="dxa" w:w="80"/>
              <w:left w:type="dxa" w:w="100"/>
              <w:bottom w:type="dxa" w:w="80"/>
              <w:right w:type="dxa" w:w="100"/>
            </w:tcMar>
          </w:tcPr>
          <w:p>
            <w:r>
              <w:rPr>
                <w:b w:val="false"/>
                <w:bCs w:val="false"/>
              </w:rPr>
              <w:t xml:space="preserve">Mark As Resolved Webhook</w:t>
            </w:r>
          </w:p>
        </w:tc>
        <w:tc>
          <w:tcPr>
            <w:tcW w:type="dxa" w:w="1800"/>
            <w:tcMar>
              <w:top w:type="dxa" w:w="80"/>
              <w:left w:type="dxa" w:w="100"/>
              <w:bottom w:type="dxa" w:w="80"/>
              <w:right w:type="dxa" w:w="100"/>
            </w:tcMar>
          </w:tcPr>
          <w:p>
            <w:r>
              <w:rPr>
                <w:b w:val="false"/>
                <w:bCs w:val="false"/>
              </w:rPr>
              <w:t xml:space="preserve">Inbound (Qiscus -&gt; service)</w:t>
            </w:r>
          </w:p>
        </w:tc>
        <w:tc>
          <w:tcPr>
            <w:tcW w:type="dxa" w:w="3826"/>
            <w:tcMar>
              <w:top w:type="dxa" w:w="80"/>
              <w:left w:type="dxa" w:w="100"/>
              <w:bottom w:type="dxa" w:w="80"/>
              <w:right w:type="dxa" w:w="100"/>
            </w:tcMar>
          </w:tcPr>
          <w:p>
            <w:r>
              <w:rPr>
                <w:b w:val="false"/>
                <w:bCs w:val="false"/>
              </w:rPr>
              <w:t xml:space="preserve">Trigger saat chat diresolve</w:t>
            </w:r>
          </w:p>
        </w:tc>
      </w:tr>
      <w:tr>
        <w:tc>
          <w:tcPr>
            <w:tcW w:type="dxa" w:w="3400"/>
            <w:tcMar>
              <w:top w:type="dxa" w:w="80"/>
              <w:left w:type="dxa" w:w="100"/>
              <w:bottom w:type="dxa" w:w="80"/>
              <w:right w:type="dxa" w:w="100"/>
            </w:tcMar>
          </w:tcPr>
          <w:p>
            <w:r>
              <w:rPr>
                <w:b w:val="false"/>
                <w:bCs w:val="false"/>
              </w:rPr>
              <w:t xml:space="preserve">POST /api/v1/admin/service/assign_agent</w:t>
            </w:r>
          </w:p>
        </w:tc>
        <w:tc>
          <w:tcPr>
            <w:tcW w:type="dxa" w:w="1800"/>
            <w:tcMar>
              <w:top w:type="dxa" w:w="80"/>
              <w:left w:type="dxa" w:w="100"/>
              <w:bottom w:type="dxa" w:w="80"/>
              <w:right w:type="dxa" w:w="100"/>
            </w:tcMar>
          </w:tcPr>
          <w:p>
            <w:r>
              <w:rPr>
                <w:b w:val="false"/>
                <w:bCs w:val="false"/>
              </w:rPr>
              <w:t xml:space="preserve">Outbound</w:t>
            </w:r>
          </w:p>
        </w:tc>
        <w:tc>
          <w:tcPr>
            <w:tcW w:type="dxa" w:w="3826"/>
            <w:tcMar>
              <w:top w:type="dxa" w:w="80"/>
              <w:left w:type="dxa" w:w="100"/>
              <w:bottom w:type="dxa" w:w="80"/>
              <w:right w:type="dxa" w:w="100"/>
            </w:tcMar>
          </w:tcPr>
          <w:p>
            <w:r>
              <w:rPr>
                <w:b w:val="false"/>
                <w:bCs w:val="false"/>
              </w:rPr>
              <w:t xml:space="preserve">Meng-assign agent terpilih ke room_id</w:t>
            </w:r>
          </w:p>
        </w:tc>
      </w:tr>
      <w:tr>
        <w:tc>
          <w:tcPr>
            <w:tcW w:type="dxa" w:w="3400"/>
            <w:tcMar>
              <w:top w:type="dxa" w:w="80"/>
              <w:left w:type="dxa" w:w="100"/>
              <w:bottom w:type="dxa" w:w="80"/>
              <w:right w:type="dxa" w:w="100"/>
            </w:tcMar>
          </w:tcPr>
          <w:p>
            <w:r>
              <w:rPr>
                <w:b w:val="false"/>
                <w:bCs w:val="false"/>
              </w:rPr>
              <w:t xml:space="preserve">GET /api/v2/admin/service/available_agents</w:t>
            </w:r>
          </w:p>
        </w:tc>
        <w:tc>
          <w:tcPr>
            <w:tcW w:type="dxa" w:w="1800"/>
            <w:tcMar>
              <w:top w:type="dxa" w:w="80"/>
              <w:left w:type="dxa" w:w="100"/>
              <w:bottom w:type="dxa" w:w="80"/>
              <w:right w:type="dxa" w:w="100"/>
            </w:tcMar>
          </w:tcPr>
          <w:p>
            <w:r>
              <w:rPr>
                <w:b w:val="false"/>
                <w:bCs w:val="false"/>
              </w:rPr>
              <w:t xml:space="preserve">Outbound</w:t>
            </w:r>
          </w:p>
        </w:tc>
        <w:tc>
          <w:tcPr>
            <w:tcW w:type="dxa" w:w="3826"/>
            <w:tcMar>
              <w:top w:type="dxa" w:w="80"/>
              <w:left w:type="dxa" w:w="100"/>
              <w:bottom w:type="dxa" w:w="80"/>
              <w:right w:type="dxa" w:w="100"/>
            </w:tcMar>
          </w:tcPr>
          <w:p>
            <w:r>
              <w:rPr>
                <w:b w:val="false"/>
                <w:bCs w:val="false"/>
              </w:rPr>
              <w:t xml:space="preserve">Ambil status availability + current_customer_count agent secara real-time</w:t>
            </w:r>
          </w:p>
        </w:tc>
      </w:tr>
      <w:tr>
        <w:tc>
          <w:tcPr>
            <w:tcW w:type="dxa" w:w="3400"/>
            <w:tcMar>
              <w:top w:type="dxa" w:w="80"/>
              <w:left w:type="dxa" w:w="100"/>
              <w:bottom w:type="dxa" w:w="80"/>
              <w:right w:type="dxa" w:w="100"/>
            </w:tcMar>
          </w:tcPr>
          <w:p>
            <w:r>
              <w:rPr>
                <w:b w:val="false"/>
                <w:bCs w:val="false"/>
              </w:rPr>
              <w:t xml:space="preserve">POST /api/v1/app/webhook/mark_as_resolved</w:t>
            </w:r>
          </w:p>
        </w:tc>
        <w:tc>
          <w:tcPr>
            <w:tcW w:type="dxa" w:w="1800"/>
            <w:tcMar>
              <w:top w:type="dxa" w:w="80"/>
              <w:left w:type="dxa" w:w="100"/>
              <w:bottom w:type="dxa" w:w="80"/>
              <w:right w:type="dxa" w:w="100"/>
            </w:tcMar>
          </w:tcPr>
          <w:p>
            <w:r>
              <w:rPr>
                <w:b w:val="false"/>
                <w:bCs w:val="false"/>
              </w:rPr>
              <w:t xml:space="preserve">Outbound (setup sekali)</w:t>
            </w:r>
          </w:p>
        </w:tc>
        <w:tc>
          <w:tcPr>
            <w:tcW w:type="dxa" w:w="3826"/>
            <w:tcMar>
              <w:top w:type="dxa" w:w="80"/>
              <w:left w:type="dxa" w:w="100"/>
              <w:bottom w:type="dxa" w:w="80"/>
              <w:right w:type="dxa" w:w="100"/>
            </w:tcMar>
          </w:tcPr>
          <w:p>
            <w:r>
              <w:rPr>
                <w:b w:val="false"/>
                <w:bCs w:val="false"/>
              </w:rPr>
              <w:t xml:space="preserve">Mendaftarkan URL mark-as-resolved webhook</w:t>
            </w:r>
          </w:p>
        </w:tc>
      </w:tr>
      <w:tr>
        <w:tc>
          <w:tcPr>
            <w:tcW w:type="dxa" w:w="3400"/>
            <w:tcMar>
              <w:top w:type="dxa" w:w="80"/>
              <w:left w:type="dxa" w:w="100"/>
              <w:bottom w:type="dxa" w:w="80"/>
              <w:right w:type="dxa" w:w="100"/>
            </w:tcMar>
          </w:tcPr>
          <w:p>
            <w:r>
              <w:rPr>
                <w:b w:val="false"/>
                <w:bCs w:val="false"/>
              </w:rPr>
              <w:t xml:space="preserve">POST /api/v1/qiscus/initiate_chat</w:t>
            </w:r>
          </w:p>
        </w:tc>
        <w:tc>
          <w:tcPr>
            <w:tcW w:type="dxa" w:w="1800"/>
            <w:tcMar>
              <w:top w:type="dxa" w:w="80"/>
              <w:left w:type="dxa" w:w="100"/>
              <w:bottom w:type="dxa" w:w="80"/>
              <w:right w:type="dxa" w:w="100"/>
            </w:tcMar>
          </w:tcPr>
          <w:p>
            <w:r>
              <w:rPr>
                <w:b w:val="false"/>
                <w:bCs w:val="false"/>
              </w:rPr>
              <w:t xml:space="preserve">Outbound (testing tool)</w:t>
            </w:r>
          </w:p>
        </w:tc>
        <w:tc>
          <w:tcPr>
            <w:tcW w:type="dxa" w:w="3826"/>
            <w:tcMar>
              <w:top w:type="dxa" w:w="80"/>
              <w:left w:type="dxa" w:w="100"/>
              <w:bottom w:type="dxa" w:w="80"/>
              <w:right w:type="dxa" w:w="100"/>
            </w:tcMar>
          </w:tcPr>
          <w:p>
            <w:r>
              <w:rPr>
                <w:b w:val="false"/>
                <w:bCs w:val="false"/>
              </w:rPr>
              <w:t xml:space="preserve">Simulasi customer baru untuk keperluan testing end-to-end, tanpa perlu chat asli</w:t>
            </w:r>
          </w:p>
        </w:tc>
      </w:tr>
    </w:tbl>
    <w:p>
      <w:pPr>
        <w:pBdr>
          <w:left w:val="single" w:color="B0B0B0" w:sz="12" w:space="8"/>
        </w:pBdr>
        <w:spacing w:after="160"/>
        <w:ind w:left="200"/>
      </w:pPr>
      <w:r>
        <w:rPr>
          <w:i/>
          <w:iCs/>
          <w:color w:val="555555"/>
        </w:rPr>
        <w:t xml:space="preserve">Field yang menentukan status “online” masih dalam tahap verifikasi (lihat bagian 9) — indikasi sementara mengarah ke status login agent (bukan toggle available), namun field API pastinya (is_available vs force_offline vs field lain) belum dikonfirmasi.</w:t>
      </w:r>
    </w:p>
    <w:p>
      <w:pPr>
        <w:pStyle w:val="Heading1"/>
        <w:spacing w:after="160" w:before="360"/>
      </w:pPr>
      <w:r>
        <w:t xml:space="preserve">6. Konfigurasi (Environment Variables)</w:t>
      </w:r>
    </w:p>
    <w:p>
      <w:pPr>
        <w:pStyle w:val="ListParagraph"/>
        <w:numPr>
          <w:ilvl w:val="0"/>
          <w:numId w:val="2"/>
        </w:numPr>
        <w:spacing w:after="60"/>
      </w:pPr>
      <w:r>
        <w:t xml:space="preserve">QISCUS_APP_ID</w:t>
      </w:r>
    </w:p>
    <w:p>
      <w:pPr>
        <w:pStyle w:val="ListParagraph"/>
        <w:numPr>
          <w:ilvl w:val="0"/>
          <w:numId w:val="2"/>
        </w:numPr>
        <w:spacing w:after="60"/>
      </w:pPr>
      <w:r>
        <w:t xml:space="preserve">QISCUS_SECRET_KEY</w:t>
      </w:r>
    </w:p>
    <w:p>
      <w:pPr>
        <w:pStyle w:val="ListParagraph"/>
        <w:numPr>
          <w:ilvl w:val="0"/>
          <w:numId w:val="2"/>
        </w:numPr>
        <w:spacing w:after="60"/>
      </w:pPr>
      <w:r>
        <w:t xml:space="preserve">QISCUS_ADMIN_TOKEN (untuk registrasi webhook, terpisah dari secret key)</w:t>
      </w:r>
    </w:p>
    <w:p>
      <w:pPr>
        <w:pStyle w:val="ListParagraph"/>
        <w:numPr>
          <w:ilvl w:val="0"/>
          <w:numId w:val="2"/>
        </w:numPr>
        <w:spacing w:after="60"/>
      </w:pPr>
      <w:r>
        <w:t xml:space="preserve">DATABASE_URL (Postgres, disediakan Railway)</w:t>
      </w:r>
    </w:p>
    <w:p>
      <w:pPr>
        <w:pStyle w:val="ListParagraph"/>
        <w:numPr>
          <w:ilvl w:val="0"/>
          <w:numId w:val="2"/>
        </w:numPr>
        <w:spacing w:after="60"/>
      </w:pPr>
      <w:r>
        <w:t xml:space="preserve">MAX_CONCURRENT_DEFAULT</w:t>
      </w:r>
    </w:p>
    <w:p>
      <w:pPr>
        <w:pStyle w:val="ListParagraph"/>
        <w:numPr>
          <w:ilvl w:val="0"/>
          <w:numId w:val="2"/>
        </w:numPr>
        <w:spacing w:after="60"/>
      </w:pPr>
      <w:r>
        <w:t xml:space="preserve">RECONCILIATION_INTERVAL_MS</w:t>
      </w:r>
    </w:p>
    <w:p>
      <w:pPr>
        <w:pStyle w:val="Heading1"/>
        <w:spacing w:after="160" w:before="360"/>
      </w:pPr>
      <w:r>
        <w:t xml:space="preserve">7. Dokumentasi API</w:t>
      </w:r>
    </w:p>
    <w:p>
      <w:pPr>
        <w:spacing w:after="140"/>
      </w:pPr>
      <w:r>
        <w:t xml:space="preserve">Swagger/OpenAPI tidak digunakan pada scope ini. Service ini tidak mengekspos API untuk dikonsumsi pihak ketiga — satu-satunya “consumer” adalah Qiscus sendiri yang memanggil 2 webhook endpoint, dan sebaliknya service ini memanggil API Qiscus yang sudah terdokumentasi di pihak mereka. Dokumentasi cukup berupa README yang menjelaskan cara menjalankan service, environment variables, dan langkah setup webhook di dashboard.</w:t>
      </w:r>
    </w:p>
    <w:p>
      <w:pPr>
        <w:pStyle w:val="Heading1"/>
        <w:spacing w:after="160" w:before="360"/>
      </w:pPr>
      <w:r>
        <w:t xml:space="preserve">8. Deliverable</w:t>
      </w:r>
    </w:p>
    <w:p>
      <w:pPr>
        <w:pStyle w:val="ListParagraph"/>
        <w:numPr>
          <w:ilvl w:val="0"/>
          <w:numId w:val="2"/>
        </w:numPr>
        <w:spacing w:after="60"/>
      </w:pPr>
      <w:r>
        <w:t xml:space="preserve">app_id yang digunakan.</w:t>
      </w:r>
    </w:p>
    <w:p>
      <w:pPr>
        <w:pStyle w:val="ListParagraph"/>
        <w:numPr>
          <w:ilvl w:val="0"/>
          <w:numId w:val="2"/>
        </w:numPr>
        <w:spacing w:after="60"/>
      </w:pPr>
      <w:r>
        <w:t xml:space="preserve">Service live &amp; reachable, webhook sudah terpasang di Settings &gt; Custom Agent Allocation.</w:t>
      </w:r>
    </w:p>
    <w:p>
      <w:pPr>
        <w:pStyle w:val="ListParagraph"/>
        <w:numPr>
          <w:ilvl w:val="0"/>
          <w:numId w:val="2"/>
        </w:numPr>
        <w:spacing w:after="60"/>
      </w:pPr>
      <w:r>
        <w:t xml:space="preserve">GitHub repository.</w:t>
      </w:r>
    </w:p>
    <w:p>
      <w:pPr>
        <w:pStyle w:val="Heading1"/>
        <w:spacing w:after="160" w:before="360"/>
      </w:pPr>
      <w:r>
        <w:t xml:space="preserve">9. Item yang Masih Perlu Diverifikasi</w:t>
      </w:r>
    </w:p>
    <w:p>
      <w:pPr>
        <w:pStyle w:val="Heading2"/>
        <w:spacing w:after="120" w:before="260"/>
      </w:pPr>
      <w:r>
        <w:t xml:space="preserve">9.1 Definisi status “online” — dalam proses verifikasi</w:t>
      </w:r>
    </w:p>
    <w:p>
      <w:pPr>
        <w:spacing w:after="140"/>
      </w:pPr>
      <w:r>
        <w:t xml:space="preserve">Klarifikasi dari tim Qiscus (internal) menyebutkan dua hal berbeda yang perlu dipisahkan:</w:t>
      </w:r>
    </w:p>
    <w:p>
      <w:pPr>
        <w:pStyle w:val="ListParagraph"/>
        <w:numPr>
          <w:ilvl w:val="0"/>
          <w:numId w:val="2"/>
        </w:numPr>
        <w:spacing w:after="60"/>
      </w:pPr>
      <w:r>
        <w:t xml:space="preserve">Toggle “On” di halaman Settings &gt; Custom Agent Allocation adalah toggle level aplikasi untuk mengaktifkan fitur webhook custom secara keseluruhan — tidak berkaitan dengan status online per-agent. Tidak relevan untuk logic filtering agent.</w:t>
      </w:r>
    </w:p>
    <w:p>
      <w:pPr>
        <w:pStyle w:val="ListParagraph"/>
        <w:numPr>
          <w:ilvl w:val="0"/>
          <w:numId w:val="2"/>
        </w:numPr>
        <w:spacing w:after="60"/>
      </w:pPr>
      <w:r>
        <w:t xml:space="preserve">Status online per-agent ditentukan dari status login agent, dapat dilihat di menu Settings &gt; Agents Management &gt; Agent List — ada indikator titik warna di samping nama agent (hijau = online/login, abu-abu = offline) yang tampak berbasis status login, bukan toggle available manual.</w:t>
      </w:r>
    </w:p>
    <w:p>
      <w:pPr>
        <w:pStyle w:val="ListParagraph"/>
        <w:numPr>
          <w:ilvl w:val="0"/>
          <w:numId w:val="2"/>
        </w:numPr>
        <w:spacing w:after="60"/>
      </w:pPr>
      <w:r>
        <w:t xml:space="preserve">Langkah verifikasi berikutnya: dengan kondisi agent yang statusnya sudah berbeda (ada yang hijau, ada yang abu-abu) saat ini, panggil Available Agents (v2) / Get Agent By IDs untuk agent-agent tersebut dan diff response-nya untuk menemukan field API yang sesuai dengan indikator titik ini (kandidat: is_available, force_offline, atau last_login). Field is_available belum dapat dipastikan mencerminkan status ini — masih dalam konfirmasi.</w:t>
      </w:r>
    </w:p>
    <w:p>
      <w:pPr>
        <w:pStyle w:val="Heading2"/>
        <w:spacing w:after="120" w:before="260"/>
      </w:pPr>
      <w:r>
        <w:t xml:space="preserve">9.2 Item lain</w:t>
      </w:r>
    </w:p>
    <w:p>
      <w:pPr>
        <w:pStyle w:val="ListParagraph"/>
        <w:numPr>
          <w:ilvl w:val="0"/>
          <w:numId w:val="2"/>
        </w:numPr>
        <w:spacing w:after="60"/>
      </w:pPr>
      <w:r>
        <w:t xml:space="preserve">Method HTTP aktual yang dikirim Qiscus ke webhook (dokumentasi menampilkan label GET di atas contoh payload JSON, kemungkinan artefak UI, perlu diverifikasi dengan stub logger).</w:t>
      </w:r>
    </w:p>
    <w:p>
      <w:pPr>
        <w:pStyle w:val="ListParagraph"/>
        <w:numPr>
          <w:ilvl w:val="0"/>
          <w:numId w:val="2"/>
        </w:numPr>
        <w:spacing w:after="60"/>
      </w:pPr>
      <w:r>
        <w:t xml:space="preserve">Semantik pasti parameter max_agent pada assign_agent — berdasarkan deskripsi resmi, ini adalah batas jumlah agent per room, bukan kuota customer per agent, sehingga tidak dipakai untuk enforce kuota.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2026-08-19T01:13:08.673Z</dcterms:created>
  <dcterms:modified xsi:type="dcterms:W3CDTF">2026-08-19T01:13:08.699Z</dcterms:modified>
</cp:coreProperties>
</file>

<file path=docProps/custom.xml><?xml version="1.0" encoding="utf-8"?>
<Properties xmlns="http://schemas.openxmlformats.org/officeDocument/2006/custom-properties" xmlns:vt="http://schemas.openxmlformats.org/officeDocument/2006/docPropsVTypes"/>
</file>