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5E13" w:rsidRDefault="00000000" w:rsidP="00742CE3">
      <w:pPr>
        <w:spacing w:after="1129" w:line="259" w:lineRule="auto"/>
        <w:ind w:left="0" w:firstLine="0"/>
      </w:pPr>
      <w:r>
        <w:rPr>
          <w:b/>
          <w:sz w:val="36"/>
        </w:rPr>
        <w:t>Biometric Dataset Analysis Report</w:t>
      </w:r>
    </w:p>
    <w:p w:rsidR="00905E13" w:rsidRPr="00154907" w:rsidRDefault="00154907" w:rsidP="00154907">
      <w:pPr>
        <w:pStyle w:val="Heading1"/>
        <w:numPr>
          <w:ilvl w:val="0"/>
          <w:numId w:val="0"/>
        </w:numPr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>1.</w:t>
      </w:r>
      <w:r w:rsidR="00000000" w:rsidRPr="00154907">
        <w:rPr>
          <w:rFonts w:asciiTheme="minorHAnsi" w:hAnsiTheme="minorHAnsi" w:cstheme="minorHAnsi"/>
          <w:sz w:val="40"/>
          <w:szCs w:val="40"/>
        </w:rPr>
        <w:t>Introduction</w:t>
      </w:r>
    </w:p>
    <w:p w:rsidR="00905E13" w:rsidRPr="00154907" w:rsidRDefault="00000000">
      <w:pPr>
        <w:spacing w:after="599"/>
        <w:ind w:left="-5" w:right="3"/>
        <w:rPr>
          <w:rFonts w:asciiTheme="minorHAnsi" w:hAnsiTheme="minorHAnsi" w:cstheme="minorHAnsi"/>
          <w:sz w:val="40"/>
          <w:szCs w:val="40"/>
        </w:rPr>
      </w:pPr>
      <w:r w:rsidRPr="00154907">
        <w:rPr>
          <w:rFonts w:asciiTheme="minorHAnsi" w:hAnsiTheme="minorHAnsi" w:cstheme="minorHAnsi"/>
          <w:sz w:val="40"/>
          <w:szCs w:val="40"/>
        </w:rPr>
        <w:t>This report presents a detailed analysis of biometric update patterns using the provided dataset. The objective is to understand age-wise behavior, regional distribution, transition spikes, and anomalies through graphical and statistical methods.</w:t>
      </w:r>
    </w:p>
    <w:p w:rsidR="00905E13" w:rsidRPr="00154907" w:rsidRDefault="00154907" w:rsidP="00154907">
      <w:pPr>
        <w:pStyle w:val="Heading1"/>
        <w:numPr>
          <w:ilvl w:val="0"/>
          <w:numId w:val="0"/>
        </w:numPr>
        <w:ind w:left="10" w:hanging="10"/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sz w:val="44"/>
          <w:szCs w:val="44"/>
        </w:rPr>
        <w:t>2.</w:t>
      </w:r>
      <w:r w:rsidR="00000000" w:rsidRPr="00154907">
        <w:rPr>
          <w:rFonts w:asciiTheme="minorHAnsi" w:hAnsiTheme="minorHAnsi" w:cstheme="minorHAnsi"/>
          <w:sz w:val="44"/>
          <w:szCs w:val="44"/>
        </w:rPr>
        <w:t>Dataset Overview</w:t>
      </w:r>
    </w:p>
    <w:p w:rsidR="00742CE3" w:rsidRDefault="00000000" w:rsidP="00742CE3">
      <w:pPr>
        <w:spacing w:after="599"/>
        <w:ind w:left="-5" w:right="3"/>
        <w:rPr>
          <w:rFonts w:asciiTheme="minorHAnsi" w:hAnsiTheme="minorHAnsi" w:cstheme="minorHAnsi"/>
          <w:sz w:val="40"/>
          <w:szCs w:val="40"/>
        </w:rPr>
      </w:pPr>
      <w:r w:rsidRPr="00154907">
        <w:rPr>
          <w:rFonts w:asciiTheme="minorHAnsi" w:hAnsiTheme="minorHAnsi" w:cstheme="minorHAnsi"/>
          <w:sz w:val="40"/>
          <w:szCs w:val="40"/>
        </w:rPr>
        <w:t>The dataset contains biometric update records categorized by date, state, district, pincode, and two age groups: 5–17 and 18+. A derived column named 'bio_total' was created by summing the age group values</w:t>
      </w:r>
    </w:p>
    <w:p w:rsidR="00742CE3" w:rsidRDefault="00154907" w:rsidP="00742CE3">
      <w:pPr>
        <w:spacing w:after="599"/>
        <w:ind w:left="-5" w:right="3"/>
        <w:rPr>
          <w:rFonts w:asciiTheme="minorHAnsi" w:hAnsiTheme="minorHAnsi" w:cstheme="minorHAnsi"/>
          <w:b/>
          <w:bCs/>
          <w:sz w:val="44"/>
          <w:szCs w:val="44"/>
        </w:rPr>
      </w:pPr>
      <w:r w:rsidRPr="00742CE3">
        <w:rPr>
          <w:rFonts w:asciiTheme="minorHAnsi" w:hAnsiTheme="minorHAnsi" w:cstheme="minorHAnsi"/>
          <w:b/>
          <w:bCs/>
          <w:sz w:val="44"/>
          <w:szCs w:val="44"/>
        </w:rPr>
        <w:t>3.</w:t>
      </w:r>
      <w:r w:rsidR="00000000" w:rsidRPr="00742CE3">
        <w:rPr>
          <w:rFonts w:asciiTheme="minorHAnsi" w:hAnsiTheme="minorHAnsi" w:cstheme="minorHAnsi"/>
          <w:b/>
          <w:bCs/>
          <w:sz w:val="44"/>
          <w:szCs w:val="44"/>
        </w:rPr>
        <w:t>Data Cleaning and Preparation</w:t>
      </w:r>
    </w:p>
    <w:p w:rsidR="00905E13" w:rsidRPr="00742CE3" w:rsidRDefault="00000000" w:rsidP="00742CE3">
      <w:pPr>
        <w:spacing w:after="599"/>
        <w:ind w:left="-5" w:right="3"/>
        <w:rPr>
          <w:rFonts w:asciiTheme="minorHAnsi" w:hAnsiTheme="minorHAnsi" w:cstheme="minorHAnsi"/>
          <w:sz w:val="40"/>
          <w:szCs w:val="40"/>
        </w:rPr>
      </w:pPr>
      <w:r w:rsidRPr="00742CE3">
        <w:rPr>
          <w:rFonts w:asciiTheme="minorHAnsi" w:hAnsiTheme="minorHAnsi" w:cstheme="minorHAnsi"/>
          <w:sz w:val="40"/>
          <w:szCs w:val="40"/>
        </w:rPr>
        <w:t>Data cleaning included converting date fields into datetime format, ensuring numerical consistency of age group values, handling missing values, and generating year and month features for trend analysis.</w:t>
      </w:r>
    </w:p>
    <w:p w:rsidR="00905E13" w:rsidRPr="00154907" w:rsidRDefault="00154907" w:rsidP="00154907">
      <w:pPr>
        <w:pStyle w:val="Heading1"/>
        <w:numPr>
          <w:ilvl w:val="0"/>
          <w:numId w:val="0"/>
        </w:numPr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sz w:val="44"/>
          <w:szCs w:val="44"/>
        </w:rPr>
        <w:lastRenderedPageBreak/>
        <w:t>4.</w:t>
      </w:r>
      <w:r w:rsidR="00000000" w:rsidRPr="00154907">
        <w:rPr>
          <w:rFonts w:asciiTheme="minorHAnsi" w:hAnsiTheme="minorHAnsi" w:cstheme="minorHAnsi"/>
          <w:sz w:val="44"/>
          <w:szCs w:val="44"/>
        </w:rPr>
        <w:t>Age-wise Biometric Update Analysis</w:t>
      </w:r>
    </w:p>
    <w:p w:rsidR="00905E13" w:rsidRDefault="00000000">
      <w:pPr>
        <w:spacing w:after="599"/>
        <w:ind w:left="-5" w:right="3"/>
        <w:rPr>
          <w:rFonts w:asciiTheme="minorHAnsi" w:hAnsiTheme="minorHAnsi" w:cstheme="minorHAnsi"/>
          <w:sz w:val="40"/>
          <w:szCs w:val="40"/>
        </w:rPr>
      </w:pPr>
      <w:r w:rsidRPr="00154907">
        <w:rPr>
          <w:rFonts w:asciiTheme="minorHAnsi" w:hAnsiTheme="minorHAnsi" w:cstheme="minorHAnsi"/>
          <w:sz w:val="40"/>
          <w:szCs w:val="40"/>
        </w:rPr>
        <w:t>Age-wise analysis shows that the 18+ group slightly dominates the total number of biometric updates, indicating higher identity verification needs among adults.</w:t>
      </w:r>
    </w:p>
    <w:p w:rsidR="00742CE3" w:rsidRPr="00154907" w:rsidRDefault="00742CE3">
      <w:pPr>
        <w:spacing w:after="599"/>
        <w:ind w:left="-5" w:right="3"/>
        <w:rPr>
          <w:rFonts w:asciiTheme="minorHAnsi" w:hAnsiTheme="minorHAnsi" w:cstheme="minorHAnsi"/>
          <w:sz w:val="40"/>
          <w:szCs w:val="40"/>
        </w:rPr>
      </w:pPr>
      <w:r w:rsidRPr="00742CE3">
        <w:rPr>
          <w:rFonts w:asciiTheme="minorHAnsi" w:hAnsiTheme="minorHAnsi" w:cstheme="minorHAnsi"/>
          <w:sz w:val="40"/>
          <w:szCs w:val="40"/>
        </w:rPr>
        <w:drawing>
          <wp:inline distT="0" distB="0" distL="0" distR="0" wp14:anchorId="0FCD6706" wp14:editId="5DC6888B">
            <wp:extent cx="6337738" cy="6021437"/>
            <wp:effectExtent l="0" t="0" r="6350" b="0"/>
            <wp:docPr id="106959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99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3650" cy="603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E13" w:rsidRPr="00154907" w:rsidRDefault="00154907" w:rsidP="00154907">
      <w:pPr>
        <w:pStyle w:val="Heading1"/>
        <w:numPr>
          <w:ilvl w:val="0"/>
          <w:numId w:val="0"/>
        </w:numPr>
        <w:ind w:left="10" w:hanging="10"/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sz w:val="44"/>
          <w:szCs w:val="44"/>
        </w:rPr>
        <w:lastRenderedPageBreak/>
        <w:t>5.</w:t>
      </w:r>
      <w:r w:rsidR="00742CE3">
        <w:rPr>
          <w:rFonts w:asciiTheme="minorHAnsi" w:hAnsiTheme="minorHAnsi" w:cstheme="minorHAnsi"/>
          <w:sz w:val="44"/>
          <w:szCs w:val="44"/>
        </w:rPr>
        <w:t xml:space="preserve"> </w:t>
      </w:r>
      <w:r w:rsidR="00000000" w:rsidRPr="00154907">
        <w:rPr>
          <w:rFonts w:asciiTheme="minorHAnsi" w:hAnsiTheme="minorHAnsi" w:cstheme="minorHAnsi"/>
          <w:sz w:val="44"/>
          <w:szCs w:val="44"/>
        </w:rPr>
        <w:t>5–18</w:t>
      </w:r>
      <w:r w:rsidR="00742CE3">
        <w:rPr>
          <w:rFonts w:asciiTheme="minorHAnsi" w:hAnsiTheme="minorHAnsi" w:cstheme="minorHAnsi"/>
          <w:sz w:val="44"/>
          <w:szCs w:val="44"/>
        </w:rPr>
        <w:t>+</w:t>
      </w:r>
      <w:r w:rsidR="00000000" w:rsidRPr="00154907">
        <w:rPr>
          <w:rFonts w:asciiTheme="minorHAnsi" w:hAnsiTheme="minorHAnsi" w:cstheme="minorHAnsi"/>
          <w:sz w:val="44"/>
          <w:szCs w:val="44"/>
        </w:rPr>
        <w:t xml:space="preserve"> Transition Spike Analysis</w:t>
      </w:r>
    </w:p>
    <w:p w:rsidR="00742CE3" w:rsidRDefault="00000000" w:rsidP="00742CE3">
      <w:pPr>
        <w:spacing w:after="599"/>
        <w:ind w:left="-5" w:right="3"/>
        <w:rPr>
          <w:rFonts w:asciiTheme="minorHAnsi" w:hAnsiTheme="minorHAnsi" w:cstheme="minorHAnsi"/>
          <w:sz w:val="40"/>
          <w:szCs w:val="40"/>
        </w:rPr>
      </w:pPr>
      <w:r w:rsidRPr="00154907">
        <w:rPr>
          <w:rFonts w:asciiTheme="minorHAnsi" w:hAnsiTheme="minorHAnsi" w:cstheme="minorHAnsi"/>
          <w:sz w:val="40"/>
          <w:szCs w:val="40"/>
        </w:rPr>
        <w:t>The transition from the 5–17 group to the 18+ group shows noticeable spikes, reflecting identity updates related to adulthood milestones such as higher education, employment, and documentation needs.</w:t>
      </w:r>
    </w:p>
    <w:p w:rsidR="00742CE3" w:rsidRDefault="00742CE3" w:rsidP="00742CE3">
      <w:pPr>
        <w:spacing w:after="599"/>
        <w:ind w:left="-5" w:right="3"/>
        <w:rPr>
          <w:rFonts w:asciiTheme="minorHAnsi" w:hAnsiTheme="minorHAnsi" w:cstheme="minorHAnsi"/>
          <w:sz w:val="40"/>
          <w:szCs w:val="40"/>
        </w:rPr>
      </w:pPr>
      <w:r w:rsidRPr="00742CE3">
        <w:rPr>
          <w:rFonts w:asciiTheme="minorHAnsi" w:hAnsiTheme="minorHAnsi" w:cstheme="minorHAnsi"/>
          <w:sz w:val="40"/>
          <w:szCs w:val="40"/>
        </w:rPr>
        <w:drawing>
          <wp:inline distT="0" distB="0" distL="0" distR="0" wp14:anchorId="688D4707" wp14:editId="5CEE8AE9">
            <wp:extent cx="6511159" cy="4886518"/>
            <wp:effectExtent l="0" t="0" r="4445" b="0"/>
            <wp:docPr id="16139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2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3613" cy="489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CE3" w:rsidRDefault="00742CE3" w:rsidP="00742CE3">
      <w:pPr>
        <w:spacing w:after="599"/>
        <w:ind w:left="-5" w:right="3"/>
        <w:rPr>
          <w:rFonts w:asciiTheme="minorHAnsi" w:hAnsiTheme="minorHAnsi" w:cstheme="minorHAnsi"/>
          <w:b/>
          <w:bCs/>
          <w:sz w:val="44"/>
          <w:szCs w:val="44"/>
        </w:rPr>
      </w:pPr>
    </w:p>
    <w:p w:rsidR="00742CE3" w:rsidRDefault="00742CE3" w:rsidP="00742CE3">
      <w:pPr>
        <w:spacing w:after="599"/>
        <w:ind w:left="-5" w:right="3"/>
        <w:rPr>
          <w:rFonts w:asciiTheme="minorHAnsi" w:hAnsiTheme="minorHAnsi" w:cstheme="minorHAnsi"/>
          <w:b/>
          <w:bCs/>
          <w:sz w:val="44"/>
          <w:szCs w:val="44"/>
        </w:rPr>
      </w:pPr>
    </w:p>
    <w:p w:rsidR="00905E13" w:rsidRPr="00742CE3" w:rsidRDefault="00154907" w:rsidP="00742CE3">
      <w:pPr>
        <w:spacing w:after="599"/>
        <w:ind w:left="-5" w:right="3"/>
        <w:rPr>
          <w:rFonts w:asciiTheme="minorHAnsi" w:hAnsiTheme="minorHAnsi" w:cstheme="minorHAnsi"/>
          <w:b/>
          <w:bCs/>
          <w:sz w:val="40"/>
          <w:szCs w:val="40"/>
        </w:rPr>
      </w:pPr>
      <w:r w:rsidRPr="00742CE3">
        <w:rPr>
          <w:rFonts w:asciiTheme="minorHAnsi" w:hAnsiTheme="minorHAnsi" w:cstheme="minorHAnsi"/>
          <w:b/>
          <w:bCs/>
          <w:sz w:val="44"/>
          <w:szCs w:val="44"/>
        </w:rPr>
        <w:lastRenderedPageBreak/>
        <w:t>6.</w:t>
      </w:r>
      <w:r w:rsidR="00000000" w:rsidRPr="00742CE3">
        <w:rPr>
          <w:rFonts w:asciiTheme="minorHAnsi" w:hAnsiTheme="minorHAnsi" w:cstheme="minorHAnsi"/>
          <w:b/>
          <w:bCs/>
          <w:sz w:val="44"/>
          <w:szCs w:val="44"/>
        </w:rPr>
        <w:t>State-wise Distribution</w:t>
      </w:r>
    </w:p>
    <w:p w:rsidR="00905E13" w:rsidRDefault="00000000">
      <w:pPr>
        <w:ind w:left="-5" w:right="3"/>
        <w:rPr>
          <w:rFonts w:asciiTheme="minorHAnsi" w:hAnsiTheme="minorHAnsi" w:cstheme="minorHAnsi"/>
          <w:sz w:val="44"/>
          <w:szCs w:val="44"/>
        </w:rPr>
      </w:pPr>
      <w:r w:rsidRPr="00154907">
        <w:rPr>
          <w:rFonts w:asciiTheme="minorHAnsi" w:hAnsiTheme="minorHAnsi" w:cstheme="minorHAnsi"/>
          <w:sz w:val="44"/>
          <w:szCs w:val="44"/>
        </w:rPr>
        <w:t>State-wise analysis reveals that Uttar Pradesh, Maharashtra, and Madhya Pradesh are the top contributors, reflecting population density and administrative load.</w:t>
      </w:r>
    </w:p>
    <w:p w:rsidR="00742CE3" w:rsidRPr="00154907" w:rsidRDefault="00742CE3">
      <w:pPr>
        <w:ind w:left="-5" w:right="3"/>
        <w:rPr>
          <w:rFonts w:asciiTheme="minorHAnsi" w:hAnsiTheme="minorHAnsi" w:cstheme="minorHAnsi"/>
          <w:sz w:val="44"/>
          <w:szCs w:val="44"/>
        </w:rPr>
      </w:pPr>
      <w:r w:rsidRPr="00742CE3">
        <w:rPr>
          <w:rFonts w:asciiTheme="minorHAnsi" w:hAnsiTheme="minorHAnsi" w:cstheme="minorHAnsi"/>
          <w:sz w:val="44"/>
          <w:szCs w:val="44"/>
        </w:rPr>
        <w:drawing>
          <wp:inline distT="0" distB="0" distL="0" distR="0" wp14:anchorId="21F2D80A" wp14:editId="24849C1F">
            <wp:extent cx="6385035" cy="6385035"/>
            <wp:effectExtent l="0" t="0" r="0" b="0"/>
            <wp:docPr id="5724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7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4785" cy="643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E13" w:rsidRPr="00154907" w:rsidRDefault="00154907" w:rsidP="00154907">
      <w:pPr>
        <w:pStyle w:val="Heading1"/>
        <w:numPr>
          <w:ilvl w:val="0"/>
          <w:numId w:val="0"/>
        </w:numPr>
        <w:ind w:left="10" w:hanging="10"/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sz w:val="44"/>
          <w:szCs w:val="44"/>
        </w:rPr>
        <w:lastRenderedPageBreak/>
        <w:t>7.</w:t>
      </w:r>
      <w:r w:rsidR="00000000" w:rsidRPr="00154907">
        <w:rPr>
          <w:rFonts w:asciiTheme="minorHAnsi" w:hAnsiTheme="minorHAnsi" w:cstheme="minorHAnsi"/>
          <w:sz w:val="44"/>
          <w:szCs w:val="44"/>
        </w:rPr>
        <w:t>District-wise Distribution</w:t>
      </w:r>
    </w:p>
    <w:p w:rsidR="00905E13" w:rsidRDefault="00000000">
      <w:pPr>
        <w:spacing w:after="599"/>
        <w:ind w:left="-5" w:right="3"/>
        <w:rPr>
          <w:rFonts w:asciiTheme="minorHAnsi" w:hAnsiTheme="minorHAnsi" w:cstheme="minorHAnsi"/>
          <w:sz w:val="44"/>
          <w:szCs w:val="44"/>
        </w:rPr>
      </w:pPr>
      <w:r w:rsidRPr="00154907">
        <w:rPr>
          <w:rFonts w:asciiTheme="minorHAnsi" w:hAnsiTheme="minorHAnsi" w:cstheme="minorHAnsi"/>
          <w:sz w:val="44"/>
          <w:szCs w:val="44"/>
        </w:rPr>
        <w:t>District-wise analysis highlights hotspots such as Pune, Nashik, and Thane, indicating concentrated biometric service demand.</w:t>
      </w:r>
    </w:p>
    <w:p w:rsidR="00742CE3" w:rsidRPr="00154907" w:rsidRDefault="00742CE3">
      <w:pPr>
        <w:spacing w:after="599"/>
        <w:ind w:left="-5" w:right="3"/>
        <w:rPr>
          <w:rFonts w:asciiTheme="minorHAnsi" w:hAnsiTheme="minorHAnsi" w:cstheme="minorHAnsi"/>
          <w:sz w:val="44"/>
          <w:szCs w:val="44"/>
        </w:rPr>
      </w:pPr>
      <w:r w:rsidRPr="00742CE3">
        <w:rPr>
          <w:rFonts w:asciiTheme="minorHAnsi" w:hAnsiTheme="minorHAnsi" w:cstheme="minorHAnsi"/>
          <w:sz w:val="44"/>
          <w:szCs w:val="44"/>
        </w:rPr>
        <w:drawing>
          <wp:inline distT="0" distB="0" distL="0" distR="0" wp14:anchorId="43A7258B" wp14:editId="0DFC7F1C">
            <wp:extent cx="6337738" cy="5975247"/>
            <wp:effectExtent l="0" t="0" r="6350" b="6985"/>
            <wp:docPr id="200093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36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5702" cy="599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E13" w:rsidRPr="00154907" w:rsidRDefault="00154907" w:rsidP="00154907">
      <w:pPr>
        <w:pStyle w:val="Heading1"/>
        <w:numPr>
          <w:ilvl w:val="0"/>
          <w:numId w:val="0"/>
        </w:numPr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sz w:val="44"/>
          <w:szCs w:val="44"/>
        </w:rPr>
        <w:lastRenderedPageBreak/>
        <w:t>8.</w:t>
      </w:r>
      <w:r w:rsidR="00000000" w:rsidRPr="00154907">
        <w:rPr>
          <w:rFonts w:asciiTheme="minorHAnsi" w:hAnsiTheme="minorHAnsi" w:cstheme="minorHAnsi"/>
          <w:sz w:val="44"/>
          <w:szCs w:val="44"/>
        </w:rPr>
        <w:t>Monthly and Yearly Trends</w:t>
      </w:r>
    </w:p>
    <w:p w:rsidR="00905E13" w:rsidRDefault="00000000">
      <w:pPr>
        <w:spacing w:after="599"/>
        <w:ind w:left="-5" w:right="3"/>
        <w:rPr>
          <w:rFonts w:asciiTheme="minorHAnsi" w:hAnsiTheme="minorHAnsi" w:cstheme="minorHAnsi"/>
          <w:sz w:val="44"/>
          <w:szCs w:val="44"/>
        </w:rPr>
      </w:pPr>
      <w:r w:rsidRPr="00154907">
        <w:rPr>
          <w:rFonts w:asciiTheme="minorHAnsi" w:hAnsiTheme="minorHAnsi" w:cstheme="minorHAnsi"/>
          <w:sz w:val="44"/>
          <w:szCs w:val="44"/>
        </w:rPr>
        <w:t>Monthly trends show sharp spikes during early months, while the rest of the year maintains relatively stable activity, suggesting administrative or seasonal influences.</w:t>
      </w:r>
    </w:p>
    <w:p w:rsidR="00742CE3" w:rsidRPr="00154907" w:rsidRDefault="00742CE3">
      <w:pPr>
        <w:spacing w:after="599"/>
        <w:ind w:left="-5" w:right="3"/>
        <w:rPr>
          <w:rFonts w:asciiTheme="minorHAnsi" w:hAnsiTheme="minorHAnsi" w:cstheme="minorHAnsi"/>
          <w:sz w:val="44"/>
          <w:szCs w:val="44"/>
        </w:rPr>
      </w:pPr>
      <w:r w:rsidRPr="00742CE3">
        <w:rPr>
          <w:rFonts w:asciiTheme="minorHAnsi" w:hAnsiTheme="minorHAnsi" w:cstheme="minorHAnsi"/>
          <w:sz w:val="44"/>
          <w:szCs w:val="44"/>
        </w:rPr>
        <w:drawing>
          <wp:inline distT="0" distB="0" distL="0" distR="0" wp14:anchorId="319B78ED" wp14:editId="6BFD6C93">
            <wp:extent cx="6827319" cy="5265683"/>
            <wp:effectExtent l="0" t="0" r="0" b="0"/>
            <wp:docPr id="74699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99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4249" cy="527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E13" w:rsidRPr="00154907" w:rsidRDefault="00154907" w:rsidP="00154907">
      <w:pPr>
        <w:pStyle w:val="Heading1"/>
        <w:numPr>
          <w:ilvl w:val="0"/>
          <w:numId w:val="0"/>
        </w:numPr>
        <w:ind w:left="10" w:hanging="10"/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sz w:val="44"/>
          <w:szCs w:val="44"/>
        </w:rPr>
        <w:lastRenderedPageBreak/>
        <w:t>9.</w:t>
      </w:r>
      <w:r w:rsidR="00000000" w:rsidRPr="00154907">
        <w:rPr>
          <w:rFonts w:asciiTheme="minorHAnsi" w:hAnsiTheme="minorHAnsi" w:cstheme="minorHAnsi"/>
          <w:sz w:val="44"/>
          <w:szCs w:val="44"/>
        </w:rPr>
        <w:t>Anomaly Detection</w:t>
      </w:r>
    </w:p>
    <w:p w:rsidR="00905E13" w:rsidRDefault="00000000">
      <w:pPr>
        <w:spacing w:after="599"/>
        <w:ind w:left="-5" w:right="3"/>
        <w:rPr>
          <w:rFonts w:asciiTheme="minorHAnsi" w:hAnsiTheme="minorHAnsi" w:cstheme="minorHAnsi"/>
          <w:sz w:val="40"/>
          <w:szCs w:val="40"/>
        </w:rPr>
      </w:pPr>
      <w:r w:rsidRPr="00154907">
        <w:rPr>
          <w:rFonts w:asciiTheme="minorHAnsi" w:hAnsiTheme="minorHAnsi" w:cstheme="minorHAnsi"/>
          <w:sz w:val="40"/>
          <w:szCs w:val="40"/>
        </w:rPr>
        <w:t>Z-score based anomaly detection was applied at the district level. Districts with extremely high update counts were flagged as anomalies, helping identify overburdened service zones.</w:t>
      </w:r>
    </w:p>
    <w:p w:rsidR="00742CE3" w:rsidRPr="00154907" w:rsidRDefault="00742CE3">
      <w:pPr>
        <w:spacing w:after="599"/>
        <w:ind w:left="-5" w:right="3"/>
        <w:rPr>
          <w:rFonts w:asciiTheme="minorHAnsi" w:hAnsiTheme="minorHAnsi" w:cstheme="minorHAnsi"/>
          <w:sz w:val="40"/>
          <w:szCs w:val="40"/>
        </w:rPr>
      </w:pPr>
      <w:r w:rsidRPr="00742CE3">
        <w:rPr>
          <w:rFonts w:asciiTheme="minorHAnsi" w:hAnsiTheme="minorHAnsi" w:cstheme="minorHAnsi"/>
          <w:sz w:val="40"/>
          <w:szCs w:val="40"/>
        </w:rPr>
        <w:drawing>
          <wp:inline distT="0" distB="0" distL="0" distR="0" wp14:anchorId="53E4F04C" wp14:editId="57D059CD">
            <wp:extent cx="6729184" cy="5517931"/>
            <wp:effectExtent l="0" t="0" r="0" b="6985"/>
            <wp:docPr id="81681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16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47406" cy="553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E13" w:rsidRPr="00154907" w:rsidRDefault="00154907" w:rsidP="00154907">
      <w:pPr>
        <w:pStyle w:val="Heading1"/>
        <w:numPr>
          <w:ilvl w:val="0"/>
          <w:numId w:val="0"/>
        </w:numPr>
        <w:ind w:left="10" w:hanging="10"/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sz w:val="44"/>
          <w:szCs w:val="44"/>
        </w:rPr>
        <w:lastRenderedPageBreak/>
        <w:t>10,</w:t>
      </w:r>
      <w:r w:rsidR="00000000" w:rsidRPr="00154907">
        <w:rPr>
          <w:rFonts w:asciiTheme="minorHAnsi" w:hAnsiTheme="minorHAnsi" w:cstheme="minorHAnsi"/>
          <w:sz w:val="44"/>
          <w:szCs w:val="44"/>
        </w:rPr>
        <w:t>Key Insights</w:t>
      </w:r>
    </w:p>
    <w:p w:rsidR="00905E13" w:rsidRPr="00154907" w:rsidRDefault="00000000">
      <w:pPr>
        <w:numPr>
          <w:ilvl w:val="0"/>
          <w:numId w:val="1"/>
        </w:numPr>
        <w:ind w:right="3" w:hanging="126"/>
        <w:rPr>
          <w:rFonts w:asciiTheme="minorHAnsi" w:hAnsiTheme="minorHAnsi" w:cstheme="minorHAnsi"/>
          <w:sz w:val="40"/>
          <w:szCs w:val="40"/>
        </w:rPr>
      </w:pPr>
      <w:r w:rsidRPr="00154907">
        <w:rPr>
          <w:rFonts w:asciiTheme="minorHAnsi" w:hAnsiTheme="minorHAnsi" w:cstheme="minorHAnsi"/>
          <w:sz w:val="40"/>
          <w:szCs w:val="40"/>
        </w:rPr>
        <w:t>Adult (18+) group slightly dominates biometric updates.</w:t>
      </w:r>
    </w:p>
    <w:p w:rsidR="00905E13" w:rsidRPr="00154907" w:rsidRDefault="00000000">
      <w:pPr>
        <w:numPr>
          <w:ilvl w:val="0"/>
          <w:numId w:val="1"/>
        </w:numPr>
        <w:ind w:right="3" w:hanging="126"/>
        <w:rPr>
          <w:rFonts w:asciiTheme="minorHAnsi" w:hAnsiTheme="minorHAnsi" w:cstheme="minorHAnsi"/>
          <w:sz w:val="40"/>
          <w:szCs w:val="40"/>
        </w:rPr>
      </w:pPr>
      <w:r w:rsidRPr="00154907">
        <w:rPr>
          <w:rFonts w:asciiTheme="minorHAnsi" w:hAnsiTheme="minorHAnsi" w:cstheme="minorHAnsi"/>
          <w:sz w:val="40"/>
          <w:szCs w:val="40"/>
        </w:rPr>
        <w:t>Strong spikes occur during early months.</w:t>
      </w:r>
    </w:p>
    <w:p w:rsidR="00905E13" w:rsidRPr="00154907" w:rsidRDefault="00000000">
      <w:pPr>
        <w:numPr>
          <w:ilvl w:val="0"/>
          <w:numId w:val="1"/>
        </w:numPr>
        <w:ind w:right="3" w:hanging="126"/>
        <w:rPr>
          <w:rFonts w:asciiTheme="minorHAnsi" w:hAnsiTheme="minorHAnsi" w:cstheme="minorHAnsi"/>
          <w:sz w:val="40"/>
          <w:szCs w:val="40"/>
        </w:rPr>
      </w:pPr>
      <w:r w:rsidRPr="00154907">
        <w:rPr>
          <w:rFonts w:asciiTheme="minorHAnsi" w:hAnsiTheme="minorHAnsi" w:cstheme="minorHAnsi"/>
          <w:sz w:val="40"/>
          <w:szCs w:val="40"/>
        </w:rPr>
        <w:t>Uttar Pradesh has the highest biometric load.</w:t>
      </w:r>
    </w:p>
    <w:p w:rsidR="00905E13" w:rsidRPr="00154907" w:rsidRDefault="00000000">
      <w:pPr>
        <w:numPr>
          <w:ilvl w:val="0"/>
          <w:numId w:val="1"/>
        </w:numPr>
        <w:ind w:right="3" w:hanging="126"/>
        <w:rPr>
          <w:rFonts w:asciiTheme="minorHAnsi" w:hAnsiTheme="minorHAnsi" w:cstheme="minorHAnsi"/>
          <w:sz w:val="40"/>
          <w:szCs w:val="40"/>
        </w:rPr>
      </w:pPr>
      <w:r w:rsidRPr="00154907">
        <w:rPr>
          <w:rFonts w:asciiTheme="minorHAnsi" w:hAnsiTheme="minorHAnsi" w:cstheme="minorHAnsi"/>
          <w:sz w:val="40"/>
          <w:szCs w:val="40"/>
        </w:rPr>
        <w:t>Urban districts dominate the hotspot list.</w:t>
      </w:r>
    </w:p>
    <w:p w:rsidR="00905E13" w:rsidRPr="00154907" w:rsidRDefault="00000000">
      <w:pPr>
        <w:numPr>
          <w:ilvl w:val="0"/>
          <w:numId w:val="1"/>
        </w:numPr>
        <w:ind w:right="3" w:hanging="126"/>
        <w:rPr>
          <w:rFonts w:asciiTheme="minorHAnsi" w:hAnsiTheme="minorHAnsi" w:cstheme="minorHAnsi"/>
          <w:sz w:val="40"/>
          <w:szCs w:val="40"/>
        </w:rPr>
      </w:pPr>
      <w:r w:rsidRPr="00154907">
        <w:rPr>
          <w:rFonts w:asciiTheme="minorHAnsi" w:hAnsiTheme="minorHAnsi" w:cstheme="minorHAnsi"/>
          <w:sz w:val="40"/>
          <w:szCs w:val="40"/>
        </w:rPr>
        <w:t>Service demand is geographically uneven.</w:t>
      </w:r>
    </w:p>
    <w:p w:rsidR="00905E13" w:rsidRPr="00154907" w:rsidRDefault="00000000">
      <w:pPr>
        <w:numPr>
          <w:ilvl w:val="0"/>
          <w:numId w:val="1"/>
        </w:numPr>
        <w:ind w:right="3" w:hanging="126"/>
        <w:rPr>
          <w:rFonts w:asciiTheme="minorHAnsi" w:hAnsiTheme="minorHAnsi" w:cstheme="minorHAnsi"/>
          <w:sz w:val="40"/>
          <w:szCs w:val="40"/>
        </w:rPr>
      </w:pPr>
      <w:r w:rsidRPr="00154907">
        <w:rPr>
          <w:rFonts w:asciiTheme="minorHAnsi" w:hAnsiTheme="minorHAnsi" w:cstheme="minorHAnsi"/>
          <w:sz w:val="40"/>
          <w:szCs w:val="40"/>
        </w:rPr>
        <w:t>District-level anomalies highlight overburdened regions.</w:t>
      </w:r>
    </w:p>
    <w:p w:rsidR="00905E13" w:rsidRPr="00154907" w:rsidRDefault="00000000">
      <w:pPr>
        <w:numPr>
          <w:ilvl w:val="0"/>
          <w:numId w:val="1"/>
        </w:numPr>
        <w:ind w:right="3" w:hanging="126"/>
        <w:rPr>
          <w:rFonts w:asciiTheme="minorHAnsi" w:hAnsiTheme="minorHAnsi" w:cstheme="minorHAnsi"/>
          <w:sz w:val="40"/>
          <w:szCs w:val="40"/>
        </w:rPr>
      </w:pPr>
      <w:r w:rsidRPr="00154907">
        <w:rPr>
          <w:rFonts w:asciiTheme="minorHAnsi" w:hAnsiTheme="minorHAnsi" w:cstheme="minorHAnsi"/>
          <w:sz w:val="40"/>
          <w:szCs w:val="40"/>
        </w:rPr>
        <w:t>Monthly patterns are non-uniform.</w:t>
      </w:r>
    </w:p>
    <w:p w:rsidR="00905E13" w:rsidRPr="00154907" w:rsidRDefault="00000000">
      <w:pPr>
        <w:numPr>
          <w:ilvl w:val="0"/>
          <w:numId w:val="1"/>
        </w:numPr>
        <w:ind w:right="3" w:hanging="126"/>
        <w:rPr>
          <w:rFonts w:asciiTheme="minorHAnsi" w:hAnsiTheme="minorHAnsi" w:cstheme="minorHAnsi"/>
          <w:sz w:val="40"/>
          <w:szCs w:val="40"/>
        </w:rPr>
      </w:pPr>
      <w:r w:rsidRPr="00154907">
        <w:rPr>
          <w:rFonts w:asciiTheme="minorHAnsi" w:hAnsiTheme="minorHAnsi" w:cstheme="minorHAnsi"/>
          <w:sz w:val="40"/>
          <w:szCs w:val="40"/>
        </w:rPr>
        <w:t>Population density correlates with biometric volume.</w:t>
      </w:r>
    </w:p>
    <w:p w:rsidR="00905E13" w:rsidRPr="00154907" w:rsidRDefault="00000000">
      <w:pPr>
        <w:numPr>
          <w:ilvl w:val="0"/>
          <w:numId w:val="1"/>
        </w:numPr>
        <w:ind w:right="3" w:hanging="126"/>
        <w:rPr>
          <w:rFonts w:asciiTheme="minorHAnsi" w:hAnsiTheme="minorHAnsi" w:cstheme="minorHAnsi"/>
          <w:sz w:val="40"/>
          <w:szCs w:val="40"/>
        </w:rPr>
      </w:pPr>
      <w:r w:rsidRPr="00154907">
        <w:rPr>
          <w:rFonts w:asciiTheme="minorHAnsi" w:hAnsiTheme="minorHAnsi" w:cstheme="minorHAnsi"/>
          <w:sz w:val="40"/>
          <w:szCs w:val="40"/>
        </w:rPr>
        <w:t>Transition spikes reflect adulthood-related documentation.</w:t>
      </w:r>
    </w:p>
    <w:p w:rsidR="00905E13" w:rsidRPr="00154907" w:rsidRDefault="00000000">
      <w:pPr>
        <w:numPr>
          <w:ilvl w:val="0"/>
          <w:numId w:val="1"/>
        </w:numPr>
        <w:spacing w:after="598"/>
        <w:ind w:right="3" w:hanging="126"/>
        <w:rPr>
          <w:rFonts w:asciiTheme="minorHAnsi" w:hAnsiTheme="minorHAnsi" w:cstheme="minorHAnsi"/>
          <w:sz w:val="40"/>
          <w:szCs w:val="40"/>
        </w:rPr>
      </w:pPr>
      <w:r w:rsidRPr="00154907">
        <w:rPr>
          <w:rFonts w:asciiTheme="minorHAnsi" w:hAnsiTheme="minorHAnsi" w:cstheme="minorHAnsi"/>
          <w:sz w:val="40"/>
          <w:szCs w:val="40"/>
        </w:rPr>
        <w:t>Targeted planning can improve service efficiency.</w:t>
      </w:r>
    </w:p>
    <w:p w:rsidR="00742CE3" w:rsidRDefault="00742CE3" w:rsidP="00154907">
      <w:pPr>
        <w:pStyle w:val="Heading1"/>
        <w:numPr>
          <w:ilvl w:val="0"/>
          <w:numId w:val="0"/>
        </w:numPr>
        <w:ind w:left="10" w:hanging="10"/>
        <w:rPr>
          <w:rFonts w:asciiTheme="minorHAnsi" w:hAnsiTheme="minorHAnsi" w:cstheme="minorHAnsi"/>
          <w:sz w:val="44"/>
          <w:szCs w:val="44"/>
        </w:rPr>
      </w:pPr>
    </w:p>
    <w:p w:rsidR="00905E13" w:rsidRPr="00154907" w:rsidRDefault="00154907" w:rsidP="00154907">
      <w:pPr>
        <w:pStyle w:val="Heading1"/>
        <w:numPr>
          <w:ilvl w:val="0"/>
          <w:numId w:val="0"/>
        </w:numPr>
        <w:ind w:left="10" w:hanging="10"/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sz w:val="44"/>
          <w:szCs w:val="44"/>
        </w:rPr>
        <w:t>11.</w:t>
      </w:r>
      <w:r w:rsidR="00000000" w:rsidRPr="00154907">
        <w:rPr>
          <w:rFonts w:asciiTheme="minorHAnsi" w:hAnsiTheme="minorHAnsi" w:cstheme="minorHAnsi"/>
          <w:sz w:val="44"/>
          <w:szCs w:val="44"/>
        </w:rPr>
        <w:t>Conclusion</w:t>
      </w:r>
    </w:p>
    <w:p w:rsidR="00905E13" w:rsidRDefault="00000000" w:rsidP="00154907">
      <w:pPr>
        <w:ind w:left="-5" w:right="3"/>
      </w:pPr>
      <w:r w:rsidRPr="00154907">
        <w:rPr>
          <w:rFonts w:asciiTheme="minorHAnsi" w:hAnsiTheme="minorHAnsi" w:cstheme="minorHAnsi"/>
          <w:sz w:val="40"/>
          <w:szCs w:val="40"/>
        </w:rPr>
        <w:t>The biometric dataset demonstrates strong age-based, regional, and seasonal patterns. The presence of concentrated hotspots and anomalies indicates the need for region-specific service planning. These insights can support policy-making, infrastructure scaling, and efficient identity management system</w:t>
      </w:r>
      <w:r w:rsidR="00154907">
        <w:rPr>
          <w:rFonts w:asciiTheme="minorHAnsi" w:hAnsiTheme="minorHAnsi" w:cstheme="minorHAnsi"/>
          <w:sz w:val="40"/>
          <w:szCs w:val="40"/>
        </w:rPr>
        <w:t>.</w:t>
      </w:r>
      <w:r w:rsidR="00154907">
        <w:t xml:space="preserve"> </w:t>
      </w:r>
    </w:p>
    <w:sectPr w:rsidR="00905E13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34BCB"/>
    <w:multiLevelType w:val="hybridMultilevel"/>
    <w:tmpl w:val="EA7E8036"/>
    <w:lvl w:ilvl="0" w:tplc="08D66720">
      <w:start w:val="1"/>
      <w:numFmt w:val="decimal"/>
      <w:pStyle w:val="Heading1"/>
      <w:lvlText w:val="%1."/>
      <w:lvlJc w:val="left"/>
      <w:pPr>
        <w:ind w:left="21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40E5CDA">
      <w:start w:val="1"/>
      <w:numFmt w:val="lowerLetter"/>
      <w:lvlText w:val="%2"/>
      <w:lvlJc w:val="left"/>
      <w:pPr>
        <w:ind w:left="32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4E51BE">
      <w:start w:val="1"/>
      <w:numFmt w:val="lowerRoman"/>
      <w:lvlText w:val="%3"/>
      <w:lvlJc w:val="left"/>
      <w:pPr>
        <w:ind w:left="39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6C43CC">
      <w:start w:val="1"/>
      <w:numFmt w:val="decimal"/>
      <w:lvlText w:val="%4"/>
      <w:lvlJc w:val="left"/>
      <w:pPr>
        <w:ind w:left="46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B42D4C">
      <w:start w:val="1"/>
      <w:numFmt w:val="lowerLetter"/>
      <w:lvlText w:val="%5"/>
      <w:lvlJc w:val="left"/>
      <w:pPr>
        <w:ind w:left="53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8BCE92A">
      <w:start w:val="1"/>
      <w:numFmt w:val="lowerRoman"/>
      <w:lvlText w:val="%6"/>
      <w:lvlJc w:val="left"/>
      <w:pPr>
        <w:ind w:left="60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A62316">
      <w:start w:val="1"/>
      <w:numFmt w:val="decimal"/>
      <w:lvlText w:val="%7"/>
      <w:lvlJc w:val="left"/>
      <w:pPr>
        <w:ind w:left="68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354F208">
      <w:start w:val="1"/>
      <w:numFmt w:val="lowerLetter"/>
      <w:lvlText w:val="%8"/>
      <w:lvlJc w:val="left"/>
      <w:pPr>
        <w:ind w:left="75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569550">
      <w:start w:val="1"/>
      <w:numFmt w:val="lowerRoman"/>
      <w:lvlText w:val="%9"/>
      <w:lvlJc w:val="left"/>
      <w:pPr>
        <w:ind w:left="82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CE359E1"/>
    <w:multiLevelType w:val="hybridMultilevel"/>
    <w:tmpl w:val="DD743E90"/>
    <w:lvl w:ilvl="0" w:tplc="7BBC7AD8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88D70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CC578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8851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08D45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C839B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96F6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6AE01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BC55D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6070650">
    <w:abstractNumId w:val="1"/>
  </w:num>
  <w:num w:numId="2" w16cid:durableId="1952279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E13"/>
    <w:rsid w:val="00154907"/>
    <w:rsid w:val="002871D1"/>
    <w:rsid w:val="00742CE3"/>
    <w:rsid w:val="0090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F8F6D"/>
  <w15:docId w15:val="{14D09DE4-2332-49F0-B10B-4ADFAEBCC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8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377" w:line="28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Aditya Upadhyay</cp:lastModifiedBy>
  <cp:revision>2</cp:revision>
  <dcterms:created xsi:type="dcterms:W3CDTF">2026-01-20T11:24:00Z</dcterms:created>
  <dcterms:modified xsi:type="dcterms:W3CDTF">2026-01-20T11:24:00Z</dcterms:modified>
</cp:coreProperties>
</file>