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b/>
          <w:bCs/>
          <w:color w:val="185FA5"/>
          <w:sz w:val="44"/>
          <w:szCs w:val="44"/>
        </w:rPr>
        <w:t xml:space="preserve">Enterprise AI Operations Copilot</w:t>
      </w:r>
    </w:p>
    <w:p>
      <w:pPr>
        <w:spacing w:after="80"/>
        <w:jc w:val="center"/>
      </w:pPr>
      <w:r>
        <w:rPr>
          <w:color w:val="5F5E5A"/>
          <w:sz w:val="28"/>
          <w:szCs w:val="28"/>
        </w:rPr>
        <w:t xml:space="preserve">A Multi-Agent IT Support &amp; Knowledge System</w:t>
      </w:r>
    </w:p>
    <w:p>
      <w:pPr>
        <w:spacing w:after="800"/>
        <w:jc w:val="center"/>
      </w:pPr>
      <w:r>
        <w:rPr>
          <w:i/>
          <w:iCs/>
          <w:color w:val="5F5E5A"/>
          <w:sz w:val="24"/>
          <w:szCs w:val="24"/>
        </w:rPr>
        <w:t xml:space="preserve">Project Overview &amp; Technical Design Document</w:t>
      </w:r>
    </w:p>
    <w:p>
      <w:pPr>
        <w:spacing w:after="80"/>
        <w:jc w:val="center"/>
      </w:pPr>
      <w:r>
        <w:rPr>
          <w:color w:val="5F5E5A"/>
          <w:sz w:val="20"/>
          <w:szCs w:val="20"/>
        </w:rPr>
        <w:t xml:space="preserve">Prepared for a two-person portfolio build</w:t>
      </w:r>
    </w:p>
    <w:p>
      <w:pPr>
        <w:jc w:val="center"/>
      </w:pPr>
      <w:r>
        <w:rPr>
          <w:color w:val="5F5E5A"/>
          <w:sz w:val="20"/>
          <w:szCs w:val="20"/>
        </w:rPr>
        <w:t xml:space="preserve">August 2026</w:t>
      </w:r>
    </w:p>
    <w:p>
      <w:r>
        <w:br w:type="page"/>
      </w:r>
    </w:p>
    <w:p>
      <w:pPr>
        <w:pStyle w:val="Heading1"/>
        <w:spacing w:after="200" w:before="480"/>
      </w:pPr>
      <w:r>
        <w:t xml:space="preserve">1. Executive summary</w:t>
      </w:r>
    </w:p>
    <w:p>
      <w:pPr>
        <w:spacing w:after="160" w:line="276"/>
      </w:pPr>
      <w:r>
        <w:t xml:space="preserve">This document describes a multi-agent AI system that acts as an internal IT and knowledge assistant for a fictional company, built by two developers as a joint portfolio project. Employees ask natural-language questions such as “How do I set up my VPN?” or “I forgot my MFA,” and a supervisor agent routes the request to specialist agents that search documentation, diagnose issues, create support tickets, and notify a human — with a hard rule that no agent takes an action that changes system state without a human clicking approve first.</w:t>
      </w:r>
    </w:p>
    <w:p>
      <w:pPr>
        <w:spacing w:after="160" w:line="276"/>
      </w:pPr>
      <w:r>
        <w:t xml:space="preserve">The project is deliberately built on synthetic data: a fictional company, invented employees, and a written-from-scratch documentation corpus that mimics real enterprise IT, HR, and security documentation without exposing any real company's data. This keeps the project shareable, safe to demo publicly, and free of the approval bottlenecks that come with touching a real employer's systems, while still demonstrating every skill a production deployment would require.</w:t>
      </w:r>
    </w:p>
    <w:p>
      <w:pPr>
        <w:spacing w:after="160" w:line="276"/>
      </w:pPr>
      <w:r>
        <w:t xml:space="preserve">The stack spans the full modern AI engineering surface: multi-agent orchestration (LangGraph), LLM tooling (LangChain), retrieval-augmented generation, workflow automation (n8n), centralized model governance (Databricks AI Gateway), observability and evaluation (LangSmith), and containerized cloud deployment (Docker + Azure). Each choice is explained in Section 5, including where research turned up better alternatives than the original plan — see Section 14 for the full list of flaws found and recommended changes.</w:t>
      </w:r>
    </w:p>
    <w:p>
      <w:pPr>
        <w:pStyle w:val="Heading3"/>
        <w:spacing w:after="100" w:before="22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85FA5" w:color="auto" w:val="clear"/>
            <w:tcMar>
              <w:top w:type="dxa" w:w="100"/>
              <w:left w:type="dxa" w:w="120"/>
              <w:bottom w:type="dxa" w:w="100"/>
              <w:right w:type="dxa" w:w="120"/>
            </w:tcMar>
            <w:vAlign w:val="center"/>
          </w:tcPr>
          <w:p>
            <w:r>
              <w:rPr>
                <w:b/>
                <w:bCs/>
                <w:color w:val="FFFFFF"/>
                <w:sz w:val="20"/>
                <w:szCs w:val="20"/>
              </w:rPr>
              <w:t xml:space="preserve">Item</w:t>
            </w:r>
          </w:p>
        </w:tc>
        <w:tc>
          <w:tcPr>
            <w:tcW w:type="dxa" w:w="6960"/>
            <w:shd w:fill="185FA5" w:color="auto" w:val="clear"/>
            <w:tcMar>
              <w:top w:type="dxa" w:w="100"/>
              <w:left w:type="dxa" w:w="120"/>
              <w:bottom w:type="dxa" w:w="100"/>
              <w:right w:type="dxa" w:w="120"/>
            </w:tcMar>
            <w:vAlign w:val="center"/>
          </w:tcPr>
          <w:p>
            <w:r>
              <w:rPr>
                <w:b/>
                <w:bCs/>
                <w:color w:val="FFFFFF"/>
                <w:sz w:val="20"/>
                <w:szCs w:val="20"/>
              </w:rPr>
              <w:t xml:space="preserve">Summary</w:t>
            </w:r>
          </w:p>
        </w:tc>
      </w:tr>
      <w:tr>
        <w:tc>
          <w:tcPr>
            <w:tcW w:type="dxa" w:w="2400"/>
            <w:tcMar>
              <w:top w:type="dxa" w:w="100"/>
              <w:left w:type="dxa" w:w="120"/>
              <w:bottom w:type="dxa" w:w="100"/>
              <w:right w:type="dxa" w:w="120"/>
            </w:tcMar>
            <w:vAlign w:val="center"/>
          </w:tcPr>
          <w:p>
            <w:r>
              <w:rPr>
                <w:b w:val="false"/>
                <w:bCs w:val="false"/>
                <w:sz w:val="20"/>
                <w:szCs w:val="20"/>
              </w:rPr>
              <w:t xml:space="preserve">Team size</w:t>
            </w:r>
          </w:p>
        </w:tc>
        <w:tc>
          <w:tcPr>
            <w:tcW w:type="dxa" w:w="6960"/>
            <w:tcMar>
              <w:top w:type="dxa" w:w="100"/>
              <w:left w:type="dxa" w:w="120"/>
              <w:bottom w:type="dxa" w:w="100"/>
              <w:right w:type="dxa" w:w="120"/>
            </w:tcMar>
            <w:vAlign w:val="center"/>
          </w:tcPr>
          <w:p>
            <w:r>
              <w:rPr>
                <w:b w:val="false"/>
                <w:bCs w:val="false"/>
                <w:sz w:val="20"/>
                <w:szCs w:val="20"/>
              </w:rPr>
              <w:t xml:space="preserve">2 developers, both hands-on across the stack, with a primary-owner split (Section 12)</w:t>
            </w:r>
          </w:p>
        </w:tc>
      </w:tr>
      <w:tr>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Core pattern</w:t>
            </w:r>
          </w:p>
        </w:tc>
        <w:tc>
          <w:tcPr>
            <w:tcW w:type="dxa" w:w="6960"/>
            <w:shd w:fill="F1EFE8" w:color="auto" w:val="clear"/>
            <w:tcMar>
              <w:top w:type="dxa" w:w="100"/>
              <w:left w:type="dxa" w:w="120"/>
              <w:bottom w:type="dxa" w:w="100"/>
              <w:right w:type="dxa" w:w="120"/>
            </w:tcMar>
            <w:vAlign w:val="center"/>
          </w:tcPr>
          <w:p>
            <w:r>
              <w:rPr>
                <w:b w:val="false"/>
                <w:bCs w:val="false"/>
                <w:sz w:val="20"/>
                <w:szCs w:val="20"/>
              </w:rPr>
              <w:t xml:space="preserve">LangGraph supervisor agent routing to specialist worker agents</w:t>
            </w:r>
          </w:p>
        </w:tc>
      </w:tr>
      <w:tr>
        <w:tc>
          <w:tcPr>
            <w:tcW w:type="dxa" w:w="2400"/>
            <w:tcMar>
              <w:top w:type="dxa" w:w="100"/>
              <w:left w:type="dxa" w:w="120"/>
              <w:bottom w:type="dxa" w:w="100"/>
              <w:right w:type="dxa" w:w="120"/>
            </w:tcMar>
            <w:vAlign w:val="center"/>
          </w:tcPr>
          <w:p>
            <w:r>
              <w:rPr>
                <w:b w:val="false"/>
                <w:bCs w:val="false"/>
                <w:sz w:val="20"/>
                <w:szCs w:val="20"/>
              </w:rPr>
              <w:t xml:space="preserve">Data</w:t>
            </w:r>
          </w:p>
        </w:tc>
        <w:tc>
          <w:tcPr>
            <w:tcW w:type="dxa" w:w="6960"/>
            <w:tcMar>
              <w:top w:type="dxa" w:w="100"/>
              <w:left w:type="dxa" w:w="120"/>
              <w:bottom w:type="dxa" w:w="100"/>
              <w:right w:type="dxa" w:w="120"/>
            </w:tcMar>
            <w:vAlign w:val="center"/>
          </w:tcPr>
          <w:p>
            <w:r>
              <w:rPr>
                <w:b w:val="false"/>
                <w:bCs w:val="false"/>
                <w:sz w:val="20"/>
                <w:szCs w:val="20"/>
              </w:rPr>
              <w:t xml:space="preserve">100% synthetic — invented company, employees, and documentation</w:t>
            </w:r>
          </w:p>
        </w:tc>
      </w:tr>
      <w:tr>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Primary goal</w:t>
            </w:r>
          </w:p>
        </w:tc>
        <w:tc>
          <w:tcPr>
            <w:tcW w:type="dxa" w:w="6960"/>
            <w:shd w:fill="F1EFE8" w:color="auto" w:val="clear"/>
            <w:tcMar>
              <w:top w:type="dxa" w:w="100"/>
              <w:left w:type="dxa" w:w="120"/>
              <w:bottom w:type="dxa" w:w="100"/>
              <w:right w:type="dxa" w:w="120"/>
            </w:tcMar>
            <w:vAlign w:val="center"/>
          </w:tcPr>
          <w:p>
            <w:r>
              <w:rPr>
                <w:b w:val="false"/>
                <w:bCs w:val="false"/>
                <w:sz w:val="20"/>
                <w:szCs w:val="20"/>
              </w:rPr>
              <w:t xml:space="preserve">A shippable, demoable, metric-backed system for two software engineering resumes</w:t>
            </w:r>
          </w:p>
        </w:tc>
      </w:tr>
      <w:tr>
        <w:tc>
          <w:tcPr>
            <w:tcW w:type="dxa" w:w="2400"/>
            <w:tcMar>
              <w:top w:type="dxa" w:w="100"/>
              <w:left w:type="dxa" w:w="120"/>
              <w:bottom w:type="dxa" w:w="100"/>
              <w:right w:type="dxa" w:w="120"/>
            </w:tcMar>
            <w:vAlign w:val="center"/>
          </w:tcPr>
          <w:p>
            <w:r>
              <w:rPr>
                <w:b w:val="false"/>
                <w:bCs w:val="false"/>
                <w:sz w:val="20"/>
                <w:szCs w:val="20"/>
              </w:rPr>
              <w:t xml:space="preserve">Est. build time</w:t>
            </w:r>
          </w:p>
        </w:tc>
        <w:tc>
          <w:tcPr>
            <w:tcW w:type="dxa" w:w="6960"/>
            <w:tcMar>
              <w:top w:type="dxa" w:w="100"/>
              <w:left w:type="dxa" w:w="120"/>
              <w:bottom w:type="dxa" w:w="100"/>
              <w:right w:type="dxa" w:w="120"/>
            </w:tcMar>
            <w:vAlign w:val="center"/>
          </w:tcPr>
          <w:p>
            <w:r>
              <w:rPr>
                <w:b w:val="false"/>
                <w:bCs w:val="false"/>
                <w:sz w:val="20"/>
                <w:szCs w:val="20"/>
              </w:rPr>
              <w:t xml:space="preserve">6–8 weeks part-time for the core system (Section 13); longer with stretch scope</w:t>
            </w:r>
          </w:p>
        </w:tc>
      </w:tr>
    </w:tbl>
    <w:p>
      <w:pPr>
        <w:pStyle w:val="Heading1"/>
        <w:spacing w:after="200" w:before="480"/>
      </w:pPr>
      <w:r>
        <w:t xml:space="preserve">2. Motivation</w:t>
      </w:r>
    </w:p>
    <w:p>
      <w:pPr>
        <w:spacing w:after="160" w:line="276"/>
      </w:pPr>
      <w:r>
        <w:t xml:space="preserve">Every organization accumulates thousands of documents employees need but rarely find quickly: IT runbooks, network documentation, security procedures, HR policy, and internal FAQs. Employees waste real time either searching manually or interrupting IT staff for answers that are already written down somewhere. This project targets that specific, well-understood problem because it is easy to explain to a non-technical interviewer, easy to demo convincingly, and rich enough to justify a genuine multi-agent architecture rather than a single chatbot wrapper.</w:t>
      </w:r>
    </w:p>
    <w:p>
      <w:pPr>
        <w:spacing w:after="160" w:line="276"/>
      </w:pPr>
      <w:r>
        <w:t xml:space="preserve">The idea originates from real hands-on IT and infrastructure experience — managing Active Directory, provisioning, VPN and MFA issues, printer and hardware troubleshooting, and ticketing across multiple physical locations. That first-hand experience is what makes the synthetic documentation and example scenarios credible rather than generic; the team can write runbooks and diagnostic flows the way they actually look in practice, not the way a tutorial imagines them.</w:t>
      </w:r>
    </w:p>
    <w:p>
      <w:pPr>
        <w:spacing w:after="160" w:line="276"/>
      </w:pPr>
      <w:r>
        <w:t xml:space="preserve">2026 hiring research is consistent on one point: portfolios are increasingly judged on production signals — deployed systems, measured outcomes, and evidence of handling failure — rather than notebook demos or one-line model-call snippets. A synthetic-data build sacrifices the “real user” story of a live deployment, but recovers real credibility by being fully documented, evaluated with actual metrics, and safe to link publicly from a resume without needing an employer's or client's sign-off.</w:t>
      </w:r>
    </w:p>
    <w:p>
      <w:pPr>
        <w:pStyle w:val="Heading1"/>
        <w:spacing w:after="200" w:before="480"/>
      </w:pPr>
      <w:r>
        <w:t xml:space="preserve">3. Product overview: two core scenarios</w:t>
      </w:r>
    </w:p>
    <w:p>
      <w:pPr>
        <w:spacing w:after="160" w:line="276"/>
      </w:pPr>
      <w:r>
        <w:t xml:space="preserve">The system is easiest to explain — and to demo — through two canonical request types that exercise different parts of the architecture.</w:t>
      </w:r>
    </w:p>
    <w:p>
      <w:pPr>
        <w:pStyle w:val="Heading2"/>
        <w:spacing w:after="160" w:before="320"/>
      </w:pPr>
      <w:r>
        <w:t xml:space="preserve">Scenario A: “How do I set up my VPN?” — a pure knowledge request</w:t>
      </w:r>
    </w:p>
    <w:p>
      <w:pPr>
        <w:pStyle w:val="ListParagraph"/>
        <w:numPr>
          <w:ilvl w:val="0"/>
          <w:numId w:val="2"/>
        </w:numPr>
        <w:spacing w:after="90" w:line="276"/>
      </w:pPr>
      <w:r>
        <w:t xml:space="preserve">The supervisor agent classifies the request as an informational, low-risk query and routes to the Knowledge Agent.</w:t>
      </w:r>
    </w:p>
    <w:p>
      <w:pPr>
        <w:pStyle w:val="ListParagraph"/>
        <w:numPr>
          <w:ilvl w:val="0"/>
          <w:numId w:val="2"/>
        </w:numPr>
        <w:spacing w:after="90" w:line="276"/>
      </w:pPr>
      <w:r>
        <w:t xml:space="preserve">The Knowledge Agent retrieves the relevant runbook chunks from the vector store, synthesizes a step-by-step answer, and generates any needed CLI commands or settings.</w:t>
      </w:r>
    </w:p>
    <w:p>
      <w:pPr>
        <w:pStyle w:val="ListParagraph"/>
        <w:numPr>
          <w:ilvl w:val="0"/>
          <w:numId w:val="2"/>
        </w:numPr>
        <w:spacing w:after="90" w:line="276"/>
      </w:pPr>
      <w:r>
        <w:t xml:space="preserve">If the retrieved context doesn't fully resolve the issue, the agent offers to open a support ticket rather than guessing.</w:t>
      </w:r>
    </w:p>
    <w:p>
      <w:pPr>
        <w:pStyle w:val="ListParagraph"/>
        <w:numPr>
          <w:ilvl w:val="0"/>
          <w:numId w:val="2"/>
        </w:numPr>
        <w:spacing w:after="90" w:line="276"/>
      </w:pPr>
      <w:r>
        <w:t xml:space="preserve">No human approval is required — this path only reads information and never changes system state.</w:t>
      </w:r>
    </w:p>
    <w:p>
      <w:pPr>
        <w:pStyle w:val="Heading2"/>
        <w:spacing w:after="160" w:before="320"/>
      </w:pPr>
      <w:r>
        <w:t xml:space="preserve">Scenario B: “I forgot my MFA” — a branching, state-changing request</w:t>
      </w:r>
    </w:p>
    <w:p>
      <w:pPr>
        <w:pStyle w:val="ListParagraph"/>
        <w:numPr>
          <w:ilvl w:val="0"/>
          <w:numId w:val="2"/>
        </w:numPr>
        <w:spacing w:after="90" w:line="276"/>
      </w:pPr>
      <w:r>
        <w:t xml:space="preserve">The supervisor must decide among several next steps: search documentation, reset the account, create a ticket, or notify an administrator. This branching decision is the clearest justification for using LangGraph instead of a single linear chain.</w:t>
      </w:r>
    </w:p>
    <w:p>
      <w:pPr>
        <w:pStyle w:val="ListParagraph"/>
        <w:numPr>
          <w:ilvl w:val="0"/>
          <w:numId w:val="2"/>
        </w:numPr>
        <w:spacing w:after="90" w:line="276"/>
      </w:pPr>
      <w:r>
        <w:t xml:space="preserve">The Diagnostics Agent checks whether this is a known, self-serve-resolvable case or requires an account action.</w:t>
      </w:r>
    </w:p>
    <w:p>
      <w:pPr>
        <w:pStyle w:val="ListParagraph"/>
        <w:numPr>
          <w:ilvl w:val="0"/>
          <w:numId w:val="2"/>
        </w:numPr>
        <w:spacing w:after="90" w:line="276"/>
      </w:pPr>
      <w:r>
        <w:t xml:space="preserve">Because an MFA reset changes real account state, the graph pauses at a human-approval interrupt before the Ticketing Agent or any account-modifying tool executes.</w:t>
      </w:r>
    </w:p>
    <w:p>
      <w:pPr>
        <w:pStyle w:val="ListParagraph"/>
        <w:numPr>
          <w:ilvl w:val="0"/>
          <w:numId w:val="2"/>
        </w:numPr>
        <w:spacing w:after="90" w:line="276"/>
      </w:pPr>
      <w:r>
        <w:t xml:space="preserve">Once approved, the Ticketing Agent logs the action and the Notification Agent (via an n8n workflow) messages the employee and, if needed, pings an IT admin in Slack or Teams.</w:t>
      </w:r>
    </w:p>
    <w:p>
      <w:pPr>
        <w:spacing w:after="160" w:line="276"/>
      </w:pPr>
      <w:r>
        <w:t xml:space="preserve">These two scenarios alone are enough to demonstrate supervisor routing, RAG, tool calling, human-in-the-loop safety, and workflow automation — which is why they are recommended as the primary live demo rather than trying to showcase every document category at once.</w:t>
      </w:r>
    </w:p>
    <w:p>
      <w:pPr>
        <w:pStyle w:val="Heading1"/>
        <w:spacing w:after="200" w:before="480"/>
      </w:pPr>
      <w:r>
        <w:t xml:space="preserve">4. System architecture</w:t>
      </w:r>
    </w:p>
    <w:p>
      <w:pPr>
        <w:spacing w:after="160" w:line="276"/>
      </w:pPr>
      <w:r>
        <w:t xml:space="preserve">The system is organized into six layers, each with a single clear responsibility. This keeps the two-person work split clean and gives you a natural way to narrate the architecture in an interview — one layer at a time,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185FA5" w:color="auto" w:val="clear"/>
            <w:tcMar>
              <w:top w:type="dxa" w:w="100"/>
              <w:left w:type="dxa" w:w="120"/>
              <w:bottom w:type="dxa" w:w="100"/>
              <w:right w:type="dxa" w:w="120"/>
            </w:tcMar>
            <w:vAlign w:val="center"/>
          </w:tcPr>
          <w:p>
            <w:r>
              <w:rPr>
                <w:b/>
                <w:bCs/>
                <w:color w:val="FFFFFF"/>
                <w:sz w:val="20"/>
                <w:szCs w:val="20"/>
              </w:rPr>
              <w:t xml:space="preserve">Layer</w:t>
            </w:r>
          </w:p>
        </w:tc>
        <w:tc>
          <w:tcPr>
            <w:tcW w:type="dxa" w:w="2400"/>
            <w:shd w:fill="185FA5" w:color="auto" w:val="clear"/>
            <w:tcMar>
              <w:top w:type="dxa" w:w="100"/>
              <w:left w:type="dxa" w:w="120"/>
              <w:bottom w:type="dxa" w:w="100"/>
              <w:right w:type="dxa" w:w="120"/>
            </w:tcMar>
            <w:vAlign w:val="center"/>
          </w:tcPr>
          <w:p>
            <w:r>
              <w:rPr>
                <w:b/>
                <w:bCs/>
                <w:color w:val="FFFFFF"/>
                <w:sz w:val="20"/>
                <w:szCs w:val="20"/>
              </w:rPr>
              <w:t xml:space="preserve">Component</w:t>
            </w:r>
          </w:p>
        </w:tc>
        <w:tc>
          <w:tcPr>
            <w:tcW w:type="dxa" w:w="4760"/>
            <w:shd w:fill="185FA5" w:color="auto"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2200"/>
            <w:tcMar>
              <w:top w:type="dxa" w:w="100"/>
              <w:left w:type="dxa" w:w="120"/>
              <w:bottom w:type="dxa" w:w="100"/>
              <w:right w:type="dxa" w:w="120"/>
            </w:tcMar>
            <w:vAlign w:val="center"/>
          </w:tcPr>
          <w:p>
            <w:r>
              <w:rPr>
                <w:b w:val="false"/>
                <w:bCs w:val="false"/>
                <w:sz w:val="20"/>
                <w:szCs w:val="20"/>
              </w:rPr>
              <w:t xml:space="preserve">Client</w:t>
            </w:r>
          </w:p>
        </w:tc>
        <w:tc>
          <w:tcPr>
            <w:tcW w:type="dxa" w:w="2400"/>
            <w:tcMar>
              <w:top w:type="dxa" w:w="100"/>
              <w:left w:type="dxa" w:w="120"/>
              <w:bottom w:type="dxa" w:w="100"/>
              <w:right w:type="dxa" w:w="120"/>
            </w:tcMar>
            <w:vAlign w:val="center"/>
          </w:tcPr>
          <w:p>
            <w:r>
              <w:rPr>
                <w:b w:val="false"/>
                <w:bCs w:val="false"/>
                <w:sz w:val="20"/>
                <w:szCs w:val="20"/>
              </w:rPr>
              <w:t xml:space="preserve">Next.js chat widget</w:t>
            </w:r>
          </w:p>
        </w:tc>
        <w:tc>
          <w:tcPr>
            <w:tcW w:type="dxa" w:w="4760"/>
            <w:tcMar>
              <w:top w:type="dxa" w:w="100"/>
              <w:left w:type="dxa" w:w="120"/>
              <w:bottom w:type="dxa" w:w="100"/>
              <w:right w:type="dxa" w:w="120"/>
            </w:tcMar>
            <w:vAlign w:val="center"/>
          </w:tcPr>
          <w:p>
            <w:r>
              <w:rPr>
                <w:b w:val="false"/>
                <w:bCs w:val="false"/>
                <w:sz w:val="20"/>
                <w:szCs w:val="20"/>
              </w:rPr>
              <w:t xml:space="preserve">Employee-facing chat interface; shows the agent's reasoning steps and which specialist handled a request</w:t>
            </w:r>
          </w:p>
        </w:tc>
      </w:tr>
      <w:tr>
        <w:tc>
          <w:tcPr>
            <w:tcW w:type="dxa" w:w="2200"/>
            <w:shd w:fill="F1EFE8" w:color="auto" w:val="clear"/>
            <w:tcMar>
              <w:top w:type="dxa" w:w="100"/>
              <w:left w:type="dxa" w:w="120"/>
              <w:bottom w:type="dxa" w:w="100"/>
              <w:right w:type="dxa" w:w="120"/>
            </w:tcMar>
            <w:vAlign w:val="center"/>
          </w:tcPr>
          <w:p>
            <w:r>
              <w:rPr>
                <w:b w:val="false"/>
                <w:bCs w:val="false"/>
                <w:sz w:val="20"/>
                <w:szCs w:val="20"/>
              </w:rPr>
              <w:t xml:space="preserve">API</w:t>
            </w:r>
          </w:p>
        </w:tc>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FastAPI backend</w:t>
            </w:r>
          </w:p>
        </w:tc>
        <w:tc>
          <w:tcPr>
            <w:tcW w:type="dxa" w:w="4760"/>
            <w:shd w:fill="F1EFE8" w:color="auto" w:val="clear"/>
            <w:tcMar>
              <w:top w:type="dxa" w:w="100"/>
              <w:left w:type="dxa" w:w="120"/>
              <w:bottom w:type="dxa" w:w="100"/>
              <w:right w:type="dxa" w:w="120"/>
            </w:tcMar>
            <w:vAlign w:val="center"/>
          </w:tcPr>
          <w:p>
            <w:r>
              <w:rPr>
                <w:b w:val="false"/>
                <w:bCs w:val="false"/>
                <w:sz w:val="20"/>
                <w:szCs w:val="20"/>
              </w:rPr>
              <w:t xml:space="preserve">Validates requests, manages sessions, exposes the LangGraph app as an HTTP/streaming endpoint</w:t>
            </w:r>
          </w:p>
        </w:tc>
      </w:tr>
      <w:tr>
        <w:tc>
          <w:tcPr>
            <w:tcW w:type="dxa" w:w="2200"/>
            <w:tcMar>
              <w:top w:type="dxa" w:w="100"/>
              <w:left w:type="dxa" w:w="120"/>
              <w:bottom w:type="dxa" w:w="100"/>
              <w:right w:type="dxa" w:w="120"/>
            </w:tcMar>
            <w:vAlign w:val="center"/>
          </w:tcPr>
          <w:p>
            <w:r>
              <w:rPr>
                <w:b w:val="false"/>
                <w:bCs w:val="false"/>
                <w:sz w:val="20"/>
                <w:szCs w:val="20"/>
              </w:rPr>
              <w:t xml:space="preserve">Orchestration</w:t>
            </w:r>
          </w:p>
        </w:tc>
        <w:tc>
          <w:tcPr>
            <w:tcW w:type="dxa" w:w="2400"/>
            <w:tcMar>
              <w:top w:type="dxa" w:w="100"/>
              <w:left w:type="dxa" w:w="120"/>
              <w:bottom w:type="dxa" w:w="100"/>
              <w:right w:type="dxa" w:w="120"/>
            </w:tcMar>
            <w:vAlign w:val="center"/>
          </w:tcPr>
          <w:p>
            <w:r>
              <w:rPr>
                <w:b w:val="false"/>
                <w:bCs w:val="false"/>
                <w:sz w:val="20"/>
                <w:szCs w:val="20"/>
              </w:rPr>
              <w:t xml:space="preserve">LangGraph supervisor + specialists</w:t>
            </w:r>
          </w:p>
        </w:tc>
        <w:tc>
          <w:tcPr>
            <w:tcW w:type="dxa" w:w="4760"/>
            <w:tcMar>
              <w:top w:type="dxa" w:w="100"/>
              <w:left w:type="dxa" w:w="120"/>
              <w:bottom w:type="dxa" w:w="100"/>
              <w:right w:type="dxa" w:w="120"/>
            </w:tcMar>
            <w:vAlign w:val="center"/>
          </w:tcPr>
          <w:p>
            <w:r>
              <w:rPr>
                <w:b w:val="false"/>
                <w:bCs w:val="false"/>
                <w:sz w:val="20"/>
                <w:szCs w:val="20"/>
              </w:rPr>
              <w:t xml:space="preserve">Routes requests, maintains shared state, enforces the human-approval interrupt</w:t>
            </w:r>
          </w:p>
        </w:tc>
      </w:tr>
      <w:tr>
        <w:tc>
          <w:tcPr>
            <w:tcW w:type="dxa" w:w="2200"/>
            <w:shd w:fill="F1EFE8" w:color="auto" w:val="clear"/>
            <w:tcMar>
              <w:top w:type="dxa" w:w="100"/>
              <w:left w:type="dxa" w:w="120"/>
              <w:bottom w:type="dxa" w:w="100"/>
              <w:right w:type="dxa" w:w="120"/>
            </w:tcMar>
            <w:vAlign w:val="center"/>
          </w:tcPr>
          <w:p>
            <w:r>
              <w:rPr>
                <w:b w:val="false"/>
                <w:bCs w:val="false"/>
                <w:sz w:val="20"/>
                <w:szCs w:val="20"/>
              </w:rPr>
              <w:t xml:space="preserve">Data</w:t>
            </w:r>
          </w:p>
        </w:tc>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PostgreSQL, Redis, pgvector</w:t>
            </w:r>
          </w:p>
        </w:tc>
        <w:tc>
          <w:tcPr>
            <w:tcW w:type="dxa" w:w="4760"/>
            <w:shd w:fill="F1EFE8" w:color="auto" w:val="clear"/>
            <w:tcMar>
              <w:top w:type="dxa" w:w="100"/>
              <w:left w:type="dxa" w:w="120"/>
              <w:bottom w:type="dxa" w:w="100"/>
              <w:right w:type="dxa" w:w="120"/>
            </w:tcMar>
            <w:vAlign w:val="center"/>
          </w:tcPr>
          <w:p>
            <w:r>
              <w:rPr>
                <w:b w:val="false"/>
                <w:bCs w:val="false"/>
                <w:sz w:val="20"/>
                <w:szCs w:val="20"/>
              </w:rPr>
              <w:t xml:space="preserve">Ticket records and structured state, session/cache, document embeddings for RAG</w:t>
            </w:r>
          </w:p>
        </w:tc>
      </w:tr>
      <w:tr>
        <w:tc>
          <w:tcPr>
            <w:tcW w:type="dxa" w:w="2200"/>
            <w:tcMar>
              <w:top w:type="dxa" w:w="100"/>
              <w:left w:type="dxa" w:w="120"/>
              <w:bottom w:type="dxa" w:w="100"/>
              <w:right w:type="dxa" w:w="120"/>
            </w:tcMar>
            <w:vAlign w:val="center"/>
          </w:tcPr>
          <w:p>
            <w:r>
              <w:rPr>
                <w:b w:val="false"/>
                <w:bCs w:val="false"/>
                <w:sz w:val="20"/>
                <w:szCs w:val="20"/>
              </w:rPr>
              <w:t xml:space="preserve">Governance</w:t>
            </w:r>
          </w:p>
        </w:tc>
        <w:tc>
          <w:tcPr>
            <w:tcW w:type="dxa" w:w="2400"/>
            <w:tcMar>
              <w:top w:type="dxa" w:w="100"/>
              <w:left w:type="dxa" w:w="120"/>
              <w:bottom w:type="dxa" w:w="100"/>
              <w:right w:type="dxa" w:w="120"/>
            </w:tcMar>
            <w:vAlign w:val="center"/>
          </w:tcPr>
          <w:p>
            <w:r>
              <w:rPr>
                <w:b w:val="false"/>
                <w:bCs w:val="false"/>
                <w:sz w:val="20"/>
                <w:szCs w:val="20"/>
              </w:rPr>
              <w:t xml:space="preserve">Databricks AI Gateway</w:t>
            </w:r>
          </w:p>
        </w:tc>
        <w:tc>
          <w:tcPr>
            <w:tcW w:type="dxa" w:w="4760"/>
            <w:tcMar>
              <w:top w:type="dxa" w:w="100"/>
              <w:left w:type="dxa" w:w="120"/>
              <w:bottom w:type="dxa" w:w="100"/>
              <w:right w:type="dxa" w:w="120"/>
            </w:tcMar>
            <w:vAlign w:val="center"/>
          </w:tcPr>
          <w:p>
            <w:r>
              <w:rPr>
                <w:b w:val="false"/>
                <w:bCs w:val="false"/>
                <w:sz w:val="20"/>
                <w:szCs w:val="20"/>
              </w:rPr>
              <w:t xml:space="preserve">Centralized model routing, rate limits, cost tracking, and audit logging across LLM calls (see Section 14)</w:t>
            </w:r>
          </w:p>
        </w:tc>
      </w:tr>
      <w:tr>
        <w:tc>
          <w:tcPr>
            <w:tcW w:type="dxa" w:w="2200"/>
            <w:shd w:fill="F1EFE8" w:color="auto" w:val="clear"/>
            <w:tcMar>
              <w:top w:type="dxa" w:w="100"/>
              <w:left w:type="dxa" w:w="120"/>
              <w:bottom w:type="dxa" w:w="100"/>
              <w:right w:type="dxa" w:w="120"/>
            </w:tcMar>
            <w:vAlign w:val="center"/>
          </w:tcPr>
          <w:p>
            <w:r>
              <w:rPr>
                <w:b w:val="false"/>
                <w:bCs w:val="false"/>
                <w:sz w:val="20"/>
                <w:szCs w:val="20"/>
              </w:rPr>
              <w:t xml:space="preserve">Automation</w:t>
            </w:r>
          </w:p>
        </w:tc>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n8n</w:t>
            </w:r>
          </w:p>
        </w:tc>
        <w:tc>
          <w:tcPr>
            <w:tcW w:type="dxa" w:w="4760"/>
            <w:shd w:fill="F1EFE8" w:color="auto" w:val="clear"/>
            <w:tcMar>
              <w:top w:type="dxa" w:w="100"/>
              <w:left w:type="dxa" w:w="120"/>
              <w:bottom w:type="dxa" w:w="100"/>
              <w:right w:type="dxa" w:w="120"/>
            </w:tcMar>
            <w:vAlign w:val="center"/>
          </w:tcPr>
          <w:p>
            <w:r>
              <w:rPr>
                <w:b w:val="false"/>
                <w:bCs w:val="false"/>
                <w:sz w:val="20"/>
                <w:szCs w:val="20"/>
              </w:rPr>
              <w:t xml:space="preserve">Human-facing notifications — Slack/Teams approval pings, email, scheduled housekeeping jobs</w:t>
            </w:r>
          </w:p>
        </w:tc>
      </w:tr>
      <w:tr>
        <w:tc>
          <w:tcPr>
            <w:tcW w:type="dxa" w:w="2200"/>
            <w:tcMar>
              <w:top w:type="dxa" w:w="100"/>
              <w:left w:type="dxa" w:w="120"/>
              <w:bottom w:type="dxa" w:w="100"/>
              <w:right w:type="dxa" w:w="120"/>
            </w:tcMar>
            <w:vAlign w:val="center"/>
          </w:tcPr>
          <w:p>
            <w:r>
              <w:rPr>
                <w:b w:val="false"/>
                <w:bCs w:val="false"/>
                <w:sz w:val="20"/>
                <w:szCs w:val="20"/>
              </w:rPr>
              <w:t xml:space="preserve">Observability</w:t>
            </w:r>
          </w:p>
        </w:tc>
        <w:tc>
          <w:tcPr>
            <w:tcW w:type="dxa" w:w="2400"/>
            <w:tcMar>
              <w:top w:type="dxa" w:w="100"/>
              <w:left w:type="dxa" w:w="120"/>
              <w:bottom w:type="dxa" w:w="100"/>
              <w:right w:type="dxa" w:w="120"/>
            </w:tcMar>
            <w:vAlign w:val="center"/>
          </w:tcPr>
          <w:p>
            <w:r>
              <w:rPr>
                <w:b w:val="false"/>
                <w:bCs w:val="false"/>
                <w:sz w:val="20"/>
                <w:szCs w:val="20"/>
              </w:rPr>
              <w:t xml:space="preserve">LangSmith</w:t>
            </w:r>
          </w:p>
        </w:tc>
        <w:tc>
          <w:tcPr>
            <w:tcW w:type="dxa" w:w="4760"/>
            <w:tcMar>
              <w:top w:type="dxa" w:w="100"/>
              <w:left w:type="dxa" w:w="120"/>
              <w:bottom w:type="dxa" w:w="100"/>
              <w:right w:type="dxa" w:w="120"/>
            </w:tcMar>
            <w:vAlign w:val="center"/>
          </w:tcPr>
          <w:p>
            <w:r>
              <w:rPr>
                <w:b w:val="false"/>
                <w:bCs w:val="false"/>
                <w:sz w:val="20"/>
                <w:szCs w:val="20"/>
              </w:rPr>
              <w:t xml:space="preserve">Full trace visibility into every agent decision, tool call, and retrieval, plus evaluation pipelines</w:t>
            </w:r>
          </w:p>
        </w:tc>
      </w:tr>
    </w:tbl>
    <w:p>
      <w:pPr>
        <w:pStyle w:val="Heading2"/>
        <w:spacing w:after="160" w:before="320"/>
      </w:pPr>
      <w:r>
        <w:t xml:space="preserve">Request flow</w:t>
      </w:r>
    </w:p>
    <w:p>
      <w:pPr>
        <w:spacing w:after="160" w:line="276"/>
      </w:pPr>
      <w:r>
        <w:t xml:space="preserve">A request enters through the chat widget, is validated by FastAPI, and handed to the LangGraph app. The supervisor node reads the request and shared state, then routes to one or more specialist nodes. Specialists call their own tools — vector search, a mock system-status API, the Postgres ticket table — and return structured results to the supervisor. If a specialist's next action would change state, the graph raises an interrupt and waits; a human decision (surfaced in the frontend or via an n8n-routed Slack message) resumes the graph with approve, edit, or reject. All LLM calls pass through the gateway layer, and every step is traced to LangSmith regardless of outcome.</w:t>
      </w:r>
    </w:p>
    <w:p>
      <w:pPr>
        <w:pStyle w:val="Heading1"/>
        <w:spacing w:after="200" w:before="480"/>
      </w:pPr>
      <w:r>
        <w:t xml:space="preserve">5. Technology stack and rationale</w:t>
      </w:r>
    </w:p>
    <w:p>
      <w:pPr>
        <w:spacing w:after="160" w:line="276"/>
      </w:pPr>
      <w:r>
        <w:t xml:space="preserve">Every piece of this stack earns its place for a specific reason tied to the product, not because it's a trendy keyword. This section explains what each layer does, why it was chosen, and what changed in 2026 that's worth knowing before you build.</w:t>
      </w:r>
    </w:p>
    <w:p>
      <w:pPr>
        <w:pStyle w:val="Heading2"/>
        <w:spacing w:after="160" w:before="320"/>
      </w:pPr>
      <w:r>
        <w:t xml:space="preserve">Frontend — React + Next.js</w:t>
      </w:r>
    </w:p>
    <w:p>
      <w:pPr>
        <w:spacing w:after="160" w:line="276"/>
      </w:pPr>
      <w:r>
        <w:t xml:space="preserve">A standard, in-demand choice for an interactive chat interface with server-side rendering. Next.js also makes it straightforward to build the admin/ticket dashboard as a second route without a separate frontend project.</w:t>
      </w:r>
    </w:p>
    <w:p>
      <w:pPr>
        <w:pStyle w:val="Heading2"/>
        <w:spacing w:after="160" w:before="320"/>
      </w:pPr>
      <w:r>
        <w:t xml:space="preserve">Backend — FastAPI</w:t>
      </w:r>
    </w:p>
    <w:p>
      <w:pPr>
        <w:spacing w:after="160" w:line="276"/>
      </w:pPr>
      <w:r>
        <w:t xml:space="preserve">FastAPI's async model matches how LangGraph executes — nodes can call out to LLMs, tools, and the database concurrently without blocking. Pydantic models give you free request/response validation, which matters when tool-call arguments are being generated by an LLM and need to be checked before they reach a database write.</w:t>
      </w:r>
    </w:p>
    <w:p>
      <w:pPr>
        <w:pStyle w:val="Heading2"/>
        <w:spacing w:after="160" w:before="320"/>
      </w:pPr>
      <w:r>
        <w:t xml:space="preserve">Orchestration — LangGraph (supervisor + specialists)</w:t>
      </w:r>
    </w:p>
    <w:p>
      <w:pPr>
        <w:spacing w:after="160" w:line="276"/>
      </w:pPr>
      <w:r>
        <w:t xml:space="preserve">Industry write-ups through mid-2026 consistently describe the supervisor pattern as the most common production architecture for multi-agent LangGraph systems: one orchestrator agent receives the request, delegates to specialists, and synthesizes the result. This sits between a fully decentralized “network” pattern (agents calling each other freely, which gets chaotic) and a heavier hierarchical “supervisor-of-supervisors” pattern that's overkill for a project this size.</w:t>
      </w:r>
    </w:p>
    <w:p>
      <w:pPr>
        <w:spacing w:after="160" w:line="276"/>
      </w:pPr>
      <w:r>
        <w:t xml:space="preserve">A cost detail worth designing in from day one: use a stronger reasoning model only for the supervisor, which needs to route correctly, and a smaller, cheaper model for the specialist workers, which mostly execute or verify. Write-ups on this pattern report cutting inference cost 60–70% with little to no impact on routing reliability — a concrete, quantifiable decision you can describe in an interview.</w:t>
      </w:r>
    </w:p>
    <w:p>
      <w:pPr>
        <w:spacing w:after="160" w:line="276"/>
      </w:pPr>
      <w:r>
        <w:t xml:space="preserve">Also worth building in early: an explicit recursion limit on the graph (a common default is 25 steps) and a supervisor prompt that clearly states when to stop. A four-specialist task realistically takes 6–10 steps; if you're hitting the recursion limit, that's almost always a routing loop where the supervisor and a specialist keep deferring back to each other — treat that as a bug in the prompt, not something to fix by raising the limit.</w:t>
      </w:r>
    </w:p>
    <w:p>
      <w:pPr>
        <w:pStyle w:val="Heading2"/>
        <w:spacing w:after="160" w:before="320"/>
      </w:pPr>
      <w:r>
        <w:t xml:space="preserve">LLM framework — LangChain</w:t>
      </w:r>
    </w:p>
    <w:p>
      <w:pPr>
        <w:spacing w:after="160" w:line="276"/>
      </w:pPr>
      <w:r>
        <w:t xml:space="preserve">LangChain supplies the lower-level building blocks LangGraph is built on: model wrappers, prompt templates, and tool-calling interfaces. In this project it mostly shows up under the hood of LangGraph rather than as a separate layer you write against directly — worth saying plainly in an interview so it doesn't sound like redundant name-dropping.</w:t>
      </w:r>
    </w:p>
    <w:p>
      <w:pPr>
        <w:pStyle w:val="Heading2"/>
        <w:spacing w:after="160" w:before="320"/>
      </w:pPr>
      <w:r>
        <w:t xml:space="preserve">Model serving &amp; governance — Databricks AI Gateway</w:t>
      </w:r>
    </w:p>
    <w:p>
      <w:pPr>
        <w:spacing w:after="160" w:line="276"/>
      </w:pPr>
      <w:r>
        <w:t xml:space="preserve">Databricks rebuilt this into “Unity AI Gateway” in 2026: a control plane that routes every model and tool-protocol (MCP) request, enforces rate limits and budgets, applies safety guardrails, and logs prompts, traces, and tool calls for audit purposes, across any model provider rather than only Databricks-hosted ones. An April 2026 expansion added governance over MCP tool access and end-to-end cost attribution across models, teams, and workflows.</w:t>
      </w:r>
    </w:p>
    <w:p>
      <w:pPr>
        <w:spacing w:after="160" w:line="276"/>
      </w:pPr>
      <w:r>
        <w:t xml:space="preserve">One thing to plan around: as of mid-2026, Unity AI Gateway is still in Beta and requires an active Databricks workspace, which is real setup overhead for a two-person side project with no employer footing the bill. Section 14 has a specific recommendation for sequencing this so it doesn't block the rest of the build.</w:t>
      </w:r>
    </w:p>
    <w:p>
      <w:pPr>
        <w:pStyle w:val="Heading2"/>
        <w:spacing w:after="160" w:before="320"/>
      </w:pPr>
      <w:r>
        <w:t xml:space="preserve">Workflow automation — n8n</w:t>
      </w:r>
    </w:p>
    <w:p>
      <w:pPr>
        <w:spacing w:after="160" w:line="276"/>
      </w:pPr>
      <w:r>
        <w:t xml:space="preserve">As of 2026, n8n ships a LangChain-powered AI Agent node natively inside its visual canvas, but the more useful way to think about it here is architectural: n8n is where systems meet, and LangGraph is where reasoning happens. n8n owns the human-facing plumbing — routing an approval request to Slack or Teams, sending a confirmation email, running a scheduled health check — while LangGraph owns the actual decision-making. Keeping that boundary clean is also the cleanest way to answer “why do you have two orchestration tools” if an interviewer asks: they are not doing the same job.</w:t>
      </w:r>
    </w:p>
    <w:p>
      <w:pPr>
        <w:pStyle w:val="Heading2"/>
        <w:spacing w:after="160" w:before="320"/>
      </w:pPr>
      <w:r>
        <w:t xml:space="preserve">Knowledge base — RAG pipeline</w:t>
      </w:r>
    </w:p>
    <w:p>
      <w:pPr>
        <w:pStyle w:val="Heading3"/>
        <w:spacing w:after="100" w:before="220"/>
      </w:pPr>
      <w:r>
        <w:t xml:space="preserve">Chunking strategy</w:t>
      </w:r>
    </w:p>
    <w:p>
      <w:pPr>
        <w:spacing w:after="160" w:line="276"/>
      </w:pPr>
      <w:r>
        <w:t xml:space="preserve">2026 practitioner consensus lands on recursive character splitting (LangChain's default splitter, which tries paragraph breaks, then line breaks, then sentence breaks, before falling back to raw characters) at roughly 400–512 tokens per chunk as the right starting baseline for documentation-style content, optionally with 10–20% overlap. Semantic chunking (splitting where meaning shifts rather than at a fixed size) is the recommended upgrade path once evaluation numbers show the simple approach isn't good enough — don't reach for it on day one, since it adds real cost and complexity for a gain you can't yet measure.</w:t>
      </w:r>
    </w:p>
    <w:p>
      <w:pPr>
        <w:pStyle w:val="Heading3"/>
        <w:spacing w:after="100" w:before="220"/>
      </w:pPr>
      <w:r>
        <w:t xml:space="preserve">Vector store: a recommended change from the original plan</w:t>
      </w:r>
    </w:p>
    <w:p>
      <w:pPr>
        <w:spacing w:after="160" w:line="276"/>
      </w:pPr>
      <w:r>
        <w:t xml:space="preserve">The original plan listed both Databricks Vector Search and Chroma. Since Postgres is already in the stack for tickets and session data, the cleaner choice is pgvector — the Postgres extension for vector storage and similarity search. Recent benchmarking shows pgvector is genuinely production-viable through the tens-of-millions-of-vectors range on a single well-provisioned instance, and companies like Supabase and Neon run it at real scale. Using pgvector means one database instead of two, one backup strategy, and one thing to operate — a smaller, more defensible footprint for a two-person project than standing up a separate vector database. Chroma remains reasonable specifically for the earliest prototyping days since it needs zero setup, but plan to either start on pgvector directly or migrate to it once the schema stabilizes.</w:t>
      </w:r>
    </w:p>
    <w:p>
      <w:pPr>
        <w:pStyle w:val="Heading2"/>
        <w:spacing w:after="160" w:before="320"/>
      </w:pPr>
      <w:r>
        <w:t xml:space="preserve">Storage — PostgreSQL + Redis</w:t>
      </w:r>
    </w:p>
    <w:p>
      <w:pPr>
        <w:spacing w:after="160" w:line="276"/>
      </w:pPr>
      <w:r>
        <w:t xml:space="preserve">Postgres holds tickets, employee/session records, and, per the recommendation above, document embeddings via pgvector. Redis handles short-lived session state and can double as the backing store for LangGraph's checkpointer, which is what makes the human-in-the-loop pause-and-resume pattern durable across restarts.</w:t>
      </w:r>
    </w:p>
    <w:p>
      <w:pPr>
        <w:pStyle w:val="Heading2"/>
        <w:spacing w:after="160" w:before="320"/>
      </w:pPr>
      <w:r>
        <w:t xml:space="preserve">Observability — LangSmith</w:t>
      </w:r>
    </w:p>
    <w:p>
      <w:pPr>
        <w:spacing w:after="160" w:line="276"/>
      </w:pPr>
      <w:r>
        <w:t xml:space="preserve">LangSmith is the LangChain team's own tracing and evaluation platform, and as of 2026 it provides a unified cost view spanning the whole agent workflow — not just LLM tokens, but retrieval and tool-execution cost too — plus dataset-based evaluation runs that can flag a regression before it ships. Wire this in during Milestone 1, not at the end: it is by far the fastest way to debug why a supervisor routed somewhere unexpected, and it produces the trace evidence that makes a resume project's “multi-agent orchestration” claim verifiable rather than just asserted.</w:t>
      </w:r>
    </w:p>
    <w:p>
      <w:pPr>
        <w:pStyle w:val="Heading2"/>
        <w:spacing w:after="160" w:before="320"/>
      </w:pPr>
      <w:r>
        <w:t xml:space="preserve">Deployment — Docker + Azure</w:t>
      </w:r>
    </w:p>
    <w:p>
      <w:pPr>
        <w:spacing w:after="160" w:line="276"/>
      </w:pPr>
      <w:r>
        <w:t xml:space="preserve">Containerizing each service (frontend, backend, n8n) with Docker Compose keeps local development and cloud deployment consistent. Azure is a natural choice given existing AZ-104 experience, and using Azure Container Apps or App Service gives a straightforward, resume-legible “deployed to the cloud” story without needing to manage Kubernetes for a project this size.</w:t>
      </w:r>
    </w:p>
    <w:p>
      <w:pPr>
        <w:pStyle w:val="Heading1"/>
        <w:spacing w:after="200" w:before="480"/>
      </w:pPr>
      <w:r>
        <w:t xml:space="preserve">6. Agent design deep dive</w:t>
      </w:r>
    </w:p>
    <w:p>
      <w:pPr>
        <w:pStyle w:val="Heading2"/>
        <w:spacing w:after="160" w:before="320"/>
      </w:pPr>
      <w:r>
        <w:t xml:space="preserve">The four 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85FA5" w:color="auto" w:val="clear"/>
            <w:tcMar>
              <w:top w:type="dxa" w:w="100"/>
              <w:left w:type="dxa" w:w="120"/>
              <w:bottom w:type="dxa" w:w="100"/>
              <w:right w:type="dxa" w:w="120"/>
            </w:tcMar>
            <w:vAlign w:val="center"/>
          </w:tcPr>
          <w:p>
            <w:r>
              <w:rPr>
                <w:b/>
                <w:bCs/>
                <w:color w:val="FFFFFF"/>
                <w:sz w:val="20"/>
                <w:szCs w:val="20"/>
              </w:rPr>
              <w:t xml:space="preserve">Agent</w:t>
            </w:r>
          </w:p>
        </w:tc>
        <w:tc>
          <w:tcPr>
            <w:tcW w:type="dxa" w:w="7160"/>
            <w:shd w:fill="185FA5" w:color="auto" w:val="clear"/>
            <w:tcMar>
              <w:top w:type="dxa" w:w="100"/>
              <w:left w:type="dxa" w:w="120"/>
              <w:bottom w:type="dxa" w:w="100"/>
              <w:right w:type="dxa" w:w="120"/>
            </w:tcMar>
            <w:vAlign w:val="center"/>
          </w:tcPr>
          <w:p>
            <w:r>
              <w:rPr>
                <w:b/>
                <w:bCs/>
                <w:color w:val="FFFFFF"/>
                <w:sz w:val="20"/>
                <w:szCs w:val="20"/>
              </w:rPr>
              <w:t xml:space="preserve">Role</w:t>
            </w:r>
          </w:p>
        </w:tc>
      </w:tr>
      <w:tr>
        <w:tc>
          <w:tcPr>
            <w:tcW w:type="dxa" w:w="2200"/>
            <w:tcMar>
              <w:top w:type="dxa" w:w="100"/>
              <w:left w:type="dxa" w:w="120"/>
              <w:bottom w:type="dxa" w:w="100"/>
              <w:right w:type="dxa" w:w="120"/>
            </w:tcMar>
            <w:vAlign w:val="center"/>
          </w:tcPr>
          <w:p>
            <w:r>
              <w:rPr>
                <w:b w:val="false"/>
                <w:bCs w:val="false"/>
                <w:sz w:val="20"/>
                <w:szCs w:val="20"/>
              </w:rPr>
              <w:t xml:space="preserve">Knowledge Agent</w:t>
            </w:r>
          </w:p>
        </w:tc>
        <w:tc>
          <w:tcPr>
            <w:tcW w:type="dxa" w:w="7160"/>
            <w:tcMar>
              <w:top w:type="dxa" w:w="100"/>
              <w:left w:type="dxa" w:w="120"/>
              <w:bottom w:type="dxa" w:w="100"/>
              <w:right w:type="dxa" w:w="120"/>
            </w:tcMar>
            <w:vAlign w:val="center"/>
          </w:tcPr>
          <w:p>
            <w:r>
              <w:rPr>
                <w:b w:val="false"/>
                <w:bCs w:val="false"/>
                <w:sz w:val="20"/>
                <w:szCs w:val="20"/>
              </w:rPr>
              <w:t xml:space="preserve">Retrieves and synthesizes answers from the RAG corpus (IT runbooks, network docs, and stretch-goal HR/security content). Read-only — no tool it holds can change state.</w:t>
            </w:r>
          </w:p>
        </w:tc>
      </w:tr>
      <w:tr>
        <w:tc>
          <w:tcPr>
            <w:tcW w:type="dxa" w:w="2200"/>
            <w:shd w:fill="F1EFE8" w:color="auto" w:val="clear"/>
            <w:tcMar>
              <w:top w:type="dxa" w:w="100"/>
              <w:left w:type="dxa" w:w="120"/>
              <w:bottom w:type="dxa" w:w="100"/>
              <w:right w:type="dxa" w:w="120"/>
            </w:tcMar>
            <w:vAlign w:val="center"/>
          </w:tcPr>
          <w:p>
            <w:r>
              <w:rPr>
                <w:b w:val="false"/>
                <w:bCs w:val="false"/>
                <w:sz w:val="20"/>
                <w:szCs w:val="20"/>
              </w:rPr>
              <w:t xml:space="preserve">Diagnostics Agent</w:t>
            </w:r>
          </w:p>
        </w:tc>
        <w:tc>
          <w:tcPr>
            <w:tcW w:type="dxa" w:w="7160"/>
            <w:shd w:fill="F1EFE8" w:color="auto" w:val="clear"/>
            <w:tcMar>
              <w:top w:type="dxa" w:w="100"/>
              <w:left w:type="dxa" w:w="120"/>
              <w:bottom w:type="dxa" w:w="100"/>
              <w:right w:type="dxa" w:w="120"/>
            </w:tcMar>
            <w:vAlign w:val="center"/>
          </w:tcPr>
          <w:p>
            <w:r>
              <w:rPr>
                <w:b w:val="false"/>
                <w:bCs w:val="false"/>
                <w:sz w:val="20"/>
                <w:szCs w:val="20"/>
              </w:rPr>
              <w:t xml:space="preserve">Checks simulated system/account status and narrows down a likely cause before recommending next steps. Read-only against the mock status API.</w:t>
            </w:r>
          </w:p>
        </w:tc>
      </w:tr>
      <w:tr>
        <w:tc>
          <w:tcPr>
            <w:tcW w:type="dxa" w:w="2200"/>
            <w:tcMar>
              <w:top w:type="dxa" w:w="100"/>
              <w:left w:type="dxa" w:w="120"/>
              <w:bottom w:type="dxa" w:w="100"/>
              <w:right w:type="dxa" w:w="120"/>
            </w:tcMar>
            <w:vAlign w:val="center"/>
          </w:tcPr>
          <w:p>
            <w:r>
              <w:rPr>
                <w:b w:val="false"/>
                <w:bCs w:val="false"/>
                <w:sz w:val="20"/>
                <w:szCs w:val="20"/>
              </w:rPr>
              <w:t xml:space="preserve">Ticketing Agent</w:t>
            </w:r>
          </w:p>
        </w:tc>
        <w:tc>
          <w:tcPr>
            <w:tcW w:type="dxa" w:w="7160"/>
            <w:tcMar>
              <w:top w:type="dxa" w:w="100"/>
              <w:left w:type="dxa" w:w="120"/>
              <w:bottom w:type="dxa" w:w="100"/>
              <w:right w:type="dxa" w:w="120"/>
            </w:tcMar>
            <w:vAlign w:val="center"/>
          </w:tcPr>
          <w:p>
            <w:r>
              <w:rPr>
                <w:b w:val="false"/>
                <w:bCs w:val="false"/>
                <w:sz w:val="20"/>
                <w:szCs w:val="20"/>
              </w:rPr>
              <w:t xml:space="preserve">Creates and updates tickets in Postgres. This is the first agent with write access, and every write on a high-impact ticket type must pass the human-approval interrupt first.</w:t>
            </w:r>
          </w:p>
        </w:tc>
      </w:tr>
      <w:tr>
        <w:tc>
          <w:tcPr>
            <w:tcW w:type="dxa" w:w="2200"/>
            <w:shd w:fill="F1EFE8" w:color="auto" w:val="clear"/>
            <w:tcMar>
              <w:top w:type="dxa" w:w="100"/>
              <w:left w:type="dxa" w:w="120"/>
              <w:bottom w:type="dxa" w:w="100"/>
              <w:right w:type="dxa" w:w="120"/>
            </w:tcMar>
            <w:vAlign w:val="center"/>
          </w:tcPr>
          <w:p>
            <w:r>
              <w:rPr>
                <w:b w:val="false"/>
                <w:bCs w:val="false"/>
                <w:sz w:val="20"/>
                <w:szCs w:val="20"/>
              </w:rPr>
              <w:t xml:space="preserve">Notification Agent</w:t>
            </w:r>
          </w:p>
        </w:tc>
        <w:tc>
          <w:tcPr>
            <w:tcW w:type="dxa" w:w="7160"/>
            <w:shd w:fill="F1EFE8" w:color="auto" w:val="clear"/>
            <w:tcMar>
              <w:top w:type="dxa" w:w="100"/>
              <w:left w:type="dxa" w:w="120"/>
              <w:bottom w:type="dxa" w:w="100"/>
              <w:right w:type="dxa" w:w="120"/>
            </w:tcMar>
            <w:vAlign w:val="center"/>
          </w:tcPr>
          <w:p>
            <w:r>
              <w:rPr>
                <w:b w:val="false"/>
                <w:bCs w:val="false"/>
                <w:sz w:val="20"/>
                <w:szCs w:val="20"/>
              </w:rPr>
              <w:t xml:space="preserve">Triggers n8n workflows to message employees and admins. Treated as a write action for anything containing account-specific detail.</w:t>
            </w:r>
          </w:p>
        </w:tc>
      </w:tr>
    </w:tbl>
    <w:p>
      <w:pPr>
        <w:pStyle w:val="Heading2"/>
        <w:spacing w:after="160" w:before="320"/>
      </w:pPr>
      <w:r>
        <w:t xml:space="preserve">Shared state</w:t>
      </w:r>
    </w:p>
    <w:p>
      <w:pPr>
        <w:spacing w:after="160" w:line="276"/>
      </w:pPr>
      <w:r>
        <w:t xml:space="preserve">LangGraph's default shared state is just the running message list, which is enough for simple hand-offs. Once the Diagnostics Agent needs to pass a structured finding (a probable cause, a confidence level) to the Ticketing Agent, define a typed state schema instead of relying on the LLM to re-parse free text out of a chat transcript — it's more reliable and makes the eventual LangSmith traces far easier to read.</w:t>
      </w:r>
    </w:p>
    <w:p>
      <w:pPr>
        <w:pStyle w:val="Heading2"/>
        <w:spacing w:after="160" w:before="320"/>
      </w:pPr>
      <w:r>
        <w:t xml:space="preserve">Termination</w:t>
      </w:r>
    </w:p>
    <w:p>
      <w:pPr>
        <w:spacing w:after="160" w:line="276"/>
      </w:pPr>
      <w:r>
        <w:t xml:space="preserve">The supervisor should stop and return a final answer once the user's request is fully addressed. This is normally encoded directly in the supervisor's system prompt (“when the request is fully addressed, produce the final answer and stop”) plus a hard recursion limit as a safety net, per Section 5's orchestration notes.</w:t>
      </w:r>
    </w:p>
    <w:p>
      <w:pPr>
        <w:pStyle w:val="Heading1"/>
        <w:spacing w:after="200" w:before="480"/>
      </w:pPr>
      <w:r>
        <w:t xml:space="preserve">7. RAG pipeline design</w:t>
      </w:r>
    </w:p>
    <w:p>
      <w:pPr>
        <w:pStyle w:val="Heading2"/>
        <w:spacing w:after="160" w:before="320"/>
      </w:pPr>
      <w:r>
        <w:t xml:space="preserve">Building the synthetic documentation corpus</w:t>
      </w:r>
    </w:p>
    <w:p>
      <w:pPr>
        <w:spacing w:after="160" w:line="276"/>
      </w:pPr>
      <w:r>
        <w:t xml:space="preserve">Invent a specific fictional company (name, industry, a handful of locations) and write documentation in that company's voice, rather than generic placeholder text — this is what makes the eventual demo feel like a real enterprise system instead of an obvious toy. A practical way to produce volume without weeks of manual writing: generate a first pass with an LLM, then hand-edit the two or three documents you'll actually use in the live demo (like the MFA-reset runbook) until they're genuinely detailed and well-structured.</w:t>
      </w:r>
    </w:p>
    <w:p>
      <w:pPr>
        <w:spacing w:after="160" w:line="276"/>
      </w:pPr>
      <w:r>
        <w:t xml:space="preserve">Recommended sequencing: build the IT and network documentation categories first, since that's the domain both of you can validate against real-world knowledge. Treat security procedures, HR policy, and meeting notes as a stretch-goal expansion once the core pipeline works end to end — “we designed the architecture to be domain-agnostic, then proved it by adding two new document categories in an afternoon” is a stronger interview story than launching with breadth you can't yet speak to in depth.</w:t>
      </w:r>
    </w:p>
    <w:p>
      <w:pPr>
        <w:pStyle w:val="Heading2"/>
        <w:spacing w:after="160" w:before="320"/>
      </w:pPr>
      <w:r>
        <w:t xml:space="preserve">Evaluating retrieval quality</w:t>
      </w:r>
    </w:p>
    <w:p>
      <w:pPr>
        <w:spacing w:after="160" w:line="276"/>
      </w:pPr>
      <w:r>
        <w:t xml:space="preserve">Build a small golden evaluation set — 10 to 20 question/answer pairs per document category, written by hand against your own synthetic docs — and score the pipeline with four standard RAG metrics: faithfulness (is the answer actually supported by the retrieved text), answer relevancy (does the answer address the question asked), context precision (of what was retrieved, how much was relevant), and context recall (of what was needed, how much was retrieved). These are the same metrics the RAGAS framework popularized and most 2026 RAG evaluation tooling still anchors on. This is a small amount of extra work that turns “we built a RAG system” into “we built a RAG system and measured 0.9 faithfulness against a golden set” — a genuinely rare and valuable claim in a portfolio project.</w:t>
      </w:r>
    </w:p>
    <w:p>
      <w:pPr>
        <w:pStyle w:val="Heading1"/>
        <w:spacing w:after="200" w:before="480"/>
      </w:pPr>
      <w:r>
        <w:t xml:space="preserve">8. Human-in-the-loop and safety design</w:t>
      </w:r>
    </w:p>
    <w:p>
      <w:pPr>
        <w:spacing w:after="160" w:line="276"/>
      </w:pPr>
      <w:r>
        <w:t xml:space="preserve">LangGraph's native interrupt() function is the mechanism for this: a node can pause the graph mid-execution, surface the pending action to a human, and resume later from a decision object carrying the human's choice — approve, edit, or reject — while the graph's checkpointed state is safely persisted in the meantime. This is a first-class, production-supported pattern rather than something bolted on, and it is arguably the single most important node in the whole graph.</w:t>
      </w:r>
    </w:p>
    <w:p>
      <w:pPr>
        <w:pStyle w:val="Heading2"/>
        <w:spacing w:after="160" w:before="320"/>
      </w:pPr>
      <w:r>
        <w:t xml:space="preserve">Actions that must pause for approval</w:t>
      </w:r>
    </w:p>
    <w:p>
      <w:pPr>
        <w:pStyle w:val="ListParagraph"/>
        <w:numPr>
          <w:ilvl w:val="0"/>
          <w:numId w:val="2"/>
        </w:numPr>
        <w:spacing w:after="90" w:line="276"/>
      </w:pPr>
      <w:r>
        <w:t xml:space="preserve">Any account-state change (MFA/password reset, account unlock)</w:t>
      </w:r>
    </w:p>
    <w:p>
      <w:pPr>
        <w:pStyle w:val="ListParagraph"/>
        <w:numPr>
          <w:ilvl w:val="0"/>
          <w:numId w:val="2"/>
        </w:numPr>
        <w:spacing w:after="90" w:line="276"/>
      </w:pPr>
      <w:r>
        <w:t xml:space="preserve">Any simulated service restart or configuration change</w:t>
      </w:r>
    </w:p>
    <w:p>
      <w:pPr>
        <w:pStyle w:val="ListParagraph"/>
        <w:numPr>
          <w:ilvl w:val="0"/>
          <w:numId w:val="2"/>
        </w:numPr>
        <w:spacing w:after="90" w:line="276"/>
      </w:pPr>
      <w:r>
        <w:t xml:space="preserve">Ticket auto-closure without a human reviewing the resolution</w:t>
      </w:r>
    </w:p>
    <w:p>
      <w:pPr>
        <w:pStyle w:val="ListParagraph"/>
        <w:numPr>
          <w:ilvl w:val="0"/>
          <w:numId w:val="2"/>
        </w:numPr>
        <w:spacing w:after="90" w:line="276"/>
      </w:pPr>
      <w:r>
        <w:t xml:space="preserve">Any outbound notification containing account-specific or personal detail</w:t>
      </w:r>
    </w:p>
    <w:p>
      <w:pPr>
        <w:pStyle w:val="Heading2"/>
        <w:spacing w:after="160" w:before="320"/>
      </w:pPr>
      <w:r>
        <w:t xml:space="preserve">Least-privilege tool scoping</w:t>
      </w:r>
    </w:p>
    <w:p>
      <w:pPr>
        <w:spacing w:after="160" w:line="276"/>
      </w:pPr>
      <w:r>
        <w:t xml:space="preserve">Each agent should hold only the tools its job requires — the Knowledge and Diagnostics agents get read-only tools, and only the Ticketing and Notification agents hold anything that writes. This is a direct, practical answer to “how would you prevent an agent from doing something it shouldn't” in an interview, backed by something you actually built rather than described.</w:t>
      </w:r>
    </w:p>
    <w:p>
      <w:pPr>
        <w:pStyle w:val="Heading1"/>
        <w:spacing w:after="200" w:before="480"/>
      </w:pPr>
      <w:r>
        <w:t xml:space="preserve">9. Security considerations</w:t>
      </w:r>
    </w:p>
    <w:p>
      <w:pPr>
        <w:spacing w:after="160" w:line="276"/>
      </w:pPr>
      <w:r>
        <w:t xml:space="preserve">Prompt injection is currently ranked the top risk for LLM applications by OWASP (LLM01), and published research through 2026 continues to show high attack success rates — in the 50–84% range depending on configuration — even against frontier models with their best available defenses applied. There is no complete fix; defense-in-depth is the only viable strategy, which is exactly what makes this a strong, differentiated section of the project rather than an afterthought.</w:t>
      </w:r>
    </w:p>
    <w:p>
      <w:pPr>
        <w:pStyle w:val="Heading2"/>
        <w:spacing w:after="160" w:before="320"/>
      </w:pPr>
      <w:r>
        <w:t xml:space="preserve">Where the risk shows up in this project</w:t>
      </w:r>
    </w:p>
    <w:p>
      <w:pPr>
        <w:spacing w:after="160" w:line="276"/>
      </w:pPr>
      <w:r>
        <w:t xml:space="preserve">Even with a fully synthetic, self-authored knowledge base, it's worth designing as if the documents were untrusted: retrieved text should always be treated as data for the model to read, never as instructions it should follow. This matters even more if the project is later extended to ingest real or web-sourced content, where a poisoned document could otherwise hijack an agent's behavior — published research on RAG poisoning shows a small number of malicious documents can achieve a very high targeted attack success rate against naive pipelines.</w:t>
      </w:r>
    </w:p>
    <w:p>
      <w:pPr>
        <w:pStyle w:val="Heading2"/>
        <w:spacing w:after="160" w:before="320"/>
      </w:pPr>
      <w:r>
        <w:t xml:space="preserve">Concrete mitigations to build in</w:t>
      </w:r>
    </w:p>
    <w:p>
      <w:pPr>
        <w:pStyle w:val="ListParagraph"/>
        <w:numPr>
          <w:ilvl w:val="0"/>
          <w:numId w:val="2"/>
        </w:numPr>
        <w:spacing w:after="90" w:line="276"/>
      </w:pPr>
      <w:r>
        <w:t xml:space="preserve">Limit what each tool can technically do, not just what its prompt says it should do (least-privilege scoping, per Section 8)</w:t>
      </w:r>
    </w:p>
    <w:p>
      <w:pPr>
        <w:pStyle w:val="ListParagraph"/>
        <w:numPr>
          <w:ilvl w:val="0"/>
          <w:numId w:val="2"/>
        </w:numPr>
        <w:spacing w:after="90" w:line="276"/>
      </w:pPr>
      <w:r>
        <w:t xml:space="preserve">Require human approval for every state-changing action, with no exceptions carved out for “low risk” cases</w:t>
      </w:r>
    </w:p>
    <w:p>
      <w:pPr>
        <w:pStyle w:val="ListParagraph"/>
        <w:numPr>
          <w:ilvl w:val="0"/>
          <w:numId w:val="2"/>
        </w:numPr>
        <w:spacing w:after="90" w:line="276"/>
      </w:pPr>
      <w:r>
        <w:t xml:space="preserve">Never let an agent modify its own system prompt or another agent's configuration</w:t>
      </w:r>
    </w:p>
    <w:p>
      <w:pPr>
        <w:pStyle w:val="ListParagraph"/>
        <w:numPr>
          <w:ilvl w:val="0"/>
          <w:numId w:val="2"/>
        </w:numPr>
        <w:spacing w:after="90" w:line="276"/>
      </w:pPr>
      <w:r>
        <w:t xml:space="preserve">Log every prompt, tool call, and decision to LangSmith so any unexpected behavior is auditable after the fact</w:t>
      </w:r>
    </w:p>
    <w:p>
      <w:pPr>
        <w:pStyle w:val="ListParagraph"/>
        <w:numPr>
          <w:ilvl w:val="0"/>
          <w:numId w:val="2"/>
        </w:numPr>
        <w:spacing w:after="90" w:line="276"/>
      </w:pPr>
      <w:r>
        <w:t xml:space="preserve">Treat retrieved document content and tool outputs as data, not as instructions the model should obey</w:t>
      </w:r>
    </w:p>
    <w:p>
      <w:pPr>
        <w:pStyle w:val="Heading1"/>
        <w:spacing w:after="200" w:before="480"/>
      </w:pPr>
      <w:r>
        <w:t xml:space="preserve">10. Observability and evaluation strategy</w:t>
      </w:r>
    </w:p>
    <w:p>
      <w:pPr>
        <w:spacing w:after="160" w:line="276"/>
      </w:pPr>
      <w:r>
        <w:t xml:space="preserve">Enable LangSmith tracing from the very first working graph, not after something breaks. Beyond simple pass/fail debugging, track a small set of metrics on a rolling basis as you build:</w:t>
      </w:r>
    </w:p>
    <w:p>
      <w:pPr>
        <w:pStyle w:val="ListParagraph"/>
        <w:numPr>
          <w:ilvl w:val="0"/>
          <w:numId w:val="2"/>
        </w:numPr>
        <w:spacing w:after="90" w:line="276"/>
      </w:pPr>
      <w:r>
        <w:t xml:space="preserve">Routing accuracy — did the supervisor send the request to the correct specialist</w:t>
      </w:r>
    </w:p>
    <w:p>
      <w:pPr>
        <w:pStyle w:val="ListParagraph"/>
        <w:numPr>
          <w:ilvl w:val="0"/>
          <w:numId w:val="2"/>
        </w:numPr>
        <w:spacing w:after="90" w:line="276"/>
      </w:pPr>
      <w:r>
        <w:t xml:space="preserve">Tool call success rate — did calls to the mock ticket/status APIs succeed with valid arguments</w:t>
      </w:r>
    </w:p>
    <w:p>
      <w:pPr>
        <w:pStyle w:val="ListParagraph"/>
        <w:numPr>
          <w:ilvl w:val="0"/>
          <w:numId w:val="2"/>
        </w:numPr>
        <w:spacing w:after="90" w:line="276"/>
      </w:pPr>
      <w:r>
        <w:t xml:space="preserve">RAGAS scores — faithfulness, answer relevancy, context precision/recall against the golden eval set</w:t>
      </w:r>
    </w:p>
    <w:p>
      <w:pPr>
        <w:pStyle w:val="ListParagraph"/>
        <w:numPr>
          <w:ilvl w:val="0"/>
          <w:numId w:val="2"/>
        </w:numPr>
        <w:spacing w:after="90" w:line="276"/>
      </w:pPr>
      <w:r>
        <w:t xml:space="preserve">Cost and latency — tokens and wall-clock time per conversation, especially after the model-tiering change in Section 5</w:t>
      </w:r>
    </w:p>
    <w:p>
      <w:pPr>
        <w:spacing w:after="160" w:line="276"/>
      </w:pPr>
      <w:r>
        <w:t xml:space="preserve">Keep a small regression dataset (5–10 examples per agent to start, growing every time a real failure surfaces) and re-run it whenever you change a prompt or swap a model, so you can see at a glance whether a change helped or quietly broke something else.</w:t>
      </w:r>
    </w:p>
    <w:p>
      <w:pPr>
        <w:pStyle w:val="Heading1"/>
        <w:spacing w:after="200" w:before="480"/>
      </w:pPr>
      <w:r>
        <w:t xml:space="preserve">11. Known multi-agent failure modes to design around</w:t>
      </w:r>
    </w:p>
    <w:p>
      <w:pPr>
        <w:spacing w:after="160" w:line="276"/>
      </w:pPr>
      <w:r>
        <w:t xml:space="preserve">It's worth building with open eyes about how these systems actually fail in the field. Recent analysis of enterprise deployments documents a consistent taxonomy of seven multi-agent failure patterns: tool misuse, context drift and hallucination cascades, goal drift, prompt injection, infinite loops, silent quality degradation, and cascading multi-agent failures — and industry figures through 2026 report that roughly 40% of enterprise multi-agent pilots fail within six months of reaching production. One useful, sobering statistic to internalize while designing: a chain of five agents that are each individually 95% accurate only reaches around 77% end-to-end success once errors are allowed to compound — reliability doesn't average across a pipeline, it multiplies down.</w:t>
      </w:r>
    </w:p>
    <w:p>
      <w:pPr>
        <w:spacing w:after="160" w:line="276"/>
      </w:pPr>
      <w:r>
        <w:t xml:space="preserve">None of this is a reason not to build the project — it's the reason the human-in-the-loop and observability sections above aren't optional extras. Being able to name these failure modes and describe the specific design choices that guard against each one is a much stronger interview answer than simply describing what the system does when everything goes right.</w:t>
      </w:r>
    </w:p>
    <w:p>
      <w:pPr>
        <w:pStyle w:val="Heading2"/>
        <w:spacing w:after="160" w:before="320"/>
      </w:pPr>
      <w:r>
        <w:t xml:space="preserve">Specific design responses</w:t>
      </w:r>
    </w:p>
    <w:p>
      <w:pPr>
        <w:pStyle w:val="ListParagraph"/>
        <w:numPr>
          <w:ilvl w:val="0"/>
          <w:numId w:val="2"/>
        </w:numPr>
        <w:spacing w:after="90" w:line="276"/>
      </w:pPr>
      <w:r>
        <w:t xml:space="preserve">Bounded recursion limits, with a routing loop treated as a prompt bug rather than a limit to raise (Section 5)</w:t>
      </w:r>
    </w:p>
    <w:p>
      <w:pPr>
        <w:pStyle w:val="ListParagraph"/>
        <w:numPr>
          <w:ilvl w:val="0"/>
          <w:numId w:val="2"/>
        </w:numPr>
        <w:spacing w:after="90" w:line="276"/>
      </w:pPr>
      <w:r>
        <w:t xml:space="preserve">A lightweight verification step (schema validation, or a cheap “critic” pass) before any ticket or notification leaves the graph</w:t>
      </w:r>
    </w:p>
    <w:p>
      <w:pPr>
        <w:pStyle w:val="ListParagraph"/>
        <w:numPr>
          <w:ilvl w:val="0"/>
          <w:numId w:val="2"/>
        </w:numPr>
        <w:spacing w:after="90" w:line="276"/>
      </w:pPr>
      <w:r>
        <w:t xml:space="preserve">Idempotency keys on ticket creation, so a network retry or duplicate tool call can't silently create two tickets for the same issue — this exact failure mode is one of the most commonly documented multi-agent production bugs</w:t>
      </w:r>
    </w:p>
    <w:p>
      <w:pPr>
        <w:pStyle w:val="ListParagraph"/>
        <w:numPr>
          <w:ilvl w:val="0"/>
          <w:numId w:val="2"/>
        </w:numPr>
        <w:spacing w:after="90" w:line="276"/>
      </w:pPr>
      <w:r>
        <w:t xml:space="preserve">Typed, structured inter-agent messages instead of freeform text wherever the correctness of the hand-off actually matters (Section 6)</w:t>
      </w:r>
    </w:p>
    <w:p>
      <w:pPr>
        <w:pStyle w:val="ListParagraph"/>
        <w:numPr>
          <w:ilvl w:val="0"/>
          <w:numId w:val="2"/>
        </w:numPr>
        <w:spacing w:after="90" w:line="276"/>
      </w:pPr>
      <w:r>
        <w:t xml:space="preserve">Human approval as a hard gate on every state-changing action, with no silent auto-approval path (Section 8)</w:t>
      </w:r>
    </w:p>
    <w:p>
      <w:pPr>
        <w:pStyle w:val="Heading1"/>
        <w:spacing w:after="200" w:before="480"/>
      </w:pPr>
      <w:r>
        <w:t xml:space="preserve">12. Two-person work split</w:t>
      </w:r>
    </w:p>
    <w:p>
      <w:pPr>
        <w:spacing w:after="160" w:line="276"/>
      </w:pPr>
      <w:r>
        <w:t xml:space="preserve">Clean ownership boundaries reduce merge conflicts and let each of you go deep enough on your half to talk about it fluently in an interview. The Knowledge Agent and the RAG evaluation loop are natural pairing points since they sit at the seam between both halves.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85FA5" w:color="auto" w:val="clear"/>
            <w:tcMar>
              <w:top w:type="dxa" w:w="100"/>
              <w:left w:type="dxa" w:w="120"/>
              <w:bottom w:type="dxa" w:w="100"/>
              <w:right w:type="dxa" w:w="120"/>
            </w:tcMar>
            <w:vAlign w:val="center"/>
          </w:tcPr>
          <w:p>
            <w:r>
              <w:rPr>
                <w:b/>
                <w:bCs/>
                <w:color w:val="FFFFFF"/>
                <w:sz w:val="20"/>
                <w:szCs w:val="20"/>
              </w:rPr>
              <w:t xml:space="preserve">Person A — backend &amp; data</w:t>
            </w:r>
          </w:p>
        </w:tc>
        <w:tc>
          <w:tcPr>
            <w:tcW w:type="dxa" w:w="4680"/>
            <w:shd w:fill="185FA5" w:color="auto" w:val="clear"/>
            <w:tcMar>
              <w:top w:type="dxa" w:w="100"/>
              <w:left w:type="dxa" w:w="120"/>
              <w:bottom w:type="dxa" w:w="100"/>
              <w:right w:type="dxa" w:w="120"/>
            </w:tcMar>
            <w:vAlign w:val="center"/>
          </w:tcPr>
          <w:p>
            <w:r>
              <w:rPr>
                <w:b/>
                <w:bCs/>
                <w:color w:val="FFFFFF"/>
                <w:sz w:val="20"/>
                <w:szCs w:val="20"/>
              </w:rPr>
              <w:t xml:space="preserve">Person B — orchestration &amp; frontend</w:t>
            </w:r>
          </w:p>
        </w:tc>
      </w:tr>
      <w:tr>
        <w:tc>
          <w:tcPr>
            <w:tcW w:type="dxa" w:w="4680"/>
            <w:tcMar>
              <w:top w:type="dxa" w:w="100"/>
              <w:left w:type="dxa" w:w="120"/>
              <w:bottom w:type="dxa" w:w="100"/>
              <w:right w:type="dxa" w:w="120"/>
            </w:tcMar>
            <w:vAlign w:val="center"/>
          </w:tcPr>
          <w:p>
            <w:r>
              <w:rPr>
                <w:b w:val="false"/>
                <w:bCs w:val="false"/>
                <w:sz w:val="20"/>
                <w:szCs w:val="20"/>
              </w:rPr>
              <w:t xml:space="preserve">FastAPI backend and API contracts</w:t>
            </w:r>
          </w:p>
        </w:tc>
        <w:tc>
          <w:tcPr>
            <w:tcW w:type="dxa" w:w="4680"/>
            <w:tcMar>
              <w:top w:type="dxa" w:w="100"/>
              <w:left w:type="dxa" w:w="120"/>
              <w:bottom w:type="dxa" w:w="100"/>
              <w:right w:type="dxa" w:w="120"/>
            </w:tcMar>
            <w:vAlign w:val="center"/>
          </w:tcPr>
          <w:p>
            <w:r>
              <w:rPr>
                <w:b w:val="false"/>
                <w:bCs w:val="false"/>
                <w:sz w:val="20"/>
                <w:szCs w:val="20"/>
              </w:rPr>
              <w:t xml:space="preserve">LangGraph supervisor and routing logic</w:t>
            </w:r>
          </w:p>
        </w:tc>
      </w:tr>
      <w:tr>
        <w:tc>
          <w:tcPr>
            <w:tcW w:type="dxa" w:w="4680"/>
            <w:shd w:fill="F1EFE8" w:color="auto" w:val="clear"/>
            <w:tcMar>
              <w:top w:type="dxa" w:w="100"/>
              <w:left w:type="dxa" w:w="120"/>
              <w:bottom w:type="dxa" w:w="100"/>
              <w:right w:type="dxa" w:w="120"/>
            </w:tcMar>
            <w:vAlign w:val="center"/>
          </w:tcPr>
          <w:p>
            <w:r>
              <w:rPr>
                <w:b w:val="false"/>
                <w:bCs w:val="false"/>
                <w:sz w:val="20"/>
                <w:szCs w:val="20"/>
              </w:rPr>
              <w:t xml:space="preserve">Postgres schema (tickets, sessions) + pgvector setup</w:t>
            </w:r>
          </w:p>
        </w:tc>
        <w:tc>
          <w:tcPr>
            <w:tcW w:type="dxa" w:w="4680"/>
            <w:shd w:fill="F1EFE8" w:color="auto" w:val="clear"/>
            <w:tcMar>
              <w:top w:type="dxa" w:w="100"/>
              <w:left w:type="dxa" w:w="120"/>
              <w:bottom w:type="dxa" w:w="100"/>
              <w:right w:type="dxa" w:w="120"/>
            </w:tcMar>
            <w:vAlign w:val="center"/>
          </w:tcPr>
          <w:p>
            <w:r>
              <w:rPr>
                <w:b w:val="false"/>
                <w:bCs w:val="false"/>
                <w:sz w:val="20"/>
                <w:szCs w:val="20"/>
              </w:rPr>
              <w:t xml:space="preserve">Human-in-the-loop interrupt implementation</w:t>
            </w:r>
          </w:p>
        </w:tc>
      </w:tr>
      <w:tr>
        <w:tc>
          <w:tcPr>
            <w:tcW w:type="dxa" w:w="4680"/>
            <w:tcMar>
              <w:top w:type="dxa" w:w="100"/>
              <w:left w:type="dxa" w:w="120"/>
              <w:bottom w:type="dxa" w:w="100"/>
              <w:right w:type="dxa" w:w="120"/>
            </w:tcMar>
            <w:vAlign w:val="center"/>
          </w:tcPr>
          <w:p>
            <w:r>
              <w:rPr>
                <w:b w:val="false"/>
                <w:bCs w:val="false"/>
                <w:sz w:val="20"/>
                <w:szCs w:val="20"/>
              </w:rPr>
              <w:t xml:space="preserve">Diagnostics Agent and mock status API</w:t>
            </w:r>
          </w:p>
        </w:tc>
        <w:tc>
          <w:tcPr>
            <w:tcW w:type="dxa" w:w="4680"/>
            <w:tcMar>
              <w:top w:type="dxa" w:w="100"/>
              <w:left w:type="dxa" w:w="120"/>
              <w:bottom w:type="dxa" w:w="100"/>
              <w:right w:type="dxa" w:w="120"/>
            </w:tcMar>
            <w:vAlign w:val="center"/>
          </w:tcPr>
          <w:p>
            <w:r>
              <w:rPr>
                <w:b w:val="false"/>
                <w:bCs w:val="false"/>
                <w:sz w:val="20"/>
                <w:szCs w:val="20"/>
              </w:rPr>
              <w:t xml:space="preserve">Knowledge Agent and RAG ingestion pipeline</w:t>
            </w:r>
          </w:p>
        </w:tc>
      </w:tr>
      <w:tr>
        <w:tc>
          <w:tcPr>
            <w:tcW w:type="dxa" w:w="4680"/>
            <w:shd w:fill="F1EFE8" w:color="auto" w:val="clear"/>
            <w:tcMar>
              <w:top w:type="dxa" w:w="100"/>
              <w:left w:type="dxa" w:w="120"/>
              <w:bottom w:type="dxa" w:w="100"/>
              <w:right w:type="dxa" w:w="120"/>
            </w:tcMar>
            <w:vAlign w:val="center"/>
          </w:tcPr>
          <w:p>
            <w:r>
              <w:rPr>
                <w:b w:val="false"/>
                <w:bCs w:val="false"/>
                <w:sz w:val="20"/>
                <w:szCs w:val="20"/>
              </w:rPr>
              <w:t xml:space="preserve">n8n workflow configuration</w:t>
            </w:r>
          </w:p>
        </w:tc>
        <w:tc>
          <w:tcPr>
            <w:tcW w:type="dxa" w:w="4680"/>
            <w:shd w:fill="F1EFE8" w:color="auto" w:val="clear"/>
            <w:tcMar>
              <w:top w:type="dxa" w:w="100"/>
              <w:left w:type="dxa" w:w="120"/>
              <w:bottom w:type="dxa" w:w="100"/>
              <w:right w:type="dxa" w:w="120"/>
            </w:tcMar>
            <w:vAlign w:val="center"/>
          </w:tcPr>
          <w:p>
            <w:r>
              <w:rPr>
                <w:b w:val="false"/>
                <w:bCs w:val="false"/>
                <w:sz w:val="20"/>
                <w:szCs w:val="20"/>
              </w:rPr>
              <w:t xml:space="preserve">Next.js chat frontend</w:t>
            </w:r>
          </w:p>
        </w:tc>
      </w:tr>
      <w:tr>
        <w:tc>
          <w:tcPr>
            <w:tcW w:type="dxa" w:w="4680"/>
            <w:tcMar>
              <w:top w:type="dxa" w:w="100"/>
              <w:left w:type="dxa" w:w="120"/>
              <w:bottom w:type="dxa" w:w="100"/>
              <w:right w:type="dxa" w:w="120"/>
            </w:tcMar>
            <w:vAlign w:val="center"/>
          </w:tcPr>
          <w:p>
            <w:r>
              <w:rPr>
                <w:b w:val="false"/>
                <w:bCs w:val="false"/>
                <w:sz w:val="20"/>
                <w:szCs w:val="20"/>
              </w:rPr>
              <w:t xml:space="preserve">Docker Compose and deployment</w:t>
            </w:r>
          </w:p>
        </w:tc>
        <w:tc>
          <w:tcPr>
            <w:tcW w:type="dxa" w:w="4680"/>
            <w:tcMar>
              <w:top w:type="dxa" w:w="100"/>
              <w:left w:type="dxa" w:w="120"/>
              <w:bottom w:type="dxa" w:w="100"/>
              <w:right w:type="dxa" w:w="120"/>
            </w:tcMar>
            <w:vAlign w:val="center"/>
          </w:tcPr>
          <w:p>
            <w:r>
              <w:rPr>
                <w:b w:val="false"/>
                <w:bCs w:val="false"/>
                <w:sz w:val="20"/>
                <w:szCs w:val="20"/>
              </w:rPr>
              <w:t xml:space="preserve">LangSmith tracing setup and eval datasets</w:t>
            </w:r>
          </w:p>
        </w:tc>
      </w:tr>
    </w:tbl>
    <w:p>
      <w:pPr>
        <w:spacing w:after="160" w:line="276"/>
      </w:pPr>
      <w:r>
        <w:t xml:space="preserve">Shared: the Knowledge Agent's tool interface, the escalation/approval schema, and a weekly review of LangSmith traces together.</w:t>
      </w:r>
    </w:p>
    <w:p>
      <w:pPr>
        <w:pStyle w:val="Heading1"/>
        <w:spacing w:after="200" w:before="480"/>
      </w:pPr>
      <w:r>
        <w:t xml:space="preserve">13. Phased build plan</w:t>
      </w:r>
    </w:p>
    <w:p>
      <w:pPr>
        <w:spacing w:after="160" w:line="276"/>
      </w:pPr>
      <w:r>
        <w:t xml:space="preserve">Ordered so that the project is demoable early and stays demoable at every later checkpoint — if time runs out, whatever milestone you last completed is still a coherent, presentable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shd w:fill="185FA5" w:color="auto" w:val="clear"/>
            <w:tcMar>
              <w:top w:type="dxa" w:w="100"/>
              <w:left w:type="dxa" w:w="120"/>
              <w:bottom w:type="dxa" w:w="100"/>
              <w:right w:type="dxa" w:w="120"/>
            </w:tcMar>
            <w:vAlign w:val="center"/>
          </w:tcPr>
          <w:p>
            <w:r>
              <w:rPr>
                <w:b/>
                <w:bCs/>
                <w:color w:val="FFFFFF"/>
                <w:sz w:val="20"/>
                <w:szCs w:val="20"/>
              </w:rPr>
              <w:t xml:space="preserve">Phase</w:t>
            </w:r>
          </w:p>
        </w:tc>
        <w:tc>
          <w:tcPr>
            <w:tcW w:type="dxa" w:w="3300"/>
            <w:shd w:fill="185FA5" w:color="auto" w:val="clear"/>
            <w:tcMar>
              <w:top w:type="dxa" w:w="100"/>
              <w:left w:type="dxa" w:w="120"/>
              <w:bottom w:type="dxa" w:w="100"/>
              <w:right w:type="dxa" w:w="120"/>
            </w:tcMar>
            <w:vAlign w:val="center"/>
          </w:tcPr>
          <w:p>
            <w:r>
              <w:rPr>
                <w:b/>
                <w:bCs/>
                <w:color w:val="FFFFFF"/>
                <w:sz w:val="20"/>
                <w:szCs w:val="20"/>
              </w:rPr>
              <w:t xml:space="preserve">Milestone</w:t>
            </w:r>
          </w:p>
        </w:tc>
        <w:tc>
          <w:tcPr>
            <w:tcW w:type="dxa" w:w="5160"/>
            <w:shd w:fill="185FA5" w:color="auto" w:val="clear"/>
            <w:tcMar>
              <w:top w:type="dxa" w:w="100"/>
              <w:left w:type="dxa" w:w="120"/>
              <w:bottom w:type="dxa" w:w="100"/>
              <w:right w:type="dxa" w:w="120"/>
            </w:tcMar>
            <w:vAlign w:val="center"/>
          </w:tcPr>
          <w:p>
            <w:r>
              <w:rPr>
                <w:b/>
                <w:bCs/>
                <w:color w:val="FFFFFF"/>
                <w:sz w:val="20"/>
                <w:szCs w:val="20"/>
              </w:rPr>
              <w:t xml:space="preserve">What “done” looks like</w:t>
            </w:r>
          </w:p>
        </w:tc>
      </w:tr>
      <w:tr>
        <w:tc>
          <w:tcPr>
            <w:tcW w:type="dxa" w:w="900"/>
            <w:tcMar>
              <w:top w:type="dxa" w:w="100"/>
              <w:left w:type="dxa" w:w="120"/>
              <w:bottom w:type="dxa" w:w="100"/>
              <w:right w:type="dxa" w:w="120"/>
            </w:tcMar>
            <w:vAlign w:val="center"/>
          </w:tcPr>
          <w:p>
            <w:r>
              <w:rPr>
                <w:b w:val="false"/>
                <w:bCs w:val="false"/>
                <w:sz w:val="20"/>
                <w:szCs w:val="20"/>
              </w:rPr>
              <w:t xml:space="preserve">1</w:t>
            </w:r>
          </w:p>
        </w:tc>
        <w:tc>
          <w:tcPr>
            <w:tcW w:type="dxa" w:w="3300"/>
            <w:tcMar>
              <w:top w:type="dxa" w:w="100"/>
              <w:left w:type="dxa" w:w="120"/>
              <w:bottom w:type="dxa" w:w="100"/>
              <w:right w:type="dxa" w:w="120"/>
            </w:tcMar>
            <w:vAlign w:val="center"/>
          </w:tcPr>
          <w:p>
            <w:r>
              <w:rPr>
                <w:b w:val="false"/>
                <w:bCs w:val="false"/>
                <w:sz w:val="20"/>
                <w:szCs w:val="20"/>
              </w:rPr>
              <w:t xml:space="preserve">Core graph skeleton</w:t>
            </w:r>
          </w:p>
        </w:tc>
        <w:tc>
          <w:tcPr>
            <w:tcW w:type="dxa" w:w="5160"/>
            <w:tcMar>
              <w:top w:type="dxa" w:w="100"/>
              <w:left w:type="dxa" w:w="120"/>
              <w:bottom w:type="dxa" w:w="100"/>
              <w:right w:type="dxa" w:w="120"/>
            </w:tcMar>
            <w:vAlign w:val="center"/>
          </w:tcPr>
          <w:p>
            <w:r>
              <w:rPr>
                <w:b w:val="false"/>
                <w:bCs w:val="false"/>
                <w:sz w:val="20"/>
                <w:szCs w:val="20"/>
              </w:rPr>
              <w:t xml:space="preserve">Supervisor routes to 2–3 stub agents with hardcoded responses; LangSmith tracing is on from the start</w:t>
            </w:r>
          </w:p>
        </w:tc>
      </w:tr>
      <w:tr>
        <w:tc>
          <w:tcPr>
            <w:tcW w:type="dxa" w:w="900"/>
            <w:shd w:fill="F1EFE8" w:color="auto" w:val="clear"/>
            <w:tcMar>
              <w:top w:type="dxa" w:w="100"/>
              <w:left w:type="dxa" w:w="120"/>
              <w:bottom w:type="dxa" w:w="100"/>
              <w:right w:type="dxa" w:w="120"/>
            </w:tcMar>
            <w:vAlign w:val="center"/>
          </w:tcPr>
          <w:p>
            <w:r>
              <w:rPr>
                <w:b w:val="false"/>
                <w:bCs w:val="false"/>
                <w:sz w:val="20"/>
                <w:szCs w:val="20"/>
              </w:rPr>
              <w:t xml:space="preserve">2</w:t>
            </w:r>
          </w:p>
        </w:tc>
        <w:tc>
          <w:tcPr>
            <w:tcW w:type="dxa" w:w="3300"/>
            <w:shd w:fill="F1EFE8" w:color="auto" w:val="clear"/>
            <w:tcMar>
              <w:top w:type="dxa" w:w="100"/>
              <w:left w:type="dxa" w:w="120"/>
              <w:bottom w:type="dxa" w:w="100"/>
              <w:right w:type="dxa" w:w="120"/>
            </w:tcMar>
            <w:vAlign w:val="center"/>
          </w:tcPr>
          <w:p>
            <w:r>
              <w:rPr>
                <w:b w:val="false"/>
                <w:bCs w:val="false"/>
                <w:sz w:val="20"/>
                <w:szCs w:val="20"/>
              </w:rPr>
              <w:t xml:space="preserve">RAG over real synthetic docs</w:t>
            </w:r>
          </w:p>
        </w:tc>
        <w:tc>
          <w:tcPr>
            <w:tcW w:type="dxa" w:w="5160"/>
            <w:shd w:fill="F1EFE8" w:color="auto" w:val="clear"/>
            <w:tcMar>
              <w:top w:type="dxa" w:w="100"/>
              <w:left w:type="dxa" w:w="120"/>
              <w:bottom w:type="dxa" w:w="100"/>
              <w:right w:type="dxa" w:w="120"/>
            </w:tcMar>
            <w:vAlign w:val="center"/>
          </w:tcPr>
          <w:p>
            <w:r>
              <w:rPr>
                <w:b w:val="false"/>
                <w:bCs w:val="false"/>
                <w:sz w:val="20"/>
                <w:szCs w:val="20"/>
              </w:rPr>
              <w:t xml:space="preserve">Knowledge Agent answers real questions against a Chroma or pgvector store built from your first batch of synthetic runbooks</w:t>
            </w:r>
          </w:p>
        </w:tc>
      </w:tr>
      <w:tr>
        <w:tc>
          <w:tcPr>
            <w:tcW w:type="dxa" w:w="900"/>
            <w:tcMar>
              <w:top w:type="dxa" w:w="100"/>
              <w:left w:type="dxa" w:w="120"/>
              <w:bottom w:type="dxa" w:w="100"/>
              <w:right w:type="dxa" w:w="120"/>
            </w:tcMar>
            <w:vAlign w:val="center"/>
          </w:tcPr>
          <w:p>
            <w:r>
              <w:rPr>
                <w:b w:val="false"/>
                <w:bCs w:val="false"/>
                <w:sz w:val="20"/>
                <w:szCs w:val="20"/>
              </w:rPr>
              <w:t xml:space="preserve">3</w:t>
            </w:r>
          </w:p>
        </w:tc>
        <w:tc>
          <w:tcPr>
            <w:tcW w:type="dxa" w:w="3300"/>
            <w:tcMar>
              <w:top w:type="dxa" w:w="100"/>
              <w:left w:type="dxa" w:w="120"/>
              <w:bottom w:type="dxa" w:w="100"/>
              <w:right w:type="dxa" w:w="120"/>
            </w:tcMar>
            <w:vAlign w:val="center"/>
          </w:tcPr>
          <w:p>
            <w:r>
              <w:rPr>
                <w:b w:val="false"/>
                <w:bCs w:val="false"/>
                <w:sz w:val="20"/>
                <w:szCs w:val="20"/>
              </w:rPr>
              <w:t xml:space="preserve">Diagnostics + ticketing</w:t>
            </w:r>
          </w:p>
        </w:tc>
        <w:tc>
          <w:tcPr>
            <w:tcW w:type="dxa" w:w="5160"/>
            <w:tcMar>
              <w:top w:type="dxa" w:w="100"/>
              <w:left w:type="dxa" w:w="120"/>
              <w:bottom w:type="dxa" w:w="100"/>
              <w:right w:type="dxa" w:w="120"/>
            </w:tcMar>
            <w:vAlign w:val="center"/>
          </w:tcPr>
          <w:p>
            <w:r>
              <w:rPr>
                <w:b w:val="false"/>
                <w:bCs w:val="false"/>
                <w:sz w:val="20"/>
                <w:szCs w:val="20"/>
              </w:rPr>
              <w:t xml:space="preserve">Diagnostics Agent reads mock system status; Ticketing Agent writes real rows to Postgres, with idempotency keys</w:t>
            </w:r>
          </w:p>
        </w:tc>
      </w:tr>
      <w:tr>
        <w:tc>
          <w:tcPr>
            <w:tcW w:type="dxa" w:w="900"/>
            <w:shd w:fill="F1EFE8" w:color="auto" w:val="clear"/>
            <w:tcMar>
              <w:top w:type="dxa" w:w="100"/>
              <w:left w:type="dxa" w:w="120"/>
              <w:bottom w:type="dxa" w:w="100"/>
              <w:right w:type="dxa" w:w="120"/>
            </w:tcMar>
            <w:vAlign w:val="center"/>
          </w:tcPr>
          <w:p>
            <w:r>
              <w:rPr>
                <w:b w:val="false"/>
                <w:bCs w:val="false"/>
                <w:sz w:val="20"/>
                <w:szCs w:val="20"/>
              </w:rPr>
              <w:t xml:space="preserve">4</w:t>
            </w:r>
          </w:p>
        </w:tc>
        <w:tc>
          <w:tcPr>
            <w:tcW w:type="dxa" w:w="3300"/>
            <w:shd w:fill="F1EFE8" w:color="auto" w:val="clear"/>
            <w:tcMar>
              <w:top w:type="dxa" w:w="100"/>
              <w:left w:type="dxa" w:w="120"/>
              <w:bottom w:type="dxa" w:w="100"/>
              <w:right w:type="dxa" w:w="120"/>
            </w:tcMar>
            <w:vAlign w:val="center"/>
          </w:tcPr>
          <w:p>
            <w:r>
              <w:rPr>
                <w:b w:val="false"/>
                <w:bCs w:val="false"/>
                <w:sz w:val="20"/>
                <w:szCs w:val="20"/>
              </w:rPr>
              <w:t xml:space="preserve">Human-in-the-loop gate</w:t>
            </w:r>
          </w:p>
        </w:tc>
        <w:tc>
          <w:tcPr>
            <w:tcW w:type="dxa" w:w="5160"/>
            <w:shd w:fill="F1EFE8" w:color="auto" w:val="clear"/>
            <w:tcMar>
              <w:top w:type="dxa" w:w="100"/>
              <w:left w:type="dxa" w:w="120"/>
              <w:bottom w:type="dxa" w:w="100"/>
              <w:right w:type="dxa" w:w="120"/>
            </w:tcMar>
            <w:vAlign w:val="center"/>
          </w:tcPr>
          <w:p>
            <w:r>
              <w:rPr>
                <w:b w:val="false"/>
                <w:bCs w:val="false"/>
                <w:sz w:val="20"/>
                <w:szCs w:val="20"/>
              </w:rPr>
              <w:t xml:space="preserve">interrupt() pauses the graph before any write action; a human can approve, edit, or reject</w:t>
            </w:r>
          </w:p>
        </w:tc>
      </w:tr>
      <w:tr>
        <w:tc>
          <w:tcPr>
            <w:tcW w:type="dxa" w:w="900"/>
            <w:tcMar>
              <w:top w:type="dxa" w:w="100"/>
              <w:left w:type="dxa" w:w="120"/>
              <w:bottom w:type="dxa" w:w="100"/>
              <w:right w:type="dxa" w:w="120"/>
            </w:tcMar>
            <w:vAlign w:val="center"/>
          </w:tcPr>
          <w:p>
            <w:r>
              <w:rPr>
                <w:b w:val="false"/>
                <w:bCs w:val="false"/>
                <w:sz w:val="20"/>
                <w:szCs w:val="20"/>
              </w:rPr>
              <w:t xml:space="preserve">5</w:t>
            </w:r>
          </w:p>
        </w:tc>
        <w:tc>
          <w:tcPr>
            <w:tcW w:type="dxa" w:w="3300"/>
            <w:tcMar>
              <w:top w:type="dxa" w:w="100"/>
              <w:left w:type="dxa" w:w="120"/>
              <w:bottom w:type="dxa" w:w="100"/>
              <w:right w:type="dxa" w:w="120"/>
            </w:tcMar>
            <w:vAlign w:val="center"/>
          </w:tcPr>
          <w:p>
            <w:r>
              <w:rPr>
                <w:b w:val="false"/>
                <w:bCs w:val="false"/>
                <w:sz w:val="20"/>
                <w:szCs w:val="20"/>
              </w:rPr>
              <w:t xml:space="preserve">n8n integration</w:t>
            </w:r>
          </w:p>
        </w:tc>
        <w:tc>
          <w:tcPr>
            <w:tcW w:type="dxa" w:w="5160"/>
            <w:tcMar>
              <w:top w:type="dxa" w:w="100"/>
              <w:left w:type="dxa" w:w="120"/>
              <w:bottom w:type="dxa" w:w="100"/>
              <w:right w:type="dxa" w:w="120"/>
            </w:tcMar>
            <w:vAlign w:val="center"/>
          </w:tcPr>
          <w:p>
            <w:r>
              <w:rPr>
                <w:b w:val="false"/>
                <w:bCs w:val="false"/>
                <w:sz w:val="20"/>
                <w:szCs w:val="20"/>
              </w:rPr>
              <w:t xml:space="preserve">Escalations and approvals actually ping Slack/Teams/email through n8n workflows</w:t>
            </w:r>
          </w:p>
        </w:tc>
      </w:tr>
      <w:tr>
        <w:tc>
          <w:tcPr>
            <w:tcW w:type="dxa" w:w="900"/>
            <w:shd w:fill="F1EFE8" w:color="auto" w:val="clear"/>
            <w:tcMar>
              <w:top w:type="dxa" w:w="100"/>
              <w:left w:type="dxa" w:w="120"/>
              <w:bottom w:type="dxa" w:w="100"/>
              <w:right w:type="dxa" w:w="120"/>
            </w:tcMar>
            <w:vAlign w:val="center"/>
          </w:tcPr>
          <w:p>
            <w:r>
              <w:rPr>
                <w:b w:val="false"/>
                <w:bCs w:val="false"/>
                <w:sz w:val="20"/>
                <w:szCs w:val="20"/>
              </w:rPr>
              <w:t xml:space="preserve">6</w:t>
            </w:r>
          </w:p>
        </w:tc>
        <w:tc>
          <w:tcPr>
            <w:tcW w:type="dxa" w:w="3300"/>
            <w:shd w:fill="F1EFE8" w:color="auto" w:val="clear"/>
            <w:tcMar>
              <w:top w:type="dxa" w:w="100"/>
              <w:left w:type="dxa" w:w="120"/>
              <w:bottom w:type="dxa" w:w="100"/>
              <w:right w:type="dxa" w:w="120"/>
            </w:tcMar>
            <w:vAlign w:val="center"/>
          </w:tcPr>
          <w:p>
            <w:r>
              <w:rPr>
                <w:b w:val="false"/>
                <w:bCs w:val="false"/>
                <w:sz w:val="20"/>
                <w:szCs w:val="20"/>
              </w:rPr>
              <w:t xml:space="preserve">Frontend</w:t>
            </w:r>
          </w:p>
        </w:tc>
        <w:tc>
          <w:tcPr>
            <w:tcW w:type="dxa" w:w="5160"/>
            <w:shd w:fill="F1EFE8" w:color="auto" w:val="clear"/>
            <w:tcMar>
              <w:top w:type="dxa" w:w="100"/>
              <w:left w:type="dxa" w:w="120"/>
              <w:bottom w:type="dxa" w:w="100"/>
              <w:right w:type="dxa" w:w="120"/>
            </w:tcMar>
            <w:vAlign w:val="center"/>
          </w:tcPr>
          <w:p>
            <w:r>
              <w:rPr>
                <w:b w:val="false"/>
                <w:bCs w:val="false"/>
                <w:sz w:val="20"/>
                <w:szCs w:val="20"/>
              </w:rPr>
              <w:t xml:space="preserve">Next.js chat widget showing the live conversation and which specialist handled each step</w:t>
            </w:r>
          </w:p>
        </w:tc>
      </w:tr>
      <w:tr>
        <w:tc>
          <w:tcPr>
            <w:tcW w:type="dxa" w:w="900"/>
            <w:tcMar>
              <w:top w:type="dxa" w:w="100"/>
              <w:left w:type="dxa" w:w="120"/>
              <w:bottom w:type="dxa" w:w="100"/>
              <w:right w:type="dxa" w:w="120"/>
            </w:tcMar>
            <w:vAlign w:val="center"/>
          </w:tcPr>
          <w:p>
            <w:r>
              <w:rPr>
                <w:b w:val="false"/>
                <w:bCs w:val="false"/>
                <w:sz w:val="20"/>
                <w:szCs w:val="20"/>
              </w:rPr>
              <w:t xml:space="preserve">7</w:t>
            </w:r>
          </w:p>
        </w:tc>
        <w:tc>
          <w:tcPr>
            <w:tcW w:type="dxa" w:w="3300"/>
            <w:tcMar>
              <w:top w:type="dxa" w:w="100"/>
              <w:left w:type="dxa" w:w="120"/>
              <w:bottom w:type="dxa" w:w="100"/>
              <w:right w:type="dxa" w:w="120"/>
            </w:tcMar>
            <w:vAlign w:val="center"/>
          </w:tcPr>
          <w:p>
            <w:r>
              <w:rPr>
                <w:b w:val="false"/>
                <w:bCs w:val="false"/>
                <w:sz w:val="20"/>
                <w:szCs w:val="20"/>
              </w:rPr>
              <w:t xml:space="preserve">Evaluation</w:t>
            </w:r>
          </w:p>
        </w:tc>
        <w:tc>
          <w:tcPr>
            <w:tcW w:type="dxa" w:w="5160"/>
            <w:tcMar>
              <w:top w:type="dxa" w:w="100"/>
              <w:left w:type="dxa" w:w="120"/>
              <w:bottom w:type="dxa" w:w="100"/>
              <w:right w:type="dxa" w:w="120"/>
            </w:tcMar>
            <w:vAlign w:val="center"/>
          </w:tcPr>
          <w:p>
            <w:r>
              <w:rPr>
                <w:b w:val="false"/>
                <w:bCs w:val="false"/>
                <w:sz w:val="20"/>
                <w:szCs w:val="20"/>
              </w:rPr>
              <w:t xml:space="preserve">Golden RAGAS eval set in place; regression dataset covers each agent; routing-accuracy and cost metrics tracked</w:t>
            </w:r>
          </w:p>
        </w:tc>
      </w:tr>
      <w:tr>
        <w:tc>
          <w:tcPr>
            <w:tcW w:type="dxa" w:w="900"/>
            <w:shd w:fill="F1EFE8" w:color="auto" w:val="clear"/>
            <w:tcMar>
              <w:top w:type="dxa" w:w="100"/>
              <w:left w:type="dxa" w:w="120"/>
              <w:bottom w:type="dxa" w:w="100"/>
              <w:right w:type="dxa" w:w="120"/>
            </w:tcMar>
            <w:vAlign w:val="center"/>
          </w:tcPr>
          <w:p>
            <w:r>
              <w:rPr>
                <w:b w:val="false"/>
                <w:bCs w:val="false"/>
                <w:sz w:val="20"/>
                <w:szCs w:val="20"/>
              </w:rPr>
              <w:t xml:space="preserve">8</w:t>
            </w:r>
          </w:p>
        </w:tc>
        <w:tc>
          <w:tcPr>
            <w:tcW w:type="dxa" w:w="3300"/>
            <w:shd w:fill="F1EFE8" w:color="auto" w:val="clear"/>
            <w:tcMar>
              <w:top w:type="dxa" w:w="100"/>
              <w:left w:type="dxa" w:w="120"/>
              <w:bottom w:type="dxa" w:w="100"/>
              <w:right w:type="dxa" w:w="120"/>
            </w:tcMar>
            <w:vAlign w:val="center"/>
          </w:tcPr>
          <w:p>
            <w:r>
              <w:rPr>
                <w:b w:val="false"/>
                <w:bCs w:val="false"/>
                <w:sz w:val="20"/>
                <w:szCs w:val="20"/>
              </w:rPr>
              <w:t xml:space="preserve">Gateway + deployment</w:t>
            </w:r>
          </w:p>
        </w:tc>
        <w:tc>
          <w:tcPr>
            <w:tcW w:type="dxa" w:w="5160"/>
            <w:shd w:fill="F1EFE8" w:color="auto" w:val="clear"/>
            <w:tcMar>
              <w:top w:type="dxa" w:w="100"/>
              <w:left w:type="dxa" w:w="120"/>
              <w:bottom w:type="dxa" w:w="100"/>
              <w:right w:type="dxa" w:w="120"/>
            </w:tcMar>
            <w:vAlign w:val="center"/>
          </w:tcPr>
          <w:p>
            <w:r>
              <w:rPr>
                <w:b w:val="false"/>
                <w:bCs w:val="false"/>
                <w:sz w:val="20"/>
                <w:szCs w:val="20"/>
              </w:rPr>
              <w:t xml:space="preserve">Databricks AI Gateway (or a documented lightweight equivalent, see Section 14) fronts model calls; Docker Compose deploys to Azure</w:t>
            </w:r>
          </w:p>
        </w:tc>
      </w:tr>
      <w:tr>
        <w:tc>
          <w:tcPr>
            <w:tcW w:type="dxa" w:w="900"/>
            <w:tcMar>
              <w:top w:type="dxa" w:w="100"/>
              <w:left w:type="dxa" w:w="120"/>
              <w:bottom w:type="dxa" w:w="100"/>
              <w:right w:type="dxa" w:w="120"/>
            </w:tcMar>
            <w:vAlign w:val="center"/>
          </w:tcPr>
          <w:p>
            <w:r>
              <w:rPr>
                <w:b w:val="false"/>
                <w:bCs w:val="false"/>
                <w:sz w:val="20"/>
                <w:szCs w:val="20"/>
              </w:rPr>
              <w:t xml:space="preserve">9 (stretch)</w:t>
            </w:r>
          </w:p>
        </w:tc>
        <w:tc>
          <w:tcPr>
            <w:tcW w:type="dxa" w:w="3300"/>
            <w:tcMar>
              <w:top w:type="dxa" w:w="100"/>
              <w:left w:type="dxa" w:w="120"/>
              <w:bottom w:type="dxa" w:w="100"/>
              <w:right w:type="dxa" w:w="120"/>
            </w:tcMar>
            <w:vAlign w:val="center"/>
          </w:tcPr>
          <w:p>
            <w:r>
              <w:rPr>
                <w:b w:val="false"/>
                <w:bCs w:val="false"/>
                <w:sz w:val="20"/>
                <w:szCs w:val="20"/>
              </w:rPr>
              <w:t xml:space="preserve">Domain expansion</w:t>
            </w:r>
          </w:p>
        </w:tc>
        <w:tc>
          <w:tcPr>
            <w:tcW w:type="dxa" w:w="5160"/>
            <w:tcMar>
              <w:top w:type="dxa" w:w="100"/>
              <w:left w:type="dxa" w:w="120"/>
              <w:bottom w:type="dxa" w:w="100"/>
              <w:right w:type="dxa" w:w="120"/>
            </w:tcMar>
            <w:vAlign w:val="center"/>
          </w:tcPr>
          <w:p>
            <w:r>
              <w:rPr>
                <w:b w:val="false"/>
                <w:bCs w:val="false"/>
                <w:sz w:val="20"/>
                <w:szCs w:val="20"/>
              </w:rPr>
              <w:t xml:space="preserve">Security, HR, and meeting-notes document categories added to the RAG corpus</w:t>
            </w:r>
          </w:p>
        </w:tc>
      </w:tr>
    </w:tbl>
    <w:p>
      <w:pPr>
        <w:pStyle w:val="Heading1"/>
        <w:spacing w:after="200" w:before="480"/>
      </w:pPr>
      <w:r>
        <w:t xml:space="preserve">14. Flaws in the original plan and recommended improvements</w:t>
      </w:r>
    </w:p>
    <w:p>
      <w:pPr>
        <w:spacing w:after="160" w:line="276"/>
      </w:pPr>
      <w:r>
        <w:t xml:space="preserve">This section is the direct answer to “find any flaws.” Each row names something in the original pitch, why it's a risk specifically for a two-person side project, and the concrete change recommended elsewhere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185FA5" w:color="auto" w:val="clear"/>
            <w:tcMar>
              <w:top w:type="dxa" w:w="100"/>
              <w:left w:type="dxa" w:w="120"/>
              <w:bottom w:type="dxa" w:w="100"/>
              <w:right w:type="dxa" w:w="120"/>
            </w:tcMar>
            <w:vAlign w:val="center"/>
          </w:tcPr>
          <w:p>
            <w:r>
              <w:rPr>
                <w:b/>
                <w:bCs/>
                <w:color w:val="FFFFFF"/>
                <w:sz w:val="20"/>
                <w:szCs w:val="20"/>
              </w:rPr>
              <w:t xml:space="preserve">Original plan element</w:t>
            </w:r>
          </w:p>
        </w:tc>
        <w:tc>
          <w:tcPr>
            <w:tcW w:type="dxa" w:w="3400"/>
            <w:shd w:fill="185FA5" w:color="auto" w:val="clear"/>
            <w:tcMar>
              <w:top w:type="dxa" w:w="100"/>
              <w:left w:type="dxa" w:w="120"/>
              <w:bottom w:type="dxa" w:w="100"/>
              <w:right w:type="dxa" w:w="120"/>
            </w:tcMar>
            <w:vAlign w:val="center"/>
          </w:tcPr>
          <w:p>
            <w:r>
              <w:rPr>
                <w:b/>
                <w:bCs/>
                <w:color w:val="FFFFFF"/>
                <w:sz w:val="20"/>
                <w:szCs w:val="20"/>
              </w:rPr>
              <w:t xml:space="preserve">The flaw</w:t>
            </w:r>
          </w:p>
        </w:tc>
        <w:tc>
          <w:tcPr>
            <w:tcW w:type="dxa" w:w="3460"/>
            <w:shd w:fill="185FA5" w:color="auto" w:val="clear"/>
            <w:tcMar>
              <w:top w:type="dxa" w:w="100"/>
              <w:left w:type="dxa" w:w="120"/>
              <w:bottom w:type="dxa" w:w="100"/>
              <w:right w:type="dxa" w:w="120"/>
            </w:tcMar>
            <w:vAlign w:val="center"/>
          </w:tcPr>
          <w:p>
            <w:r>
              <w:rPr>
                <w:b/>
                <w:bCs/>
                <w:color w:val="FFFFFF"/>
                <w:sz w:val="20"/>
                <w:szCs w:val="20"/>
              </w:rPr>
              <w:t xml:space="preserve">Recommended improvement</w:t>
            </w:r>
          </w:p>
        </w:tc>
      </w:tr>
      <w:tr>
        <w:tc>
          <w:tcPr>
            <w:tcW w:type="dxa" w:w="2500"/>
            <w:tcMar>
              <w:top w:type="dxa" w:w="100"/>
              <w:left w:type="dxa" w:w="120"/>
              <w:bottom w:type="dxa" w:w="100"/>
              <w:right w:type="dxa" w:w="120"/>
            </w:tcMar>
            <w:vAlign w:val="center"/>
          </w:tcPr>
          <w:p>
            <w:r>
              <w:rPr>
                <w:b w:val="false"/>
                <w:bCs w:val="false"/>
                <w:sz w:val="20"/>
                <w:szCs w:val="20"/>
              </w:rPr>
              <w:t xml:space="preserve">Chroma AND Databricks Vector Search both listed as the knowledge base</w:t>
            </w:r>
          </w:p>
        </w:tc>
        <w:tc>
          <w:tcPr>
            <w:tcW w:type="dxa" w:w="3400"/>
            <w:tcMar>
              <w:top w:type="dxa" w:w="100"/>
              <w:left w:type="dxa" w:w="120"/>
              <w:bottom w:type="dxa" w:w="100"/>
              <w:right w:type="dxa" w:w="120"/>
            </w:tcMar>
            <w:vAlign w:val="center"/>
          </w:tcPr>
          <w:p>
            <w:r>
              <w:rPr>
                <w:b w:val="false"/>
                <w:bCs w:val="false"/>
                <w:sz w:val="20"/>
                <w:szCs w:val="20"/>
              </w:rPr>
              <w:t xml:space="preserve">Redundant — two vector stores with no clear reason to run both; reads as keyword-stuffing to an interviewer who asks “which one did you actually use?”</w:t>
            </w:r>
          </w:p>
        </w:tc>
        <w:tc>
          <w:tcPr>
            <w:tcW w:type="dxa" w:w="3460"/>
            <w:tcMar>
              <w:top w:type="dxa" w:w="100"/>
              <w:left w:type="dxa" w:w="120"/>
              <w:bottom w:type="dxa" w:w="100"/>
              <w:right w:type="dxa" w:w="120"/>
            </w:tcMar>
            <w:vAlign w:val="center"/>
          </w:tcPr>
          <w:p>
            <w:r>
              <w:rPr>
                <w:b w:val="false"/>
                <w:bCs w:val="false"/>
                <w:sz w:val="20"/>
                <w:szCs w:val="20"/>
              </w:rPr>
              <w:t xml:space="preserve">Standardize on pgvector inside the Postgres instance already in the stack (Section 5). One database, one backup strategy, genuinely production-viable at this project's scale.</w:t>
            </w:r>
          </w:p>
        </w:tc>
      </w:tr>
      <w:tr>
        <w:tc>
          <w:tcPr>
            <w:tcW w:type="dxa" w:w="2500"/>
            <w:shd w:fill="F1EFE8" w:color="auto" w:val="clear"/>
            <w:tcMar>
              <w:top w:type="dxa" w:w="100"/>
              <w:left w:type="dxa" w:w="120"/>
              <w:bottom w:type="dxa" w:w="100"/>
              <w:right w:type="dxa" w:w="120"/>
            </w:tcMar>
            <w:vAlign w:val="center"/>
          </w:tcPr>
          <w:p>
            <w:r>
              <w:rPr>
                <w:b w:val="false"/>
                <w:bCs w:val="false"/>
                <w:sz w:val="20"/>
                <w:szCs w:val="20"/>
              </w:rPr>
              <w:t xml:space="preserve">Databricks AI Gateway assumed available from the start</w:t>
            </w:r>
          </w:p>
        </w:tc>
        <w:tc>
          <w:tcPr>
            <w:tcW w:type="dxa" w:w="3400"/>
            <w:shd w:fill="F1EFE8" w:color="auto" w:val="clear"/>
            <w:tcMar>
              <w:top w:type="dxa" w:w="100"/>
              <w:left w:type="dxa" w:w="120"/>
              <w:bottom w:type="dxa" w:w="100"/>
              <w:right w:type="dxa" w:w="120"/>
            </w:tcMar>
            <w:vAlign w:val="center"/>
          </w:tcPr>
          <w:p>
            <w:r>
              <w:rPr>
                <w:b w:val="false"/>
                <w:bCs w:val="false"/>
                <w:sz w:val="20"/>
                <w:szCs w:val="20"/>
              </w:rPr>
              <w:t xml:space="preserve">As of mid-2026 it's still in Beta and requires an active Databricks workspace — real setup cost with no employer or client footing the bill</w:t>
            </w:r>
          </w:p>
        </w:tc>
        <w:tc>
          <w:tcPr>
            <w:tcW w:type="dxa" w:w="3460"/>
            <w:shd w:fill="F1EFE8" w:color="auto" w:val="clear"/>
            <w:tcMar>
              <w:top w:type="dxa" w:w="100"/>
              <w:left w:type="dxa" w:w="120"/>
              <w:bottom w:type="dxa" w:w="100"/>
              <w:right w:type="dxa" w:w="120"/>
            </w:tcMar>
            <w:vAlign w:val="center"/>
          </w:tcPr>
          <w:p>
            <w:r>
              <w:rPr>
                <w:b w:val="false"/>
                <w:bCs w:val="false"/>
                <w:sz w:val="20"/>
                <w:szCs w:val="20"/>
              </w:rPr>
              <w:t xml:space="preserve">Build a small custom gateway wrapper first (single API surface, key management, request logging) that demonstrates the governance pattern; layer in real Databricks AI Gateway last, once the core system works, or document it as the target production architecture if workspace access isn't practical</w:t>
            </w:r>
          </w:p>
        </w:tc>
      </w:tr>
      <w:tr>
        <w:tc>
          <w:tcPr>
            <w:tcW w:type="dxa" w:w="2500"/>
            <w:tcMar>
              <w:top w:type="dxa" w:w="100"/>
              <w:left w:type="dxa" w:w="120"/>
              <w:bottom w:type="dxa" w:w="100"/>
              <w:right w:type="dxa" w:w="120"/>
            </w:tcMar>
            <w:vAlign w:val="center"/>
          </w:tcPr>
          <w:p>
            <w:r>
              <w:rPr>
                <w:b w:val="false"/>
                <w:bCs w:val="false"/>
                <w:sz w:val="20"/>
                <w:szCs w:val="20"/>
              </w:rPr>
              <w:t xml:space="preserve">All five document domains (IT, network, security, HR, meeting notes) planned from day one</w:t>
            </w:r>
          </w:p>
        </w:tc>
        <w:tc>
          <w:tcPr>
            <w:tcW w:type="dxa" w:w="3400"/>
            <w:tcMar>
              <w:top w:type="dxa" w:w="100"/>
              <w:left w:type="dxa" w:w="120"/>
              <w:bottom w:type="dxa" w:w="100"/>
              <w:right w:type="dxa" w:w="120"/>
            </w:tcMar>
            <w:vAlign w:val="center"/>
          </w:tcPr>
          <w:p>
            <w:r>
              <w:rPr>
                <w:b w:val="false"/>
                <w:bCs w:val="false"/>
                <w:sz w:val="20"/>
                <w:szCs w:val="20"/>
              </w:rPr>
              <w:t xml:space="preserve">Classic two-person side-project scope creep — sourcing and validating content across five domains eats build time without making the agent architecture itself any more impressive</w:t>
            </w:r>
          </w:p>
        </w:tc>
        <w:tc>
          <w:tcPr>
            <w:tcW w:type="dxa" w:w="3460"/>
            <w:tcMar>
              <w:top w:type="dxa" w:w="100"/>
              <w:left w:type="dxa" w:w="120"/>
              <w:bottom w:type="dxa" w:w="100"/>
              <w:right w:type="dxa" w:w="120"/>
            </w:tcMar>
            <w:vAlign w:val="center"/>
          </w:tcPr>
          <w:p>
            <w:r>
              <w:rPr>
                <w:b w:val="false"/>
                <w:bCs w:val="false"/>
                <w:sz w:val="20"/>
                <w:szCs w:val="20"/>
              </w:rPr>
              <w:t xml:space="preserve">Build IT + network fully first (Phase 2–3); treat security, HR, and meeting notes as a stretch goal that proves the architecture is domain-agnostic, added after the core loop already works</w:t>
            </w:r>
          </w:p>
        </w:tc>
      </w:tr>
      <w:tr>
        <w:tc>
          <w:tcPr>
            <w:tcW w:type="dxa" w:w="2500"/>
            <w:shd w:fill="F1EFE8" w:color="auto" w:val="clear"/>
            <w:tcMar>
              <w:top w:type="dxa" w:w="100"/>
              <w:left w:type="dxa" w:w="120"/>
              <w:bottom w:type="dxa" w:w="100"/>
              <w:right w:type="dxa" w:w="120"/>
            </w:tcMar>
            <w:vAlign w:val="center"/>
          </w:tcPr>
          <w:p>
            <w:r>
              <w:rPr>
                <w:b w:val="false"/>
                <w:bCs w:val="false"/>
                <w:sz w:val="20"/>
                <w:szCs w:val="20"/>
              </w:rPr>
              <w:t xml:space="preserve">No explicit evaluation or metrics plan in the original pitch</w:t>
            </w:r>
          </w:p>
        </w:tc>
        <w:tc>
          <w:tcPr>
            <w:tcW w:type="dxa" w:w="3400"/>
            <w:shd w:fill="F1EFE8" w:color="auto" w:val="clear"/>
            <w:tcMar>
              <w:top w:type="dxa" w:w="100"/>
              <w:left w:type="dxa" w:w="120"/>
              <w:bottom w:type="dxa" w:w="100"/>
              <w:right w:type="dxa" w:w="120"/>
            </w:tcMar>
            <w:vAlign w:val="center"/>
          </w:tcPr>
          <w:p>
            <w:r>
              <w:rPr>
                <w:b w:val="false"/>
                <w:bCs w:val="false"/>
                <w:sz w:val="20"/>
                <w:szCs w:val="20"/>
              </w:rPr>
              <w:t xml:space="preserve">“It works” is not a resume-credible claim on its own — without numbers, a RAG project is indistinguishable from a demo that only ever ran the happy path</w:t>
            </w:r>
          </w:p>
        </w:tc>
        <w:tc>
          <w:tcPr>
            <w:tcW w:type="dxa" w:w="3460"/>
            <w:shd w:fill="F1EFE8" w:color="auto" w:val="clear"/>
            <w:tcMar>
              <w:top w:type="dxa" w:w="100"/>
              <w:left w:type="dxa" w:w="120"/>
              <w:bottom w:type="dxa" w:w="100"/>
              <w:right w:type="dxa" w:w="120"/>
            </w:tcMar>
            <w:vAlign w:val="center"/>
          </w:tcPr>
          <w:p>
            <w:r>
              <w:rPr>
                <w:b w:val="false"/>
                <w:bCs w:val="false"/>
                <w:sz w:val="20"/>
                <w:szCs w:val="20"/>
              </w:rPr>
              <w:t xml:space="preserve">Golden RAGAS eval set (faithfulness, answer relevancy, context precision/recall) plus LangSmith trace review from day one (Sections 7 and 10)</w:t>
            </w:r>
          </w:p>
        </w:tc>
      </w:tr>
      <w:tr>
        <w:tc>
          <w:tcPr>
            <w:tcW w:type="dxa" w:w="2500"/>
            <w:tcMar>
              <w:top w:type="dxa" w:w="100"/>
              <w:left w:type="dxa" w:w="120"/>
              <w:bottom w:type="dxa" w:w="100"/>
              <w:right w:type="dxa" w:w="120"/>
            </w:tcMar>
            <w:vAlign w:val="center"/>
          </w:tcPr>
          <w:p>
            <w:r>
              <w:rPr>
                <w:b w:val="false"/>
                <w:bCs w:val="false"/>
                <w:sz w:val="20"/>
                <w:szCs w:val="20"/>
              </w:rPr>
              <w:t xml:space="preserve">No explicit security design in the original pitch</w:t>
            </w:r>
          </w:p>
        </w:tc>
        <w:tc>
          <w:tcPr>
            <w:tcW w:type="dxa" w:w="3400"/>
            <w:tcMar>
              <w:top w:type="dxa" w:w="100"/>
              <w:left w:type="dxa" w:w="120"/>
              <w:bottom w:type="dxa" w:w="100"/>
              <w:right w:type="dxa" w:w="120"/>
            </w:tcMar>
            <w:vAlign w:val="center"/>
          </w:tcPr>
          <w:p>
            <w:r>
              <w:rPr>
                <w:b w:val="false"/>
                <w:bCs w:val="false"/>
                <w:sz w:val="20"/>
                <w:szCs w:val="20"/>
              </w:rPr>
              <w:t xml:space="preserve">Prompt injection is the single most common way LLM systems are compromised in the wild, and it's invisible until you specifically design against it</w:t>
            </w:r>
          </w:p>
        </w:tc>
        <w:tc>
          <w:tcPr>
            <w:tcW w:type="dxa" w:w="3460"/>
            <w:tcMar>
              <w:top w:type="dxa" w:w="100"/>
              <w:left w:type="dxa" w:w="120"/>
              <w:bottom w:type="dxa" w:w="100"/>
              <w:right w:type="dxa" w:w="120"/>
            </w:tcMar>
            <w:vAlign w:val="center"/>
          </w:tcPr>
          <w:p>
            <w:r>
              <w:rPr>
                <w:b w:val="false"/>
                <w:bCs w:val="false"/>
                <w:sz w:val="20"/>
                <w:szCs w:val="20"/>
              </w:rPr>
              <w:t xml:space="preserve">Explicit threat model, least-privilege tool scoping, and defense-in-depth mitigations (Section 9) — a section most portfolio projects skip entirely, which makes it a genuine differentiator</w:t>
            </w:r>
          </w:p>
        </w:tc>
      </w:tr>
      <w:tr>
        <w:tc>
          <w:tcPr>
            <w:tcW w:type="dxa" w:w="2500"/>
            <w:shd w:fill="F1EFE8" w:color="auto" w:val="clear"/>
            <w:tcMar>
              <w:top w:type="dxa" w:w="100"/>
              <w:left w:type="dxa" w:w="120"/>
              <w:bottom w:type="dxa" w:w="100"/>
              <w:right w:type="dxa" w:w="120"/>
            </w:tcMar>
            <w:vAlign w:val="center"/>
          </w:tcPr>
          <w:p>
            <w:r>
              <w:rPr>
                <w:b w:val="false"/>
                <w:bCs w:val="false"/>
                <w:sz w:val="20"/>
                <w:szCs w:val="20"/>
              </w:rPr>
              <w:t xml:space="preserve">No mention of retry or duplicate-write handling</w:t>
            </w:r>
          </w:p>
        </w:tc>
        <w:tc>
          <w:tcPr>
            <w:tcW w:type="dxa" w:w="3400"/>
            <w:shd w:fill="F1EFE8" w:color="auto" w:val="clear"/>
            <w:tcMar>
              <w:top w:type="dxa" w:w="100"/>
              <w:left w:type="dxa" w:w="120"/>
              <w:bottom w:type="dxa" w:w="100"/>
              <w:right w:type="dxa" w:w="120"/>
            </w:tcMar>
            <w:vAlign w:val="center"/>
          </w:tcPr>
          <w:p>
            <w:r>
              <w:rPr>
                <w:b w:val="false"/>
                <w:bCs w:val="false"/>
                <w:sz w:val="20"/>
                <w:szCs w:val="20"/>
              </w:rPr>
              <w:t xml:space="preserve">Duplicate tickets from a retried tool call are one of the most commonly documented real production bugs in multi-agent systems</w:t>
            </w:r>
          </w:p>
        </w:tc>
        <w:tc>
          <w:tcPr>
            <w:tcW w:type="dxa" w:w="3460"/>
            <w:shd w:fill="F1EFE8" w:color="auto" w:val="clear"/>
            <w:tcMar>
              <w:top w:type="dxa" w:w="100"/>
              <w:left w:type="dxa" w:w="120"/>
              <w:bottom w:type="dxa" w:w="100"/>
              <w:right w:type="dxa" w:w="120"/>
            </w:tcMar>
            <w:vAlign w:val="center"/>
          </w:tcPr>
          <w:p>
            <w:r>
              <w:rPr>
                <w:b w:val="false"/>
                <w:bCs w:val="false"/>
                <w:sz w:val="20"/>
                <w:szCs w:val="20"/>
              </w:rPr>
              <w:t xml:space="preserve">Idempotency keys on every write action, especially ticket creation (Section 11)</w:t>
            </w:r>
          </w:p>
        </w:tc>
      </w:tr>
      <w:tr>
        <w:tc>
          <w:tcPr>
            <w:tcW w:type="dxa" w:w="2500"/>
            <w:tcMar>
              <w:top w:type="dxa" w:w="100"/>
              <w:left w:type="dxa" w:w="120"/>
              <w:bottom w:type="dxa" w:w="100"/>
              <w:right w:type="dxa" w:w="120"/>
            </w:tcMar>
            <w:vAlign w:val="center"/>
          </w:tcPr>
          <w:p>
            <w:r>
              <w:rPr>
                <w:b w:val="false"/>
                <w:bCs w:val="false"/>
                <w:sz w:val="20"/>
                <w:szCs w:val="20"/>
              </w:rPr>
              <w:t xml:space="preserve">All agents implied to run on the same model tier</w:t>
            </w:r>
          </w:p>
        </w:tc>
        <w:tc>
          <w:tcPr>
            <w:tcW w:type="dxa" w:w="3400"/>
            <w:tcMar>
              <w:top w:type="dxa" w:w="100"/>
              <w:left w:type="dxa" w:w="120"/>
              <w:bottom w:type="dxa" w:w="100"/>
              <w:right w:type="dxa" w:w="120"/>
            </w:tcMar>
            <w:vAlign w:val="center"/>
          </w:tcPr>
          <w:p>
            <w:r>
              <w:rPr>
                <w:b w:val="false"/>
                <w:bCs w:val="false"/>
                <w:sz w:val="20"/>
                <w:szCs w:val="20"/>
              </w:rPr>
              <w:t xml:space="preserve">Unnecessarily expensive, and a missed opportunity — cost optimization is a strong, quantifiable interview talking point</w:t>
            </w:r>
          </w:p>
        </w:tc>
        <w:tc>
          <w:tcPr>
            <w:tcW w:type="dxa" w:w="3460"/>
            <w:tcMar>
              <w:top w:type="dxa" w:w="100"/>
              <w:left w:type="dxa" w:w="120"/>
              <w:bottom w:type="dxa" w:w="100"/>
              <w:right w:type="dxa" w:w="120"/>
            </w:tcMar>
            <w:vAlign w:val="center"/>
          </w:tcPr>
          <w:p>
            <w:r>
              <w:rPr>
                <w:b w:val="false"/>
                <w:bCs w:val="false"/>
                <w:sz w:val="20"/>
                <w:szCs w:val="20"/>
              </w:rPr>
              <w:t xml:space="preserve">Strong reasoning model for the supervisor only; a smaller, cheaper model for specialist workers, which cuts inference cost roughly 60–70% in reported implementations (Section 5)</w:t>
            </w:r>
          </w:p>
        </w:tc>
      </w:tr>
      <w:tr>
        <w:tc>
          <w:tcPr>
            <w:tcW w:type="dxa" w:w="2500"/>
            <w:shd w:fill="F1EFE8" w:color="auto" w:val="clear"/>
            <w:tcMar>
              <w:top w:type="dxa" w:w="100"/>
              <w:left w:type="dxa" w:w="120"/>
              <w:bottom w:type="dxa" w:w="100"/>
              <w:right w:type="dxa" w:w="120"/>
            </w:tcMar>
            <w:vAlign w:val="center"/>
          </w:tcPr>
          <w:p>
            <w:r>
              <w:rPr>
                <w:b w:val="false"/>
                <w:bCs w:val="false"/>
                <w:sz w:val="20"/>
                <w:szCs w:val="20"/>
              </w:rPr>
              <w:t xml:space="preserve">No mention of recursion or loop protection</w:t>
            </w:r>
          </w:p>
        </w:tc>
        <w:tc>
          <w:tcPr>
            <w:tcW w:type="dxa" w:w="3400"/>
            <w:shd w:fill="F1EFE8" w:color="auto" w:val="clear"/>
            <w:tcMar>
              <w:top w:type="dxa" w:w="100"/>
              <w:left w:type="dxa" w:w="120"/>
              <w:bottom w:type="dxa" w:w="100"/>
              <w:right w:type="dxa" w:w="120"/>
            </w:tcMar>
            <w:vAlign w:val="center"/>
          </w:tcPr>
          <w:p>
            <w:r>
              <w:rPr>
                <w:b w:val="false"/>
                <w:bCs w:val="false"/>
                <w:sz w:val="20"/>
                <w:szCs w:val="20"/>
              </w:rPr>
              <w:t xml:space="preserve">Routing loops — the supervisor and a specialist deferring back and forth — are one of the most common LangGraph production failures</w:t>
            </w:r>
          </w:p>
        </w:tc>
        <w:tc>
          <w:tcPr>
            <w:tcW w:type="dxa" w:w="3460"/>
            <w:shd w:fill="F1EFE8" w:color="auto" w:val="clear"/>
            <w:tcMar>
              <w:top w:type="dxa" w:w="100"/>
              <w:left w:type="dxa" w:w="120"/>
              <w:bottom w:type="dxa" w:w="100"/>
              <w:right w:type="dxa" w:w="120"/>
            </w:tcMar>
            <w:vAlign w:val="center"/>
          </w:tcPr>
          <w:p>
            <w:r>
              <w:rPr>
                <w:b w:val="false"/>
                <w:bCs w:val="false"/>
                <w:sz w:val="20"/>
                <w:szCs w:val="20"/>
              </w:rPr>
              <w:t xml:space="preserve">Explicit recursion limit, treated as a signal to fix the supervisor prompt rather than a number to raise (Sections 5 and 11)</w:t>
            </w:r>
          </w:p>
        </w:tc>
      </w:tr>
    </w:tbl>
    <w:p>
      <w:pPr>
        <w:pStyle w:val="Heading1"/>
        <w:spacing w:after="200" w:before="480"/>
      </w:pPr>
      <w:r>
        <w:t xml:space="preserve">15. Resume and interview positioning</w:t>
      </w:r>
    </w:p>
    <w:p>
      <w:pPr>
        <w:pStyle w:val="Heading2"/>
        <w:spacing w:after="160" w:before="320"/>
      </w:pPr>
      <w:r>
        <w:t xml:space="preserve">Draft resume bullets</w:t>
      </w:r>
    </w:p>
    <w:p>
      <w:pPr>
        <w:pStyle w:val="ListParagraph"/>
        <w:numPr>
          <w:ilvl w:val="0"/>
          <w:numId w:val="2"/>
        </w:numPr>
        <w:spacing w:after="90" w:line="276"/>
      </w:pPr>
      <w:r>
        <w:t xml:space="preserve">Designed and built a multi-agent IT operations copilot using LangGraph, implementing a supervisor pattern that routes requests across four specialist agents with model-tiered inference to cut LLM cost ~60% versus a single-model baseline</w:t>
      </w:r>
    </w:p>
    <w:p>
      <w:pPr>
        <w:pStyle w:val="ListParagraph"/>
        <w:numPr>
          <w:ilvl w:val="0"/>
          <w:numId w:val="2"/>
        </w:numPr>
        <w:spacing w:after="90" w:line="276"/>
      </w:pPr>
      <w:r>
        <w:t xml:space="preserve">Built a RAG pipeline over a synthetic enterprise documentation corpus, achieving [X] faithfulness and [X] context precision on a hand-built RAGAS evaluation set</w:t>
      </w:r>
    </w:p>
    <w:p>
      <w:pPr>
        <w:pStyle w:val="ListParagraph"/>
        <w:numPr>
          <w:ilvl w:val="0"/>
          <w:numId w:val="2"/>
        </w:numPr>
        <w:spacing w:after="90" w:line="276"/>
      </w:pPr>
      <w:r>
        <w:t xml:space="preserve">Implemented human-in-the-loop approval gates using LangGraph's interrupt pattern, ensuring no autonomous agent action could modify account or system state without explicit human sign-off</w:t>
      </w:r>
    </w:p>
    <w:p>
      <w:pPr>
        <w:pStyle w:val="ListParagraph"/>
        <w:numPr>
          <w:ilvl w:val="0"/>
          <w:numId w:val="2"/>
        </w:numPr>
        <w:spacing w:after="90" w:line="276"/>
      </w:pPr>
      <w:r>
        <w:t xml:space="preserve">Designed the system's security posture around OWASP's top LLM risk (prompt injection), applying least-privilege tool scoping and defense-in-depth mitigations across all agent-tool boundaries</w:t>
      </w:r>
    </w:p>
    <w:p>
      <w:pPr>
        <w:pStyle w:val="ListParagraph"/>
        <w:numPr>
          <w:ilvl w:val="0"/>
          <w:numId w:val="2"/>
        </w:numPr>
        <w:spacing w:after="90" w:line="276"/>
      </w:pPr>
      <w:r>
        <w:t xml:space="preserve">Deployed the full stack (Next.js, FastAPI, LangGraph, PostgreSQL/pgvector, n8n) via Docker to Azure, with end-to-end tracing and evaluation through LangSmith</w:t>
      </w:r>
    </w:p>
    <w:p>
      <w:pPr>
        <w:spacing w:after="160" w:line="276"/>
      </w:pPr>
      <w:r>
        <w:t xml:space="preserve">Replace the bracketed metrics with your actual measured numbers once the eval set is in place — real, specific numbers are what separate this from every other “built a RAG chatbot” bullet on a resume.</w:t>
      </w:r>
    </w:p>
    <w:p>
      <w:pPr>
        <w:pStyle w:val="Heading2"/>
        <w:spacing w:after="160" w:before="320"/>
      </w:pPr>
      <w:r>
        <w:t xml:space="preserve">Interview talking points, mapped to common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85FA5" w:color="auto" w:val="clear"/>
            <w:tcMar>
              <w:top w:type="dxa" w:w="100"/>
              <w:left w:type="dxa" w:w="120"/>
              <w:bottom w:type="dxa" w:w="100"/>
              <w:right w:type="dxa" w:w="120"/>
            </w:tcMar>
            <w:vAlign w:val="center"/>
          </w:tcPr>
          <w:p>
            <w:r>
              <w:rPr>
                <w:b/>
                <w:bCs/>
                <w:color w:val="FFFFFF"/>
                <w:sz w:val="20"/>
                <w:szCs w:val="20"/>
              </w:rPr>
              <w:t xml:space="preserve">Category</w:t>
            </w:r>
          </w:p>
        </w:tc>
        <w:tc>
          <w:tcPr>
            <w:tcW w:type="dxa" w:w="6960"/>
            <w:shd w:fill="185FA5" w:color="auto" w:val="clear"/>
            <w:tcMar>
              <w:top w:type="dxa" w:w="100"/>
              <w:left w:type="dxa" w:w="120"/>
              <w:bottom w:type="dxa" w:w="100"/>
              <w:right w:type="dxa" w:w="120"/>
            </w:tcMar>
            <w:vAlign w:val="center"/>
          </w:tcPr>
          <w:p>
            <w:r>
              <w:rPr>
                <w:b/>
                <w:bCs/>
                <w:color w:val="FFFFFF"/>
                <w:sz w:val="20"/>
                <w:szCs w:val="20"/>
              </w:rPr>
              <w:t xml:space="preserve">What to say</w:t>
            </w:r>
          </w:p>
        </w:tc>
      </w:tr>
      <w:tr>
        <w:tc>
          <w:tcPr>
            <w:tcW w:type="dxa" w:w="2400"/>
            <w:tcMar>
              <w:top w:type="dxa" w:w="100"/>
              <w:left w:type="dxa" w:w="120"/>
              <w:bottom w:type="dxa" w:w="100"/>
              <w:right w:type="dxa" w:w="120"/>
            </w:tcMar>
            <w:vAlign w:val="center"/>
          </w:tcPr>
          <w:p>
            <w:r>
              <w:rPr>
                <w:b w:val="false"/>
                <w:bCs w:val="false"/>
                <w:sz w:val="20"/>
                <w:szCs w:val="20"/>
              </w:rPr>
              <w:t xml:space="preserve">System design</w:t>
            </w:r>
          </w:p>
        </w:tc>
        <w:tc>
          <w:tcPr>
            <w:tcW w:type="dxa" w:w="6960"/>
            <w:tcMar>
              <w:top w:type="dxa" w:w="100"/>
              <w:left w:type="dxa" w:w="120"/>
              <w:bottom w:type="dxa" w:w="100"/>
              <w:right w:type="dxa" w:w="120"/>
            </w:tcMar>
            <w:vAlign w:val="center"/>
          </w:tcPr>
          <w:p>
            <w:r>
              <w:rPr>
                <w:b w:val="false"/>
                <w:bCs w:val="false"/>
                <w:sz w:val="20"/>
                <w:szCs w:val="20"/>
              </w:rPr>
              <w:t xml:space="preserve">Walk through the six-layer architecture (Section 4) and explain why the supervisor pattern was chosen over a network or hierarchical multi-agent topology</w:t>
            </w:r>
          </w:p>
        </w:tc>
      </w:tr>
      <w:tr>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Prompt engineering</w:t>
            </w:r>
          </w:p>
        </w:tc>
        <w:tc>
          <w:tcPr>
            <w:tcW w:type="dxa" w:w="6960"/>
            <w:shd w:fill="F1EFE8" w:color="auto" w:val="clear"/>
            <w:tcMar>
              <w:top w:type="dxa" w:w="100"/>
              <w:left w:type="dxa" w:w="120"/>
              <w:bottom w:type="dxa" w:w="100"/>
              <w:right w:type="dxa" w:w="120"/>
            </w:tcMar>
            <w:vAlign w:val="center"/>
          </w:tcPr>
          <w:p>
            <w:r>
              <w:rPr>
                <w:b w:val="false"/>
                <w:bCs w:val="false"/>
                <w:sz w:val="20"/>
                <w:szCs w:val="20"/>
              </w:rPr>
              <w:t xml:space="preserve">Describe the supervisor's routing prompt, the termination condition, and how you iterated on it after seeing routing loops in LangSmith traces</w:t>
            </w:r>
          </w:p>
        </w:tc>
      </w:tr>
      <w:tr>
        <w:tc>
          <w:tcPr>
            <w:tcW w:type="dxa" w:w="2400"/>
            <w:tcMar>
              <w:top w:type="dxa" w:w="100"/>
              <w:left w:type="dxa" w:w="120"/>
              <w:bottom w:type="dxa" w:w="100"/>
              <w:right w:type="dxa" w:w="120"/>
            </w:tcMar>
            <w:vAlign w:val="center"/>
          </w:tcPr>
          <w:p>
            <w:r>
              <w:rPr>
                <w:b w:val="false"/>
                <w:bCs w:val="false"/>
                <w:sz w:val="20"/>
                <w:szCs w:val="20"/>
              </w:rPr>
              <w:t xml:space="preserve">Agent orchestration</w:t>
            </w:r>
          </w:p>
        </w:tc>
        <w:tc>
          <w:tcPr>
            <w:tcW w:type="dxa" w:w="6960"/>
            <w:tcMar>
              <w:top w:type="dxa" w:w="100"/>
              <w:left w:type="dxa" w:w="120"/>
              <w:bottom w:type="dxa" w:w="100"/>
              <w:right w:type="dxa" w:w="120"/>
            </w:tcMar>
            <w:vAlign w:val="center"/>
          </w:tcPr>
          <w:p>
            <w:r>
              <w:rPr>
                <w:b w:val="false"/>
                <w:bCs w:val="false"/>
                <w:sz w:val="20"/>
                <w:szCs w:val="20"/>
              </w:rPr>
              <w:t xml:space="preserve">Explain the human-in-the-loop interrupt design and walk through the MFA-reset scenario end to end</w:t>
            </w:r>
          </w:p>
        </w:tc>
      </w:tr>
      <w:tr>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Retrieval pipelines</w:t>
            </w:r>
          </w:p>
        </w:tc>
        <w:tc>
          <w:tcPr>
            <w:tcW w:type="dxa" w:w="6960"/>
            <w:shd w:fill="F1EFE8" w:color="auto" w:val="clear"/>
            <w:tcMar>
              <w:top w:type="dxa" w:w="100"/>
              <w:left w:type="dxa" w:w="120"/>
              <w:bottom w:type="dxa" w:w="100"/>
              <w:right w:type="dxa" w:w="120"/>
            </w:tcMar>
            <w:vAlign w:val="center"/>
          </w:tcPr>
          <w:p>
            <w:r>
              <w:rPr>
                <w:b w:val="false"/>
                <w:bCs w:val="false"/>
                <w:sz w:val="20"/>
                <w:szCs w:val="20"/>
              </w:rPr>
              <w:t xml:space="preserve">Describe the chunking strategy decision, the pgvector-vs-Chroma-vs-Databricks tradeoff, and your RAGAS evaluation numbers</w:t>
            </w:r>
          </w:p>
        </w:tc>
      </w:tr>
      <w:tr>
        <w:tc>
          <w:tcPr>
            <w:tcW w:type="dxa" w:w="2400"/>
            <w:tcMar>
              <w:top w:type="dxa" w:w="100"/>
              <w:left w:type="dxa" w:w="120"/>
              <w:bottom w:type="dxa" w:w="100"/>
              <w:right w:type="dxa" w:w="120"/>
            </w:tcMar>
            <w:vAlign w:val="center"/>
          </w:tcPr>
          <w:p>
            <w:r>
              <w:rPr>
                <w:b w:val="false"/>
                <w:bCs w:val="false"/>
                <w:sz w:val="20"/>
                <w:szCs w:val="20"/>
              </w:rPr>
              <w:t xml:space="preserve">Workflow automation</w:t>
            </w:r>
          </w:p>
        </w:tc>
        <w:tc>
          <w:tcPr>
            <w:tcW w:type="dxa" w:w="6960"/>
            <w:tcMar>
              <w:top w:type="dxa" w:w="100"/>
              <w:left w:type="dxa" w:w="120"/>
              <w:bottom w:type="dxa" w:w="100"/>
              <w:right w:type="dxa" w:w="120"/>
            </w:tcMar>
            <w:vAlign w:val="center"/>
          </w:tcPr>
          <w:p>
            <w:r>
              <w:rPr>
                <w:b w:val="false"/>
                <w:bCs w:val="false"/>
                <w:sz w:val="20"/>
                <w:szCs w:val="20"/>
              </w:rPr>
              <w:t xml:space="preserve">Explain the n8n/LangGraph boundary — systems vs. reasoning — and what n8n specifically handles</w:t>
            </w:r>
          </w:p>
        </w:tc>
      </w:tr>
      <w:tr>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Deployment</w:t>
            </w:r>
          </w:p>
        </w:tc>
        <w:tc>
          <w:tcPr>
            <w:tcW w:type="dxa" w:w="6960"/>
            <w:shd w:fill="F1EFE8" w:color="auto" w:val="clear"/>
            <w:tcMar>
              <w:top w:type="dxa" w:w="100"/>
              <w:left w:type="dxa" w:w="120"/>
              <w:bottom w:type="dxa" w:w="100"/>
              <w:right w:type="dxa" w:w="120"/>
            </w:tcMar>
            <w:vAlign w:val="center"/>
          </w:tcPr>
          <w:p>
            <w:r>
              <w:rPr>
                <w:b w:val="false"/>
                <w:bCs w:val="false"/>
                <w:sz w:val="20"/>
                <w:szCs w:val="20"/>
              </w:rPr>
              <w:t xml:space="preserve">Walk through the Docker/Azure setup and why those choices over alternatives</w:t>
            </w:r>
          </w:p>
        </w:tc>
      </w:tr>
      <w:tr>
        <w:tc>
          <w:tcPr>
            <w:tcW w:type="dxa" w:w="2400"/>
            <w:tcMar>
              <w:top w:type="dxa" w:w="100"/>
              <w:left w:type="dxa" w:w="120"/>
              <w:bottom w:type="dxa" w:w="100"/>
              <w:right w:type="dxa" w:w="120"/>
            </w:tcMar>
            <w:vAlign w:val="center"/>
          </w:tcPr>
          <w:p>
            <w:r>
              <w:rPr>
                <w:b w:val="false"/>
                <w:bCs w:val="false"/>
                <w:sz w:val="20"/>
                <w:szCs w:val="20"/>
              </w:rPr>
              <w:t xml:space="preserve">Monitoring</w:t>
            </w:r>
          </w:p>
        </w:tc>
        <w:tc>
          <w:tcPr>
            <w:tcW w:type="dxa" w:w="6960"/>
            <w:tcMar>
              <w:top w:type="dxa" w:w="100"/>
              <w:left w:type="dxa" w:w="120"/>
              <w:bottom w:type="dxa" w:w="100"/>
              <w:right w:type="dxa" w:w="120"/>
            </w:tcMar>
            <w:vAlign w:val="center"/>
          </w:tcPr>
          <w:p>
            <w:r>
              <w:rPr>
                <w:b w:val="false"/>
                <w:bCs w:val="false"/>
                <w:sz w:val="20"/>
                <w:szCs w:val="20"/>
              </w:rPr>
              <w:t xml:space="preserve">Show a real LangSmith trace and explain what metrics you track and why</w:t>
            </w:r>
          </w:p>
        </w:tc>
      </w:tr>
      <w:tr>
        <w:tc>
          <w:tcPr>
            <w:tcW w:type="dxa" w:w="2400"/>
            <w:shd w:fill="F1EFE8" w:color="auto" w:val="clear"/>
            <w:tcMar>
              <w:top w:type="dxa" w:w="100"/>
              <w:left w:type="dxa" w:w="120"/>
              <w:bottom w:type="dxa" w:w="100"/>
              <w:right w:type="dxa" w:w="120"/>
            </w:tcMar>
            <w:vAlign w:val="center"/>
          </w:tcPr>
          <w:p>
            <w:r>
              <w:rPr>
                <w:b w:val="false"/>
                <w:bCs w:val="false"/>
                <w:sz w:val="20"/>
                <w:szCs w:val="20"/>
              </w:rPr>
              <w:t xml:space="preserve">Safety / security</w:t>
            </w:r>
          </w:p>
        </w:tc>
        <w:tc>
          <w:tcPr>
            <w:tcW w:type="dxa" w:w="6960"/>
            <w:shd w:fill="F1EFE8" w:color="auto" w:val="clear"/>
            <w:tcMar>
              <w:top w:type="dxa" w:w="100"/>
              <w:left w:type="dxa" w:w="120"/>
              <w:bottom w:type="dxa" w:w="100"/>
              <w:right w:type="dxa" w:w="120"/>
            </w:tcMar>
            <w:vAlign w:val="center"/>
          </w:tcPr>
          <w:p>
            <w:r>
              <w:rPr>
                <w:b w:val="false"/>
                <w:bCs w:val="false"/>
                <w:sz w:val="20"/>
                <w:szCs w:val="20"/>
              </w:rPr>
              <w:t xml:space="preserve">Name the failure modes you designed against (Section 11) and the specific mitigation for each</w:t>
            </w:r>
          </w:p>
        </w:tc>
      </w:tr>
    </w:tbl>
    <w:p>
      <w:pPr>
        <w:pStyle w:val="Heading1"/>
        <w:spacing w:after="200" w:before="480"/>
      </w:pPr>
      <w:r>
        <w:t xml:space="preserve">16. Appendix: sources and further reading</w:t>
      </w:r>
    </w:p>
    <w:p>
      <w:pPr>
        <w:spacing w:after="160" w:line="276"/>
      </w:pPr>
      <w:r>
        <w:t xml:space="preserve">Research pulled from current (2026) industry write-ups, official documentation, and published security/reliability research. Useful starting points if you want to go deeper on any section:</w:t>
      </w:r>
    </w:p>
    <w:p>
      <w:pPr>
        <w:pStyle w:val="ListParagraph"/>
        <w:numPr>
          <w:ilvl w:val="0"/>
          <w:numId w:val="2"/>
        </w:numPr>
        <w:spacing w:after="90" w:line="276"/>
      </w:pPr>
      <w:r>
        <w:t xml:space="preserve">LangGraph supervisor pattern and multi-agent architecture choices — LangChain blog and production write-ups (mid-2026)</w:t>
      </w:r>
    </w:p>
    <w:p>
      <w:pPr>
        <w:pStyle w:val="ListParagraph"/>
        <w:numPr>
          <w:ilvl w:val="0"/>
          <w:numId w:val="2"/>
        </w:numPr>
        <w:spacing w:after="90" w:line="276"/>
      </w:pPr>
      <w:r>
        <w:t xml:space="preserve">LangGraph human-in-the-loop / interrupt() pattern — official LangChain blog announcement and follow-up tutorials</w:t>
      </w:r>
    </w:p>
    <w:p>
      <w:pPr>
        <w:pStyle w:val="ListParagraph"/>
        <w:numPr>
          <w:ilvl w:val="0"/>
          <w:numId w:val="2"/>
        </w:numPr>
        <w:spacing w:after="90" w:line="276"/>
      </w:pPr>
      <w:r>
        <w:t xml:space="preserve">Databricks Unity AI Gateway — official Databricks documentation (docs.databricks.com/aws/en/ai-gateway), including the April 2026 governance expansion announcement</w:t>
      </w:r>
    </w:p>
    <w:p>
      <w:pPr>
        <w:pStyle w:val="ListParagraph"/>
        <w:numPr>
          <w:ilvl w:val="0"/>
          <w:numId w:val="2"/>
        </w:numPr>
        <w:spacing w:after="90" w:line="276"/>
      </w:pPr>
      <w:r>
        <w:t xml:space="preserve">n8n AI Agent node and LangChain integration — n8n 2026 release notes and community guides</w:t>
      </w:r>
    </w:p>
    <w:p>
      <w:pPr>
        <w:pStyle w:val="ListParagraph"/>
        <w:numPr>
          <w:ilvl w:val="0"/>
          <w:numId w:val="2"/>
        </w:numPr>
        <w:spacing w:after="90" w:line="276"/>
      </w:pPr>
      <w:r>
        <w:t xml:space="preserve">RAG chunking strategy benchmarks — 2026 practitioner guides comparing fixed-size, recursive, and semantic chunking</w:t>
      </w:r>
    </w:p>
    <w:p>
      <w:pPr>
        <w:pStyle w:val="ListParagraph"/>
        <w:numPr>
          <w:ilvl w:val="0"/>
          <w:numId w:val="2"/>
        </w:numPr>
        <w:spacing w:after="90" w:line="276"/>
      </w:pPr>
      <w:r>
        <w:t xml:space="preserve">Multi-agent failure mode taxonomy and production reliability statistics — 2026 industry analyses (Galileo, TechAhead, and related enterprise AI reliability research)</w:t>
      </w:r>
    </w:p>
    <w:p>
      <w:pPr>
        <w:pStyle w:val="ListParagraph"/>
        <w:numPr>
          <w:ilvl w:val="0"/>
          <w:numId w:val="2"/>
        </w:numPr>
        <w:spacing w:after="90" w:line="276"/>
      </w:pPr>
      <w:r>
        <w:t xml:space="preserve">LangSmith observability and evaluation features — official LangChain documentation and 2026 platform comparisons</w:t>
      </w:r>
    </w:p>
    <w:p>
      <w:pPr>
        <w:pStyle w:val="ListParagraph"/>
        <w:numPr>
          <w:ilvl w:val="0"/>
          <w:numId w:val="2"/>
        </w:numPr>
        <w:spacing w:after="90" w:line="276"/>
      </w:pPr>
      <w:r>
        <w:t xml:space="preserve">Prompt injection and RAG security — OWASP Top 10 for LLM Applications (LLM01) and 2026 enterprise security research</w:t>
      </w:r>
    </w:p>
    <w:p>
      <w:pPr>
        <w:pStyle w:val="ListParagraph"/>
        <w:numPr>
          <w:ilvl w:val="0"/>
          <w:numId w:val="2"/>
        </w:numPr>
        <w:spacing w:after="90" w:line="276"/>
      </w:pPr>
      <w:r>
        <w:t xml:space="preserve">Vector database comparison (Chroma, pgvector, Pinecone, Qdrant) — 2026 independent benchmarking write-ups</w:t>
      </w:r>
    </w:p>
    <w:p>
      <w:pPr>
        <w:pStyle w:val="ListParagraph"/>
        <w:numPr>
          <w:ilvl w:val="0"/>
          <w:numId w:val="2"/>
        </w:numPr>
        <w:spacing w:after="90" w:line="276"/>
      </w:pPr>
      <w:r>
        <w:t xml:space="preserve">RAGAS evaluation framework — faithfulness, answer relevancy, context precision/recall metrics</w:t>
      </w:r>
    </w:p>
    <w:p>
      <w:pPr>
        <w:pStyle w:val="ListParagraph"/>
        <w:numPr>
          <w:ilvl w:val="0"/>
          <w:numId w:val="2"/>
        </w:numPr>
        <w:spacing w:after="90" w:line="276"/>
      </w:pPr>
      <w:r>
        <w:t xml:space="preserve">AI engineering portfolio and hiring signal research — 2026 guides on what recruiters and hiring managers scan for</w:t>
      </w:r>
    </w:p>
    <w:p>
      <w:pPr>
        <w:spacing w:after="160" w:line="276"/>
      </w:pPr>
      <w:r>
        <w:t xml:space="preserve"/>
      </w:r>
    </w:p>
    <w:p>
      <w:pPr>
        <w:spacing w:after="160" w:line="276"/>
      </w:pPr>
      <w:r>
        <w:t xml:space="preserve">This document was researched and compiled to support project planning. Verify any fast-moving product details (especially Databricks AI Gateway's Beta status and pricing) against current documentation before finalizing architecture decisions, since these can change quickly.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Enterprise AI Operations Copilot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2026-08-12T00:10:09.506Z</dcterms:created>
  <dcterms:modified xsi:type="dcterms:W3CDTF">2026-08-12T00:10:09.522Z</dcterms:modified>
</cp:coreProperties>
</file>

<file path=docProps/custom.xml><?xml version="1.0" encoding="utf-8"?>
<Properties xmlns="http://schemas.openxmlformats.org/officeDocument/2006/custom-properties" xmlns:vt="http://schemas.openxmlformats.org/officeDocument/2006/docPropsVTypes"/>
</file>