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5B9BD5"/>
          <w:sz w:val="26"/>
        </w:rPr>
        <w:t>GREENIUM PROJECT</w:t>
      </w:r>
    </w:p>
    <w:p>
      <w:pPr>
        <w:pStyle w:val="Title"/>
        <w:jc w:val="center"/>
      </w:pPr>
      <w:r>
        <w:t>Statistical Tests, Bootstrapping,</w:t>
        <w:br/>
        <w:t>Reliability, Validity and Model Audit</w:t>
      </w:r>
    </w:p>
    <w:p>
      <w:pPr>
        <w:pStyle w:val="Subtitle"/>
        <w:jc w:val="center"/>
      </w:pPr>
      <w:r>
        <w:t>Consolidated documentation of the analyses performed on 9 October 2026</w:t>
      </w:r>
    </w:p>
    <w:p>
      <w:pPr>
        <w:spacing w:before="700"/>
      </w:pPr>
    </w:p>
    <w:tbl>
      <w:tblPr>
        <w:tblStyle w:val="TableGrid"/>
        <w:tblW w:type="auto" w:w="0"/>
        <w:jc w:val="center"/>
        <w:tblLook w:firstColumn="1" w:firstRow="1" w:lastColumn="0" w:lastRow="0" w:noHBand="0" w:noVBand="1" w:val="04A0"/>
      </w:tblPr>
      <w:tblGrid>
        <w:gridCol w:w="10080"/>
      </w:tblGrid>
      <w:tr>
        <w:trPr>
          <w:cantSplit/>
        </w:trPr>
        <w:tc>
          <w:tcPr>
            <w:tcW w:type="dxa" w:w="10080"/>
            <w:shd w:fill="EAF3F8"/>
            <w:tcMar>
              <w:top w:w="120" w:type="dxa"/>
              <w:start w:w="140" w:type="dxa"/>
              <w:bottom w:w="120" w:type="dxa"/>
              <w:end w:w="140" w:type="dxa"/>
            </w:tcMar>
          </w:tcPr>
          <w:p>
            <w:r>
              <w:rPr>
                <w:b/>
                <w:color w:val="1F4E79"/>
                <w:sz w:val="21"/>
              </w:rPr>
              <w:t>Purpose of this document</w:t>
              <w:br/>
            </w:r>
            <w:r>
              <w:rPr>
                <w:sz w:val="19"/>
              </w:rPr>
              <w:t>To create a single reproducible record of the measurement changes, delta-model tests, reliability and validity diagnostics, collinearity checks, statistical-significance checks, common-method-bias diagnostics, bootstrapping, robustness analyses, iterative corrections, and the final preferred model specification developed today.</w:t>
            </w:r>
          </w:p>
        </w:tc>
      </w:tr>
    </w:tbl>
    <w:p>
      <w:pPr>
        <w:spacing w:after="40"/>
      </w:pPr>
    </w:p>
    <w:p>
      <w:pPr>
        <w:jc w:val="center"/>
      </w:pPr>
      <w:r>
        <w:rPr>
          <w:b/>
        </w:rPr>
        <w:t>Primary dataset: all_currencies_combined.csv</w:t>
        <w:br/>
      </w:r>
      <w:r>
        <w:t>Final preferred common sample: N = 6,600 bonds; 416 green bonds; 477 issuers</w:t>
      </w:r>
    </w:p>
    <w:p>
      <w:r>
        <w:br w:type="page"/>
      </w:r>
    </w:p>
    <w:p>
      <w:pPr>
        <w:pStyle w:val="Heading1"/>
        <w:keepNext/>
      </w:pPr>
      <w:r>
        <w:t>Contents</w:t>
      </w:r>
    </w:p>
    <w:p>
      <w:pPr>
        <w:spacing w:after="40"/>
        <w:ind w:left="288"/>
      </w:pPr>
      <w:r>
        <w:t>1. Executive summary</w:t>
      </w:r>
    </w:p>
    <w:p>
      <w:pPr>
        <w:spacing w:after="40"/>
        <w:ind w:left="288"/>
      </w:pPr>
      <w:r>
        <w:t>2. Data, baseline model and analysis principles</w:t>
      </w:r>
    </w:p>
    <w:p>
      <w:pPr>
        <w:spacing w:after="40"/>
        <w:ind w:left="288"/>
      </w:pPr>
      <w:r>
        <w:t>3. Workstream A: Delta-scale measurement change</w:t>
      </w:r>
    </w:p>
    <w:p>
      <w:pPr>
        <w:spacing w:after="40"/>
        <w:ind w:left="288"/>
      </w:pPr>
      <w:r>
        <w:t>4. Reliability and validity tests for the delta specification</w:t>
      </w:r>
    </w:p>
    <w:p>
      <w:pPr>
        <w:spacing w:after="40"/>
        <w:ind w:left="288"/>
      </w:pPr>
      <w:r>
        <w:t>5. Bootstrap analysis of the delta specification</w:t>
      </w:r>
    </w:p>
    <w:p>
      <w:pPr>
        <w:spacing w:after="40"/>
        <w:ind w:left="288"/>
      </w:pPr>
      <w:r>
        <w:t>6. Iterative audit and rectifications</w:t>
      </w:r>
    </w:p>
    <w:p>
      <w:pPr>
        <w:spacing w:after="40"/>
        <w:ind w:left="288"/>
      </w:pPr>
      <w:r>
        <w:t>7. Final preferred model</w:t>
      </w:r>
    </w:p>
    <w:p>
      <w:pPr>
        <w:spacing w:after="40"/>
        <w:ind w:left="288"/>
      </w:pPr>
      <w:r>
        <w:t>8. Final reliability and validity assessment</w:t>
      </w:r>
    </w:p>
    <w:p>
      <w:pPr>
        <w:spacing w:after="40"/>
        <w:ind w:left="288"/>
      </w:pPr>
      <w:r>
        <w:t>9. Collinearity diagnostics</w:t>
      </w:r>
    </w:p>
    <w:p>
      <w:pPr>
        <w:spacing w:after="40"/>
        <w:ind w:left="288"/>
      </w:pPr>
      <w:r>
        <w:t>10. Statistical-significance assessment</w:t>
      </w:r>
    </w:p>
    <w:p>
      <w:pPr>
        <w:spacing w:after="40"/>
        <w:ind w:left="288"/>
      </w:pPr>
      <w:r>
        <w:t>11. Final 5,000-replication bootstrap robustness check</w:t>
      </w:r>
    </w:p>
    <w:p>
      <w:pPr>
        <w:spacing w:after="40"/>
        <w:ind w:left="288"/>
      </w:pPr>
      <w:r>
        <w:t>12. Common method bias assessment</w:t>
      </w:r>
    </w:p>
    <w:p>
      <w:pPr>
        <w:spacing w:after="40"/>
        <w:ind w:left="288"/>
      </w:pPr>
      <w:r>
        <w:t>13. Interaction and sensitivity analyses</w:t>
      </w:r>
    </w:p>
    <w:p>
      <w:pPr>
        <w:spacing w:after="40"/>
        <w:ind w:left="288"/>
      </w:pPr>
      <w:r>
        <w:t>14. Final hypothesis status</w:t>
      </w:r>
    </w:p>
    <w:p>
      <w:pPr>
        <w:spacing w:after="40"/>
        <w:ind w:left="288"/>
      </w:pPr>
      <w:r>
        <w:t>15. Quality-control and reproducibility checks</w:t>
      </w:r>
    </w:p>
    <w:p>
      <w:pPr>
        <w:spacing w:after="40"/>
        <w:ind w:left="288"/>
      </w:pPr>
      <w:r>
        <w:t>16. Recommended reporting language</w:t>
      </w:r>
    </w:p>
    <w:p>
      <w:pPr>
        <w:spacing w:after="40"/>
        <w:ind w:left="288"/>
      </w:pPr>
      <w:r>
        <w:t>Appendix A. Decision log and output files</w:t>
      </w:r>
    </w:p>
    <w:p>
      <w:r>
        <w:br w:type="page"/>
      </w:r>
    </w:p>
    <w:p>
      <w:pPr>
        <w:pStyle w:val="Heading1"/>
        <w:keepNext/>
      </w:pPr>
      <w:r>
        <w:t>1. Executive summary</w:t>
      </w:r>
    </w:p>
    <w:tbl>
      <w:tblPr>
        <w:tblStyle w:val="TableGrid"/>
        <w:tblW w:type="auto" w:w="0"/>
        <w:jc w:val="center"/>
        <w:tblLook w:firstColumn="1" w:firstRow="1" w:lastColumn="0" w:lastRow="0" w:noHBand="0" w:noVBand="1" w:val="04A0"/>
      </w:tblPr>
      <w:tblGrid>
        <w:gridCol w:w="10080"/>
      </w:tblGrid>
      <w:tr>
        <w:trPr>
          <w:cantSplit/>
        </w:trPr>
        <w:tc>
          <w:tcPr>
            <w:tcW w:type="dxa" w:w="10080"/>
            <w:shd w:fill="EAF3F8"/>
            <w:tcMar>
              <w:top w:w="120" w:type="dxa"/>
              <w:start w:w="140" w:type="dxa"/>
              <w:bottom w:w="120" w:type="dxa"/>
              <w:end w:w="140" w:type="dxa"/>
            </w:tcMar>
          </w:tcPr>
          <w:p>
            <w:r>
              <w:rPr>
                <w:b/>
                <w:color w:val="1F4E79"/>
                <w:sz w:val="21"/>
              </w:rPr>
              <w:t>Final methodological position</w:t>
              <w:br/>
            </w:r>
            <w:r>
              <w:rPr>
                <w:sz w:val="19"/>
              </w:rPr>
              <w:t>The work began with a requested change from absolute ESG and credit-rating levels to delta/change measures. Those delta measures were implemented and tested, but subsequent reliability, temporal-validity and data-audit checks showed that the source data do not support interpreting IssueYear as the measurement date of ESG or ratings. The delta specification was therefore demoted to exploratory robustness. The final preferred specification uses standardized ESG level and a defensible Investment Grade indicator, estimated with robust weighting and clustered inference.</w:t>
            </w:r>
          </w:p>
        </w:tc>
      </w:tr>
    </w:tbl>
    <w:p>
      <w:pPr>
        <w:spacing w:after="40"/>
      </w:pPr>
    </w:p>
    <w:tbl>
      <w:tblPr>
        <w:tblStyle w:val="TableGrid"/>
        <w:tblW w:type="auto" w:w="0"/>
        <w:jc w:val="center"/>
        <w:tblLook w:firstColumn="1" w:firstRow="1" w:lastColumn="0" w:lastRow="0" w:noHBand="0" w:noVBand="1" w:val="04A0"/>
      </w:tblPr>
      <w:tblGrid>
        <w:gridCol w:w="5040"/>
        <w:gridCol w:w="5040"/>
      </w:tblGrid>
      <w:tr>
        <w:trPr>
          <w:cantSplit/>
        </w:trPr>
        <w:tc>
          <w:tcPr>
            <w:tcW w:type="dxa" w:w="3168"/>
            <w:shd w:fill="D9EAF7"/>
            <w:vAlign w:val="center"/>
          </w:tcPr>
          <w:p>
            <w:pPr>
              <w:jc w:val="center"/>
            </w:pPr>
            <w:r>
              <w:rPr>
                <w:b/>
                <w:sz w:val="17"/>
              </w:rPr>
              <w:t>Item</w:t>
            </w:r>
          </w:p>
        </w:tc>
        <w:tc>
          <w:tcPr>
            <w:tcW w:type="dxa" w:w="6912"/>
            <w:shd w:fill="D9EAF7"/>
            <w:vAlign w:val="center"/>
          </w:tcPr>
          <w:p>
            <w:pPr>
              <w:jc w:val="center"/>
            </w:pPr>
            <w:r>
              <w:rPr>
                <w:b/>
                <w:sz w:val="17"/>
              </w:rPr>
              <w:t>Final result</w:t>
            </w:r>
          </w:p>
        </w:tc>
      </w:tr>
      <w:tr>
        <w:trPr>
          <w:cantSplit/>
        </w:trPr>
        <w:tc>
          <w:tcPr>
            <w:tcW w:type="dxa" w:w="3168"/>
            <w:vAlign w:val="center"/>
            <w:tcMar>
              <w:top w:w="80" w:type="dxa"/>
              <w:start w:w="80" w:type="dxa"/>
              <w:bottom w:w="80" w:type="dxa"/>
              <w:end w:w="80" w:type="dxa"/>
            </w:tcMar>
          </w:tcPr>
          <w:p>
            <w:r>
              <w:rPr>
                <w:b/>
                <w:sz w:val="17"/>
              </w:rPr>
              <w:t>Primary outcome</w:t>
            </w:r>
          </w:p>
        </w:tc>
        <w:tc>
          <w:tcPr>
            <w:tcW w:type="dxa" w:w="6912"/>
            <w:vAlign w:val="center"/>
            <w:tcMar>
              <w:top w:w="80" w:type="dxa"/>
              <w:start w:w="80" w:type="dxa"/>
              <w:bottom w:w="80" w:type="dxa"/>
              <w:end w:w="80" w:type="dxa"/>
            </w:tcMar>
          </w:tcPr>
          <w:p>
            <w:r>
              <w:rPr>
                <w:sz w:val="17"/>
              </w:rPr>
              <w:t>Yield to Maturity (YTM), with validity filter -100% to +100%</w:t>
            </w:r>
          </w:p>
        </w:tc>
      </w:tr>
      <w:tr>
        <w:trPr>
          <w:cantSplit/>
        </w:trPr>
        <w:tc>
          <w:tcPr>
            <w:tcW w:type="dxa" w:w="3168"/>
            <w:vAlign w:val="center"/>
            <w:tcMar>
              <w:top w:w="80" w:type="dxa"/>
              <w:start w:w="80" w:type="dxa"/>
              <w:bottom w:w="80" w:type="dxa"/>
              <w:end w:w="80" w:type="dxa"/>
            </w:tcMar>
          </w:tcPr>
          <w:p>
            <w:r>
              <w:rPr>
                <w:b/>
                <w:sz w:val="17"/>
              </w:rPr>
              <w:t>Final common sample</w:t>
            </w:r>
          </w:p>
        </w:tc>
        <w:tc>
          <w:tcPr>
            <w:tcW w:type="dxa" w:w="6912"/>
            <w:vAlign w:val="center"/>
            <w:tcMar>
              <w:top w:w="80" w:type="dxa"/>
              <w:start w:w="80" w:type="dxa"/>
              <w:bottom w:w="80" w:type="dxa"/>
              <w:end w:w="80" w:type="dxa"/>
            </w:tcMar>
          </w:tcPr>
          <w:p>
            <w:r>
              <w:rPr>
                <w:sz w:val="17"/>
              </w:rPr>
              <w:t>6,600 bonds; 416 green; 477 issuers</w:t>
            </w:r>
          </w:p>
        </w:tc>
      </w:tr>
      <w:tr>
        <w:trPr>
          <w:cantSplit/>
        </w:trPr>
        <w:tc>
          <w:tcPr>
            <w:tcW w:type="dxa" w:w="3168"/>
            <w:vAlign w:val="center"/>
            <w:tcMar>
              <w:top w:w="80" w:type="dxa"/>
              <w:start w:w="80" w:type="dxa"/>
              <w:bottom w:w="80" w:type="dxa"/>
              <w:end w:w="80" w:type="dxa"/>
            </w:tcMar>
          </w:tcPr>
          <w:p>
            <w:r>
              <w:rPr>
                <w:b/>
                <w:sz w:val="17"/>
              </w:rPr>
              <w:t>Preferred estimator</w:t>
            </w:r>
          </w:p>
        </w:tc>
        <w:tc>
          <w:tcPr>
            <w:tcW w:type="dxa" w:w="6912"/>
            <w:vAlign w:val="center"/>
            <w:tcMar>
              <w:top w:w="80" w:type="dxa"/>
              <w:start w:w="80" w:type="dxa"/>
              <w:bottom w:w="80" w:type="dxa"/>
              <w:end w:w="80" w:type="dxa"/>
            </w:tcMar>
          </w:tcPr>
          <w:p>
            <w:r>
              <w:rPr>
                <w:sz w:val="17"/>
              </w:rPr>
              <w:t>Huber robust weights + issuer-clustered WLS inference</w:t>
            </w:r>
          </w:p>
        </w:tc>
      </w:tr>
      <w:tr>
        <w:trPr>
          <w:cantSplit/>
        </w:trPr>
        <w:tc>
          <w:tcPr>
            <w:tcW w:type="dxa" w:w="3168"/>
            <w:vAlign w:val="center"/>
            <w:tcMar>
              <w:top w:w="80" w:type="dxa"/>
              <w:start w:w="80" w:type="dxa"/>
              <w:bottom w:w="80" w:type="dxa"/>
              <w:end w:w="80" w:type="dxa"/>
            </w:tcMar>
          </w:tcPr>
          <w:p>
            <w:r>
              <w:rPr>
                <w:b/>
                <w:sz w:val="17"/>
              </w:rPr>
              <w:t>Additional inference check</w:t>
            </w:r>
          </w:p>
        </w:tc>
        <w:tc>
          <w:tcPr>
            <w:tcW w:type="dxa" w:w="6912"/>
            <w:vAlign w:val="center"/>
            <w:tcMar>
              <w:top w:w="80" w:type="dxa"/>
              <w:start w:w="80" w:type="dxa"/>
              <w:bottom w:w="80" w:type="dxa"/>
              <w:end w:w="80" w:type="dxa"/>
            </w:tcMar>
          </w:tcPr>
          <w:p>
            <w:r>
              <w:rPr>
                <w:sz w:val="17"/>
              </w:rPr>
              <w:t>Two-way clustering: issuer and Currency × IssueYear</w:t>
            </w:r>
          </w:p>
        </w:tc>
      </w:tr>
      <w:tr>
        <w:trPr>
          <w:cantSplit/>
        </w:trPr>
        <w:tc>
          <w:tcPr>
            <w:tcW w:type="dxa" w:w="3168"/>
            <w:vAlign w:val="center"/>
            <w:tcMar>
              <w:top w:w="80" w:type="dxa"/>
              <w:start w:w="80" w:type="dxa"/>
              <w:bottom w:w="80" w:type="dxa"/>
              <w:end w:w="80" w:type="dxa"/>
            </w:tcMar>
          </w:tcPr>
          <w:p>
            <w:r>
              <w:rPr>
                <w:b/>
                <w:sz w:val="17"/>
              </w:rPr>
              <w:t>Fixed effects</w:t>
            </w:r>
          </w:p>
        </w:tc>
        <w:tc>
          <w:tcPr>
            <w:tcW w:type="dxa" w:w="6912"/>
            <w:vAlign w:val="center"/>
            <w:tcMar>
              <w:top w:w="80" w:type="dxa"/>
              <w:start w:w="80" w:type="dxa"/>
              <w:bottom w:w="80" w:type="dxa"/>
              <w:end w:w="80" w:type="dxa"/>
            </w:tcMar>
          </w:tcPr>
          <w:p>
            <w:r>
              <w:rPr>
                <w:sz w:val="17"/>
              </w:rPr>
              <w:t>Currency × IssueYear, Seniority, Instrument</w:t>
            </w:r>
          </w:p>
        </w:tc>
      </w:tr>
      <w:tr>
        <w:trPr>
          <w:cantSplit/>
        </w:trPr>
        <w:tc>
          <w:tcPr>
            <w:tcW w:type="dxa" w:w="3168"/>
            <w:vAlign w:val="center"/>
            <w:tcMar>
              <w:top w:w="80" w:type="dxa"/>
              <w:start w:w="80" w:type="dxa"/>
              <w:bottom w:w="80" w:type="dxa"/>
              <w:end w:w="80" w:type="dxa"/>
            </w:tcMar>
          </w:tcPr>
          <w:p>
            <w:r>
              <w:rPr>
                <w:b/>
                <w:sz w:val="17"/>
              </w:rPr>
              <w:t>H1: Green coefficient</w:t>
            </w:r>
          </w:p>
        </w:tc>
        <w:tc>
          <w:tcPr>
            <w:tcW w:type="dxa" w:w="6912"/>
            <w:vAlign w:val="center"/>
            <w:tcMar>
              <w:top w:w="80" w:type="dxa"/>
              <w:start w:w="80" w:type="dxa"/>
              <w:bottom w:w="80" w:type="dxa"/>
              <w:end w:w="80" w:type="dxa"/>
            </w:tcMar>
          </w:tcPr>
          <w:p>
            <w:r>
              <w:rPr>
                <w:sz w:val="17"/>
              </w:rPr>
              <w:t>+1.81 bps; p = 0.6555; not supported</w:t>
            </w:r>
          </w:p>
        </w:tc>
      </w:tr>
      <w:tr>
        <w:trPr>
          <w:cantSplit/>
        </w:trPr>
        <w:tc>
          <w:tcPr>
            <w:tcW w:type="dxa" w:w="3168"/>
            <w:vAlign w:val="center"/>
            <w:tcMar>
              <w:top w:w="80" w:type="dxa"/>
              <w:start w:w="80" w:type="dxa"/>
              <w:bottom w:w="80" w:type="dxa"/>
              <w:end w:w="80" w:type="dxa"/>
            </w:tcMar>
          </w:tcPr>
          <w:p>
            <w:r>
              <w:rPr>
                <w:b/>
                <w:sz w:val="17"/>
              </w:rPr>
              <w:t>H2: ESG</w:t>
            </w:r>
          </w:p>
        </w:tc>
        <w:tc>
          <w:tcPr>
            <w:tcW w:type="dxa" w:w="6912"/>
            <w:vAlign w:val="center"/>
            <w:tcMar>
              <w:top w:w="80" w:type="dxa"/>
              <w:start w:w="80" w:type="dxa"/>
              <w:bottom w:w="80" w:type="dxa"/>
              <w:end w:w="80" w:type="dxa"/>
            </w:tcMar>
          </w:tcPr>
          <w:p>
            <w:r>
              <w:rPr>
                <w:sz w:val="17"/>
              </w:rPr>
              <w:t>-3.06 bps per 1 SD; p = 0.0330; two-way p = 0.0480; bootstrap p = 0.0308</w:t>
            </w:r>
          </w:p>
        </w:tc>
      </w:tr>
      <w:tr>
        <w:trPr>
          <w:cantSplit/>
        </w:trPr>
        <w:tc>
          <w:tcPr>
            <w:tcW w:type="dxa" w:w="3168"/>
            <w:vAlign w:val="center"/>
            <w:tcMar>
              <w:top w:w="80" w:type="dxa"/>
              <w:start w:w="80" w:type="dxa"/>
              <w:bottom w:w="80" w:type="dxa"/>
              <w:end w:w="80" w:type="dxa"/>
            </w:tcMar>
          </w:tcPr>
          <w:p>
            <w:r>
              <w:rPr>
                <w:b/>
                <w:sz w:val="17"/>
              </w:rPr>
              <w:t>H3: Credit quality</w:t>
            </w:r>
          </w:p>
        </w:tc>
        <w:tc>
          <w:tcPr>
            <w:tcW w:type="dxa" w:w="6912"/>
            <w:vAlign w:val="center"/>
            <w:tcMar>
              <w:top w:w="80" w:type="dxa"/>
              <w:start w:w="80" w:type="dxa"/>
              <w:bottom w:w="80" w:type="dxa"/>
              <w:end w:w="80" w:type="dxa"/>
            </w:tcMar>
          </w:tcPr>
          <w:p>
            <w:r>
              <w:rPr>
                <w:sz w:val="17"/>
              </w:rPr>
              <w:t>Investment Grade: -55.22 bps; p &lt; 0.000001; strongly supported</w:t>
            </w:r>
          </w:p>
        </w:tc>
      </w:tr>
      <w:tr>
        <w:trPr>
          <w:cantSplit/>
        </w:trPr>
        <w:tc>
          <w:tcPr>
            <w:tcW w:type="dxa" w:w="3168"/>
            <w:vAlign w:val="center"/>
            <w:tcMar>
              <w:top w:w="80" w:type="dxa"/>
              <w:start w:w="80" w:type="dxa"/>
              <w:bottom w:w="80" w:type="dxa"/>
              <w:end w:w="80" w:type="dxa"/>
            </w:tcMar>
          </w:tcPr>
          <w:p>
            <w:r>
              <w:rPr>
                <w:b/>
                <w:sz w:val="17"/>
              </w:rPr>
              <w:t>Collinearity</w:t>
            </w:r>
          </w:p>
        </w:tc>
        <w:tc>
          <w:tcPr>
            <w:tcW w:type="dxa" w:w="6912"/>
            <w:vAlign w:val="center"/>
            <w:tcMar>
              <w:top w:w="80" w:type="dxa"/>
              <w:start w:w="80" w:type="dxa"/>
              <w:bottom w:w="80" w:type="dxa"/>
              <w:end w:w="80" w:type="dxa"/>
            </w:tcMar>
          </w:tcPr>
          <w:p>
            <w:r>
              <w:rPr>
                <w:sz w:val="17"/>
              </w:rPr>
              <w:t>No serious problem; max VIF 3.33; Green-Certified r = 0.835</w:t>
            </w:r>
          </w:p>
        </w:tc>
      </w:tr>
      <w:tr>
        <w:trPr>
          <w:cantSplit/>
        </w:trPr>
        <w:tc>
          <w:tcPr>
            <w:tcW w:type="dxa" w:w="3168"/>
            <w:vAlign w:val="center"/>
            <w:tcMar>
              <w:top w:w="80" w:type="dxa"/>
              <w:start w:w="80" w:type="dxa"/>
              <w:bottom w:w="80" w:type="dxa"/>
              <w:end w:w="80" w:type="dxa"/>
            </w:tcMar>
          </w:tcPr>
          <w:p>
            <w:r>
              <w:rPr>
                <w:b/>
                <w:sz w:val="17"/>
              </w:rPr>
              <w:t>Common method bias</w:t>
            </w:r>
          </w:p>
        </w:tc>
        <w:tc>
          <w:tcPr>
            <w:tcW w:type="dxa" w:w="6912"/>
            <w:vAlign w:val="center"/>
            <w:tcMar>
              <w:top w:w="80" w:type="dxa"/>
              <w:start w:w="80" w:type="dxa"/>
              <w:bottom w:w="80" w:type="dxa"/>
              <w:end w:w="80" w:type="dxa"/>
            </w:tcMar>
          </w:tcPr>
          <w:p>
            <w:r>
              <w:rPr>
                <w:sz w:val="17"/>
              </w:rPr>
              <w:t>Not a primary concern for archival data; first PCA component = 23.36%</w:t>
            </w:r>
          </w:p>
        </w:tc>
      </w:tr>
      <w:tr>
        <w:trPr>
          <w:cantSplit/>
        </w:trPr>
        <w:tc>
          <w:tcPr>
            <w:tcW w:type="dxa" w:w="3168"/>
            <w:vAlign w:val="center"/>
            <w:tcMar>
              <w:top w:w="80" w:type="dxa"/>
              <w:start w:w="80" w:type="dxa"/>
              <w:bottom w:w="80" w:type="dxa"/>
              <w:end w:w="80" w:type="dxa"/>
            </w:tcMar>
          </w:tcPr>
          <w:p>
            <w:r>
              <w:rPr>
                <w:b/>
                <w:sz w:val="17"/>
              </w:rPr>
              <w:t>Bootstrap</w:t>
            </w:r>
          </w:p>
        </w:tc>
        <w:tc>
          <w:tcPr>
            <w:tcW w:type="dxa" w:w="6912"/>
            <w:vAlign w:val="center"/>
            <w:tcMar>
              <w:top w:w="80" w:type="dxa"/>
              <w:start w:w="80" w:type="dxa"/>
              <w:bottom w:w="80" w:type="dxa"/>
              <w:end w:w="80" w:type="dxa"/>
            </w:tcMar>
          </w:tcPr>
          <w:p>
            <w:r>
              <w:rPr>
                <w:sz w:val="17"/>
              </w:rPr>
              <w:t>5,000 issuer-cluster wild-bootstrap replications</w:t>
            </w:r>
          </w:p>
        </w:tc>
      </w:tr>
    </w:tbl>
    <w:p>
      <w:pPr>
        <w:spacing w:after="40"/>
      </w:pPr>
    </w:p>
    <w:p>
      <w:pPr>
        <w:pStyle w:val="Heading2"/>
        <w:keepNext/>
      </w:pPr>
      <w:r>
        <w:t>Chronology of today's work</w:t>
      </w:r>
    </w:p>
    <w:p>
      <w:pPr>
        <w:pStyle w:val="ListNumber"/>
      </w:pPr>
      <w:r>
        <w:t>Changed ESG and credit-rating measurement from absolute level to issuer-year delta/change variables.</w:t>
      </w:r>
    </w:p>
    <w:p>
      <w:pPr>
        <w:pStyle w:val="ListNumber"/>
      </w:pPr>
      <w:r>
        <w:t>Ran reliability, temporal-stability, responsiveness, distinctness and predictive-validity diagnostics on the delta variables.</w:t>
      </w:r>
    </w:p>
    <w:p>
      <w:pPr>
        <w:pStyle w:val="ListNumber"/>
      </w:pPr>
      <w:r>
        <w:t>Ran a 5,000-replication issuer-cluster wild bootstrap on the delta specification.</w:t>
      </w:r>
    </w:p>
    <w:p>
      <w:pPr>
        <w:pStyle w:val="ListNumber"/>
      </w:pPr>
      <w:r>
        <w:t>Audited the source data and identified two major measurement concerns: ESG is nearly static across issue years, and IssueYear is not a verified rating/ESG observation date.</w:t>
      </w:r>
    </w:p>
    <w:p>
      <w:pPr>
        <w:pStyle w:val="ListNumber"/>
      </w:pPr>
      <w:r>
        <w:t>Rejected the earlier arbitrary 1-5 credit-rating mapping and replaced it with Investment Grade status for the primary model; retained exact rating notches only as sensitivity analysis.</w:t>
      </w:r>
    </w:p>
    <w:p>
      <w:pPr>
        <w:pStyle w:val="ListNumber"/>
      </w:pPr>
      <w:r>
        <w:t>Identified extreme YTM tails and adopted Huber robust estimation, with winsorization/trimming/Tukey/Hampel checks.</w:t>
      </w:r>
    </w:p>
    <w:p>
      <w:pPr>
        <w:pStyle w:val="ListNumber"/>
      </w:pPr>
      <w:r>
        <w:t>Tested moderation/interactions and rejected a tempting issuer-FE Green × Investment Grade result because only eight green high-yield observations supported that comparison.</w:t>
      </w:r>
    </w:p>
    <w:p>
      <w:pPr>
        <w:pStyle w:val="ListNumber"/>
      </w:pPr>
      <w:r>
        <w:t>Ran the final reliability/validity, multicollinearity, significance, multiple-testing, fixed-effect, common-method-bias and reproducibility checks.</w:t>
      </w:r>
    </w:p>
    <w:p>
      <w:pPr>
        <w:pStyle w:val="Heading1"/>
        <w:keepNext/>
      </w:pPr>
      <w:r>
        <w:t>2. Data, baseline model and analysis principles</w:t>
      </w:r>
    </w:p>
    <w:p>
      <w:pPr>
        <w:pStyle w:val="Heading2"/>
        <w:keepNext/>
      </w:pPr>
      <w:r>
        <w:t>2.1 Data structure</w:t>
      </w:r>
    </w:p>
    <w:p>
      <w:r>
        <w:t>The project uses a pooled, multi-currency, bond-level dataset with repeated issuers across issue years. It is not a conventional longitudinal panel because each bond is essentially observed once rather than repeatedly through time. Time is represented through Currency × IssueYear fixed effects.</w:t>
      </w:r>
    </w:p>
    <w:tbl>
      <w:tblPr>
        <w:tblStyle w:val="TableGrid"/>
        <w:tblW w:type="auto" w:w="0"/>
        <w:jc w:val="center"/>
        <w:tblLook w:firstColumn="1" w:firstRow="1" w:lastColumn="0" w:lastRow="0" w:noHBand="0" w:noVBand="1" w:val="04A0"/>
      </w:tblPr>
      <w:tblGrid>
        <w:gridCol w:w="5040"/>
        <w:gridCol w:w="5040"/>
      </w:tblGrid>
      <w:tr>
        <w:trPr>
          <w:cantSplit/>
        </w:trPr>
        <w:tc>
          <w:tcPr>
            <w:tcW w:type="dxa" w:w="3168"/>
            <w:shd w:fill="D9EAF7"/>
            <w:vAlign w:val="center"/>
          </w:tcPr>
          <w:p>
            <w:pPr>
              <w:jc w:val="center"/>
            </w:pPr>
            <w:r>
              <w:rPr>
                <w:b/>
                <w:sz w:val="17"/>
              </w:rPr>
              <w:t>Element</w:t>
            </w:r>
          </w:p>
        </w:tc>
        <w:tc>
          <w:tcPr>
            <w:tcW w:type="dxa" w:w="6912"/>
            <w:shd w:fill="D9EAF7"/>
            <w:vAlign w:val="center"/>
          </w:tcPr>
          <w:p>
            <w:pPr>
              <w:jc w:val="center"/>
            </w:pPr>
            <w:r>
              <w:rPr>
                <w:b/>
                <w:sz w:val="17"/>
              </w:rPr>
              <w:t>Definition / count</w:t>
            </w:r>
          </w:p>
        </w:tc>
      </w:tr>
      <w:tr>
        <w:trPr>
          <w:cantSplit/>
        </w:trPr>
        <w:tc>
          <w:tcPr>
            <w:tcW w:type="dxa" w:w="3168"/>
            <w:vAlign w:val="center"/>
            <w:tcMar>
              <w:top w:w="80" w:type="dxa"/>
              <w:start w:w="80" w:type="dxa"/>
              <w:bottom w:w="80" w:type="dxa"/>
              <w:end w:w="80" w:type="dxa"/>
            </w:tcMar>
          </w:tcPr>
          <w:p>
            <w:r>
              <w:rPr>
                <w:b/>
                <w:sz w:val="17"/>
              </w:rPr>
              <w:t>Raw combined dataset</w:t>
            </w:r>
          </w:p>
        </w:tc>
        <w:tc>
          <w:tcPr>
            <w:tcW w:type="dxa" w:w="6912"/>
            <w:vAlign w:val="center"/>
            <w:tcMar>
              <w:top w:w="80" w:type="dxa"/>
              <w:start w:w="80" w:type="dxa"/>
              <w:bottom w:w="80" w:type="dxa"/>
              <w:end w:w="80" w:type="dxa"/>
            </w:tcMar>
          </w:tcPr>
          <w:p>
            <w:r>
              <w:rPr>
                <w:sz w:val="17"/>
              </w:rPr>
              <w:t>169,320 bond rows</w:t>
            </w:r>
          </w:p>
        </w:tc>
      </w:tr>
      <w:tr>
        <w:trPr>
          <w:cantSplit/>
        </w:trPr>
        <w:tc>
          <w:tcPr>
            <w:tcW w:type="dxa" w:w="3168"/>
            <w:vAlign w:val="center"/>
            <w:tcMar>
              <w:top w:w="80" w:type="dxa"/>
              <w:start w:w="80" w:type="dxa"/>
              <w:bottom w:w="80" w:type="dxa"/>
              <w:end w:w="80" w:type="dxa"/>
            </w:tcMar>
          </w:tcPr>
          <w:p>
            <w:r>
              <w:rPr>
                <w:b/>
                <w:sz w:val="17"/>
              </w:rPr>
              <w:t>Final preferred sample</w:t>
            </w:r>
          </w:p>
        </w:tc>
        <w:tc>
          <w:tcPr>
            <w:tcW w:type="dxa" w:w="6912"/>
            <w:vAlign w:val="center"/>
            <w:tcMar>
              <w:top w:w="80" w:type="dxa"/>
              <w:start w:w="80" w:type="dxa"/>
              <w:bottom w:w="80" w:type="dxa"/>
              <w:end w:w="80" w:type="dxa"/>
            </w:tcMar>
          </w:tcPr>
          <w:p>
            <w:r>
              <w:rPr>
                <w:sz w:val="17"/>
              </w:rPr>
              <w:t>6,600 complete-case observations</w:t>
            </w:r>
          </w:p>
        </w:tc>
      </w:tr>
      <w:tr>
        <w:trPr>
          <w:cantSplit/>
        </w:trPr>
        <w:tc>
          <w:tcPr>
            <w:tcW w:type="dxa" w:w="3168"/>
            <w:vAlign w:val="center"/>
            <w:tcMar>
              <w:top w:w="80" w:type="dxa"/>
              <w:start w:w="80" w:type="dxa"/>
              <w:bottom w:w="80" w:type="dxa"/>
              <w:end w:w="80" w:type="dxa"/>
            </w:tcMar>
          </w:tcPr>
          <w:p>
            <w:r>
              <w:rPr>
                <w:b/>
                <w:sz w:val="17"/>
              </w:rPr>
              <w:t>Green bonds in final sample</w:t>
            </w:r>
          </w:p>
        </w:tc>
        <w:tc>
          <w:tcPr>
            <w:tcW w:type="dxa" w:w="6912"/>
            <w:vAlign w:val="center"/>
            <w:tcMar>
              <w:top w:w="80" w:type="dxa"/>
              <w:start w:w="80" w:type="dxa"/>
              <w:bottom w:w="80" w:type="dxa"/>
              <w:end w:w="80" w:type="dxa"/>
            </w:tcMar>
          </w:tcPr>
          <w:p>
            <w:r>
              <w:rPr>
                <w:sz w:val="17"/>
              </w:rPr>
              <w:t>416</w:t>
            </w:r>
          </w:p>
        </w:tc>
      </w:tr>
      <w:tr>
        <w:trPr>
          <w:cantSplit/>
        </w:trPr>
        <w:tc>
          <w:tcPr>
            <w:tcW w:type="dxa" w:w="3168"/>
            <w:vAlign w:val="center"/>
            <w:tcMar>
              <w:top w:w="80" w:type="dxa"/>
              <w:start w:w="80" w:type="dxa"/>
              <w:bottom w:w="80" w:type="dxa"/>
              <w:end w:w="80" w:type="dxa"/>
            </w:tcMar>
          </w:tcPr>
          <w:p>
            <w:r>
              <w:rPr>
                <w:b/>
                <w:sz w:val="17"/>
              </w:rPr>
              <w:t>Unique issuers in final sample</w:t>
            </w:r>
          </w:p>
        </w:tc>
        <w:tc>
          <w:tcPr>
            <w:tcW w:type="dxa" w:w="6912"/>
            <w:vAlign w:val="center"/>
            <w:tcMar>
              <w:top w:w="80" w:type="dxa"/>
              <w:start w:w="80" w:type="dxa"/>
              <w:bottom w:w="80" w:type="dxa"/>
              <w:end w:w="80" w:type="dxa"/>
            </w:tcMar>
          </w:tcPr>
          <w:p>
            <w:r>
              <w:rPr>
                <w:sz w:val="17"/>
              </w:rPr>
              <w:t>477</w:t>
            </w:r>
          </w:p>
        </w:tc>
      </w:tr>
      <w:tr>
        <w:trPr>
          <w:cantSplit/>
        </w:trPr>
        <w:tc>
          <w:tcPr>
            <w:tcW w:type="dxa" w:w="3168"/>
            <w:vAlign w:val="center"/>
            <w:tcMar>
              <w:top w:w="80" w:type="dxa"/>
              <w:start w:w="80" w:type="dxa"/>
              <w:bottom w:w="80" w:type="dxa"/>
              <w:end w:w="80" w:type="dxa"/>
            </w:tcMar>
          </w:tcPr>
          <w:p>
            <w:r>
              <w:rPr>
                <w:b/>
                <w:sz w:val="17"/>
              </w:rPr>
              <w:t>Outcome</w:t>
            </w:r>
          </w:p>
        </w:tc>
        <w:tc>
          <w:tcPr>
            <w:tcW w:type="dxa" w:w="6912"/>
            <w:vAlign w:val="center"/>
            <w:tcMar>
              <w:top w:w="80" w:type="dxa"/>
              <w:start w:w="80" w:type="dxa"/>
              <w:bottom w:w="80" w:type="dxa"/>
              <w:end w:w="80" w:type="dxa"/>
            </w:tcMar>
          </w:tcPr>
          <w:p>
            <w:r>
              <w:rPr>
                <w:sz w:val="17"/>
              </w:rPr>
              <w:t>Source Yield to Maturity</w:t>
            </w:r>
          </w:p>
        </w:tc>
      </w:tr>
      <w:tr>
        <w:trPr>
          <w:cantSplit/>
        </w:trPr>
        <w:tc>
          <w:tcPr>
            <w:tcW w:type="dxa" w:w="3168"/>
            <w:vAlign w:val="center"/>
            <w:tcMar>
              <w:top w:w="80" w:type="dxa"/>
              <w:start w:w="80" w:type="dxa"/>
              <w:bottom w:w="80" w:type="dxa"/>
              <w:end w:w="80" w:type="dxa"/>
            </w:tcMar>
          </w:tcPr>
          <w:p>
            <w:r>
              <w:rPr>
                <w:b/>
                <w:sz w:val="17"/>
              </w:rPr>
              <w:t>YTM validity rule</w:t>
            </w:r>
          </w:p>
        </w:tc>
        <w:tc>
          <w:tcPr>
            <w:tcW w:type="dxa" w:w="6912"/>
            <w:vAlign w:val="center"/>
            <w:tcMar>
              <w:top w:w="80" w:type="dxa"/>
              <w:start w:w="80" w:type="dxa"/>
              <w:bottom w:w="80" w:type="dxa"/>
              <w:end w:w="80" w:type="dxa"/>
            </w:tcMar>
          </w:tcPr>
          <w:p>
            <w:r>
              <w:rPr>
                <w:sz w:val="17"/>
              </w:rPr>
              <w:t>-100 ≤ YTM ≤ 100</w:t>
            </w:r>
          </w:p>
        </w:tc>
      </w:tr>
      <w:tr>
        <w:trPr>
          <w:cantSplit/>
        </w:trPr>
        <w:tc>
          <w:tcPr>
            <w:tcW w:type="dxa" w:w="3168"/>
            <w:vAlign w:val="center"/>
            <w:tcMar>
              <w:top w:w="80" w:type="dxa"/>
              <w:start w:w="80" w:type="dxa"/>
              <w:bottom w:w="80" w:type="dxa"/>
              <w:end w:w="80" w:type="dxa"/>
            </w:tcMar>
          </w:tcPr>
          <w:p>
            <w:r>
              <w:rPr>
                <w:b/>
                <w:sz w:val="17"/>
              </w:rPr>
              <w:t>Green indicator</w:t>
            </w:r>
          </w:p>
        </w:tc>
        <w:tc>
          <w:tcPr>
            <w:tcW w:type="dxa" w:w="6912"/>
            <w:vAlign w:val="center"/>
            <w:tcMar>
              <w:top w:w="80" w:type="dxa"/>
              <w:start w:w="80" w:type="dxa"/>
              <w:bottom w:w="80" w:type="dxa"/>
              <w:end w:w="80" w:type="dxa"/>
            </w:tcMar>
          </w:tcPr>
          <w:p>
            <w:r>
              <w:rPr>
                <w:sz w:val="17"/>
              </w:rPr>
              <w:t>Source Green Bond = Yes</w:t>
            </w:r>
          </w:p>
        </w:tc>
      </w:tr>
      <w:tr>
        <w:trPr>
          <w:cantSplit/>
        </w:trPr>
        <w:tc>
          <w:tcPr>
            <w:tcW w:type="dxa" w:w="3168"/>
            <w:vAlign w:val="center"/>
            <w:tcMar>
              <w:top w:w="80" w:type="dxa"/>
              <w:start w:w="80" w:type="dxa"/>
              <w:bottom w:w="80" w:type="dxa"/>
              <w:end w:w="80" w:type="dxa"/>
            </w:tcMar>
          </w:tcPr>
          <w:p>
            <w:r>
              <w:rPr>
                <w:b/>
                <w:sz w:val="17"/>
              </w:rPr>
              <w:t>Certification indicator</w:t>
            </w:r>
          </w:p>
        </w:tc>
        <w:tc>
          <w:tcPr>
            <w:tcW w:type="dxa" w:w="6912"/>
            <w:vAlign w:val="center"/>
            <w:tcMar>
              <w:top w:w="80" w:type="dxa"/>
              <w:start w:w="80" w:type="dxa"/>
              <w:bottom w:w="80" w:type="dxa"/>
              <w:end w:w="80" w:type="dxa"/>
            </w:tcMar>
          </w:tcPr>
          <w:p>
            <w:r>
              <w:rPr>
                <w:sz w:val="17"/>
              </w:rPr>
              <w:t>Certification Status = Yes</w:t>
            </w:r>
          </w:p>
        </w:tc>
      </w:tr>
      <w:tr>
        <w:trPr>
          <w:cantSplit/>
        </w:trPr>
        <w:tc>
          <w:tcPr>
            <w:tcW w:type="dxa" w:w="3168"/>
            <w:vAlign w:val="center"/>
            <w:tcMar>
              <w:top w:w="80" w:type="dxa"/>
              <w:start w:w="80" w:type="dxa"/>
              <w:bottom w:w="80" w:type="dxa"/>
              <w:end w:w="80" w:type="dxa"/>
            </w:tcMar>
          </w:tcPr>
          <w:p>
            <w:r>
              <w:rPr>
                <w:b/>
                <w:sz w:val="17"/>
              </w:rPr>
              <w:t>ESG source</w:t>
            </w:r>
          </w:p>
        </w:tc>
        <w:tc>
          <w:tcPr>
            <w:tcW w:type="dxa" w:w="6912"/>
            <w:vAlign w:val="center"/>
            <w:tcMar>
              <w:top w:w="80" w:type="dxa"/>
              <w:start w:w="80" w:type="dxa"/>
              <w:bottom w:w="80" w:type="dxa"/>
              <w:end w:w="80" w:type="dxa"/>
            </w:tcMar>
          </w:tcPr>
          <w:p>
            <w:r>
              <w:rPr>
                <w:sz w:val="17"/>
              </w:rPr>
              <w:t>7. ESG, numeric source field; no separate E/S/G construction</w:t>
            </w:r>
          </w:p>
        </w:tc>
      </w:tr>
      <w:tr>
        <w:trPr>
          <w:cantSplit/>
        </w:trPr>
        <w:tc>
          <w:tcPr>
            <w:tcW w:type="dxa" w:w="3168"/>
            <w:vAlign w:val="center"/>
            <w:tcMar>
              <w:top w:w="80" w:type="dxa"/>
              <w:start w:w="80" w:type="dxa"/>
              <w:bottom w:w="80" w:type="dxa"/>
              <w:end w:w="80" w:type="dxa"/>
            </w:tcMar>
          </w:tcPr>
          <w:p>
            <w:r>
              <w:rPr>
                <w:b/>
                <w:sz w:val="17"/>
              </w:rPr>
              <w:t>Credit-quality primary measure</w:t>
            </w:r>
          </w:p>
        </w:tc>
        <w:tc>
          <w:tcPr>
            <w:tcW w:type="dxa" w:w="6912"/>
            <w:vAlign w:val="center"/>
            <w:tcMar>
              <w:top w:w="80" w:type="dxa"/>
              <w:start w:w="80" w:type="dxa"/>
              <w:bottom w:w="80" w:type="dxa"/>
              <w:end w:w="80" w:type="dxa"/>
            </w:tcMar>
          </w:tcPr>
          <w:p>
            <w:r>
              <w:rPr>
                <w:sz w:val="17"/>
              </w:rPr>
              <w:t>Investment Grade status</w:t>
            </w:r>
          </w:p>
        </w:tc>
      </w:tr>
    </w:tbl>
    <w:p>
      <w:pPr>
        <w:spacing w:after="40"/>
      </w:pPr>
    </w:p>
    <w:p>
      <w:pPr>
        <w:pStyle w:val="Heading2"/>
        <w:keepNext/>
      </w:pPr>
      <w:r>
        <w:t>2.2 Hygiene controls and fixed effects</w:t>
      </w:r>
    </w:p>
    <w:p>
      <w:pPr>
        <w:pStyle w:val="ListBullet"/>
      </w:pPr>
      <w:r>
        <w:t>Certified</w:t>
      </w:r>
    </w:p>
    <w:p>
      <w:pPr>
        <w:pStyle w:val="ListBullet"/>
      </w:pPr>
      <w:r>
        <w:t>log(Issue Size)</w:t>
      </w:r>
    </w:p>
    <w:p>
      <w:pPr>
        <w:pStyle w:val="ListBullet"/>
      </w:pPr>
      <w:r>
        <w:t>Tenor (years)</w:t>
      </w:r>
    </w:p>
    <w:p>
      <w:pPr>
        <w:pStyle w:val="ListBullet"/>
      </w:pPr>
      <w:r>
        <w:t>Coupon</w:t>
      </w:r>
    </w:p>
    <w:p>
      <w:pPr>
        <w:pStyle w:val="ListBullet"/>
      </w:pPr>
      <w:r>
        <w:t>Currency × IssueYear fixed effects</w:t>
      </w:r>
    </w:p>
    <w:p>
      <w:pPr>
        <w:pStyle w:val="ListBullet"/>
      </w:pPr>
      <w:r>
        <w:t>Seniority fixed effects</w:t>
      </w:r>
    </w:p>
    <w:p>
      <w:pPr>
        <w:pStyle w:val="ListBullet"/>
      </w:pPr>
      <w:r>
        <w:t>Instrument fixed effects</w:t>
      </w:r>
    </w:p>
    <w:tbl>
      <w:tblPr>
        <w:tblStyle w:val="TableGrid"/>
        <w:tblW w:type="auto" w:w="0"/>
        <w:jc w:val="center"/>
        <w:tblLook w:firstColumn="1" w:firstRow="1" w:lastColumn="0" w:lastRow="0" w:noHBand="0" w:noVBand="1" w:val="04A0"/>
      </w:tblPr>
      <w:tblGrid>
        <w:gridCol w:w="10080"/>
      </w:tblGrid>
      <w:tr>
        <w:trPr>
          <w:cantSplit/>
        </w:trPr>
        <w:tc>
          <w:tcPr>
            <w:tcW w:type="dxa" w:w="10080"/>
            <w:shd w:fill="EAF3F8"/>
            <w:tcMar>
              <w:top w:w="120" w:type="dxa"/>
              <w:start w:w="140" w:type="dxa"/>
              <w:bottom w:w="120" w:type="dxa"/>
              <w:end w:w="140" w:type="dxa"/>
            </w:tcMar>
          </w:tcPr>
          <w:p>
            <w:r>
              <w:rPr>
                <w:b/>
                <w:color w:val="1F4E79"/>
                <w:sz w:val="21"/>
              </w:rPr>
              <w:t>Important terminology</w:t>
              <w:br/>
            </w:r>
            <w:r>
              <w:rPr>
                <w:sz w:val="19"/>
              </w:rPr>
              <w:t>The presentation uses “Hygiene” rather than “Core” for the baseline control block. The Green coefficient is the coefficient on the binary Green indicator and is reported in basis points (bps).</w:t>
            </w:r>
          </w:p>
        </w:tc>
      </w:tr>
    </w:tbl>
    <w:p>
      <w:pPr>
        <w:spacing w:after="40"/>
      </w:pPr>
    </w:p>
    <w:p>
      <w:pPr>
        <w:pStyle w:val="Heading1"/>
        <w:keepNext/>
      </w:pPr>
      <w:r>
        <w:t>3. Workstream A: Delta-scale measurement change</w:t>
      </w:r>
    </w:p>
    <w:p>
      <w:pPr>
        <w:pStyle w:val="Heading2"/>
        <w:keepNext/>
      </w:pPr>
      <w:r>
        <w:t>3.1 Requested measurement change</w:t>
      </w:r>
    </w:p>
    <w:p>
      <w:r>
        <w:t>The requested change was to move ESG and credit rating from absolute levels to change scores. The implemented definitions were:</w:t>
      </w:r>
    </w:p>
    <w:p>
      <w:pPr>
        <w:jc w:val="center"/>
      </w:pPr>
      <w:r>
        <w:rPr>
          <w:b/>
          <w:sz w:val="22"/>
        </w:rPr>
        <w:t>ΔESG(i,t) = ESG(i,t) - ESG(i,t−)</w:t>
      </w:r>
    </w:p>
    <w:p>
      <w:pPr>
        <w:jc w:val="center"/>
      </w:pPr>
      <w:r>
        <w:rPr>
          <w:b/>
          <w:sz w:val="22"/>
        </w:rPr>
        <w:t>ΔCreditRating(i,t) = Rating(i,t) - Rating(i,t−)</w:t>
      </w:r>
    </w:p>
    <w:p>
      <w:r>
        <w:t>Here t− denotes the issuer's previous observed issue year with a non-missing value. To avoid arbitrary ordering when an issuer has multiple bonds in the same year, ESG and rating were first collapsed to issuer-year medians and then the issuer-year delta was merged back to individual bond rows.</w:t>
      </w:r>
    </w:p>
    <w:tbl>
      <w:tblPr>
        <w:tblStyle w:val="TableGrid"/>
        <w:tblW w:type="auto" w:w="0"/>
        <w:jc w:val="center"/>
        <w:tblLook w:firstColumn="1" w:firstRow="1" w:lastColumn="0" w:lastRow="0" w:noHBand="0" w:noVBand="1" w:val="04A0"/>
      </w:tblPr>
      <w:tblGrid>
        <w:gridCol w:w="5040"/>
        <w:gridCol w:w="5040"/>
      </w:tblGrid>
      <w:tr>
        <w:trPr>
          <w:cantSplit/>
        </w:trPr>
        <w:tc>
          <w:tcPr>
            <w:tcW w:type="dxa" w:w="2880"/>
            <w:shd w:fill="D9EAF7"/>
            <w:vAlign w:val="center"/>
          </w:tcPr>
          <w:p>
            <w:pPr>
              <w:jc w:val="center"/>
            </w:pPr>
            <w:r>
              <w:rPr>
                <w:b/>
                <w:sz w:val="17"/>
              </w:rPr>
              <w:t>Delta model</w:t>
            </w:r>
          </w:p>
        </w:tc>
        <w:tc>
          <w:tcPr>
            <w:tcW w:type="dxa" w:w="7200"/>
            <w:shd w:fill="D9EAF7"/>
            <w:vAlign w:val="center"/>
          </w:tcPr>
          <w:p>
            <w:pPr>
              <w:jc w:val="center"/>
            </w:pPr>
            <w:r>
              <w:rPr>
                <w:b/>
                <w:sz w:val="17"/>
              </w:rPr>
              <w:t>Specification</w:t>
            </w:r>
          </w:p>
        </w:tc>
      </w:tr>
      <w:tr>
        <w:trPr>
          <w:cantSplit/>
        </w:trPr>
        <w:tc>
          <w:tcPr>
            <w:tcW w:type="dxa" w:w="2880"/>
            <w:vAlign w:val="center"/>
            <w:tcMar>
              <w:top w:w="80" w:type="dxa"/>
              <w:start w:w="80" w:type="dxa"/>
              <w:bottom w:w="80" w:type="dxa"/>
              <w:end w:w="80" w:type="dxa"/>
            </w:tcMar>
          </w:tcPr>
          <w:p>
            <w:r>
              <w:rPr>
                <w:b/>
                <w:sz w:val="17"/>
              </w:rPr>
              <w:t>M6-Hygiene</w:t>
            </w:r>
          </w:p>
        </w:tc>
        <w:tc>
          <w:tcPr>
            <w:tcW w:type="dxa" w:w="7200"/>
            <w:vAlign w:val="center"/>
            <w:tcMar>
              <w:top w:w="80" w:type="dxa"/>
              <w:start w:w="80" w:type="dxa"/>
              <w:bottom w:w="80" w:type="dxa"/>
              <w:end w:w="80" w:type="dxa"/>
            </w:tcMar>
          </w:tcPr>
          <w:p>
            <w:r>
              <w:rPr>
                <w:sz w:val="17"/>
              </w:rPr>
              <w:t>Green + Certified + IssueSize_log + Tenor + Coupon + fixed effects</w:t>
            </w:r>
          </w:p>
        </w:tc>
      </w:tr>
      <w:tr>
        <w:trPr>
          <w:cantSplit/>
        </w:trPr>
        <w:tc>
          <w:tcPr>
            <w:tcW w:type="dxa" w:w="2880"/>
            <w:vAlign w:val="center"/>
            <w:tcMar>
              <w:top w:w="80" w:type="dxa"/>
              <w:start w:w="80" w:type="dxa"/>
              <w:bottom w:w="80" w:type="dxa"/>
              <w:end w:w="80" w:type="dxa"/>
            </w:tcMar>
          </w:tcPr>
          <w:p>
            <w:r>
              <w:rPr>
                <w:b/>
                <w:sz w:val="17"/>
              </w:rPr>
              <w:t>M6 + ΔCredit Rating</w:t>
            </w:r>
          </w:p>
        </w:tc>
        <w:tc>
          <w:tcPr>
            <w:tcW w:type="dxa" w:w="7200"/>
            <w:vAlign w:val="center"/>
            <w:tcMar>
              <w:top w:w="80" w:type="dxa"/>
              <w:start w:w="80" w:type="dxa"/>
              <w:bottom w:w="80" w:type="dxa"/>
              <w:end w:w="80" w:type="dxa"/>
            </w:tcMar>
          </w:tcPr>
          <w:p>
            <w:r>
              <w:rPr>
                <w:sz w:val="17"/>
              </w:rPr>
              <w:t>Hygiene + ΔCreditRating</w:t>
            </w:r>
          </w:p>
        </w:tc>
      </w:tr>
      <w:tr>
        <w:trPr>
          <w:cantSplit/>
        </w:trPr>
        <w:tc>
          <w:tcPr>
            <w:tcW w:type="dxa" w:w="2880"/>
            <w:vAlign w:val="center"/>
            <w:tcMar>
              <w:top w:w="80" w:type="dxa"/>
              <w:start w:w="80" w:type="dxa"/>
              <w:bottom w:w="80" w:type="dxa"/>
              <w:end w:w="80" w:type="dxa"/>
            </w:tcMar>
          </w:tcPr>
          <w:p>
            <w:r>
              <w:rPr>
                <w:b/>
                <w:sz w:val="17"/>
              </w:rPr>
              <w:t>M6 + ΔESG</w:t>
            </w:r>
          </w:p>
        </w:tc>
        <w:tc>
          <w:tcPr>
            <w:tcW w:type="dxa" w:w="7200"/>
            <w:vAlign w:val="center"/>
            <w:tcMar>
              <w:top w:w="80" w:type="dxa"/>
              <w:start w:w="80" w:type="dxa"/>
              <w:bottom w:w="80" w:type="dxa"/>
              <w:end w:w="80" w:type="dxa"/>
            </w:tcMar>
          </w:tcPr>
          <w:p>
            <w:r>
              <w:rPr>
                <w:sz w:val="17"/>
              </w:rPr>
              <w:t>Hygiene + ΔESG</w:t>
            </w:r>
          </w:p>
        </w:tc>
      </w:tr>
      <w:tr>
        <w:trPr>
          <w:cantSplit/>
        </w:trPr>
        <w:tc>
          <w:tcPr>
            <w:tcW w:type="dxa" w:w="2880"/>
            <w:vAlign w:val="center"/>
            <w:tcMar>
              <w:top w:w="80" w:type="dxa"/>
              <w:start w:w="80" w:type="dxa"/>
              <w:bottom w:w="80" w:type="dxa"/>
              <w:end w:w="80" w:type="dxa"/>
            </w:tcMar>
          </w:tcPr>
          <w:p>
            <w:r>
              <w:rPr>
                <w:b/>
                <w:sz w:val="17"/>
              </w:rPr>
              <w:t>M6-Full Δ</w:t>
            </w:r>
          </w:p>
        </w:tc>
        <w:tc>
          <w:tcPr>
            <w:tcW w:type="dxa" w:w="7200"/>
            <w:vAlign w:val="center"/>
            <w:tcMar>
              <w:top w:w="80" w:type="dxa"/>
              <w:start w:w="80" w:type="dxa"/>
              <w:bottom w:w="80" w:type="dxa"/>
              <w:end w:w="80" w:type="dxa"/>
            </w:tcMar>
          </w:tcPr>
          <w:p>
            <w:r>
              <w:rPr>
                <w:sz w:val="17"/>
              </w:rPr>
              <w:t>Hygiene + ΔCreditRating + ΔESG</w:t>
            </w:r>
          </w:p>
        </w:tc>
      </w:tr>
    </w:tbl>
    <w:p>
      <w:pPr>
        <w:spacing w:after="40"/>
      </w:pPr>
    </w:p>
    <w:p>
      <w:pPr>
        <w:pStyle w:val="Heading2"/>
        <w:keepNext/>
      </w:pPr>
      <w:r>
        <w:t>3.2 Delta-model common-sample results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880"/>
            <w:shd w:fill="D9EAF7"/>
            <w:vAlign w:val="center"/>
          </w:tcPr>
          <w:p>
            <w:pPr>
              <w:jc w:val="center"/>
            </w:pPr>
            <w:r>
              <w:rPr>
                <w:b/>
                <w:sz w:val="17"/>
              </w:rPr>
              <w:t>Model</w:t>
            </w:r>
          </w:p>
        </w:tc>
        <w:tc>
          <w:tcPr>
            <w:tcW w:type="dxa" w:w="1152"/>
            <w:shd w:fill="D9EAF7"/>
            <w:vAlign w:val="center"/>
          </w:tcPr>
          <w:p>
            <w:pPr>
              <w:jc w:val="center"/>
            </w:pPr>
            <w:r>
              <w:rPr>
                <w:b/>
                <w:sz w:val="17"/>
              </w:rPr>
              <w:t>N</w:t>
            </w:r>
          </w:p>
        </w:tc>
        <w:tc>
          <w:tcPr>
            <w:tcW w:type="dxa" w:w="1152"/>
            <w:shd w:fill="D9EAF7"/>
            <w:vAlign w:val="center"/>
          </w:tcPr>
          <w:p>
            <w:pPr>
              <w:jc w:val="center"/>
            </w:pPr>
            <w:r>
              <w:rPr>
                <w:b/>
                <w:sz w:val="17"/>
              </w:rPr>
              <w:t>Green N</w:t>
            </w:r>
          </w:p>
        </w:tc>
        <w:tc>
          <w:tcPr>
            <w:tcW w:type="dxa" w:w="2592"/>
            <w:shd w:fill="D9EAF7"/>
            <w:vAlign w:val="center"/>
          </w:tcPr>
          <w:p>
            <w:pPr>
              <w:jc w:val="center"/>
            </w:pPr>
            <w:r>
              <w:rPr>
                <w:b/>
                <w:sz w:val="17"/>
              </w:rPr>
              <w:t>Green coefficient (bps)</w:t>
            </w:r>
          </w:p>
        </w:tc>
        <w:tc>
          <w:tcPr>
            <w:tcW w:type="dxa" w:w="1728"/>
            <w:shd w:fill="D9EAF7"/>
            <w:vAlign w:val="center"/>
          </w:tcPr>
          <w:p>
            <w:pPr>
              <w:jc w:val="center"/>
            </w:pPr>
            <w:r>
              <w:rPr>
                <w:b/>
                <w:sz w:val="17"/>
              </w:rPr>
              <w:t>Green p</w:t>
            </w:r>
          </w:p>
        </w:tc>
      </w:tr>
      <w:tr>
        <w:trPr>
          <w:cantSplit/>
        </w:trPr>
        <w:tc>
          <w:tcPr>
            <w:tcW w:type="dxa" w:w="2880"/>
            <w:vAlign w:val="center"/>
            <w:tcMar>
              <w:top w:w="80" w:type="dxa"/>
              <w:start w:w="80" w:type="dxa"/>
              <w:bottom w:w="80" w:type="dxa"/>
              <w:end w:w="80" w:type="dxa"/>
            </w:tcMar>
          </w:tcPr>
          <w:p>
            <w:r>
              <w:rPr>
                <w:sz w:val="17"/>
              </w:rPr>
              <w:t>M6-Hygiene</w:t>
            </w:r>
          </w:p>
        </w:tc>
        <w:tc>
          <w:tcPr>
            <w:tcW w:type="dxa" w:w="1152"/>
            <w:vAlign w:val="center"/>
            <w:tcMar>
              <w:top w:w="80" w:type="dxa"/>
              <w:start w:w="80" w:type="dxa"/>
              <w:bottom w:w="80" w:type="dxa"/>
              <w:end w:w="80" w:type="dxa"/>
            </w:tcMar>
          </w:tcPr>
          <w:p>
            <w:r>
              <w:rPr>
                <w:sz w:val="17"/>
              </w:rPr>
              <w:t>6,613</w:t>
            </w:r>
          </w:p>
        </w:tc>
        <w:tc>
          <w:tcPr>
            <w:tcW w:type="dxa" w:w="1152"/>
            <w:vAlign w:val="center"/>
            <w:tcMar>
              <w:top w:w="80" w:type="dxa"/>
              <w:start w:w="80" w:type="dxa"/>
              <w:bottom w:w="80" w:type="dxa"/>
              <w:end w:w="80" w:type="dxa"/>
            </w:tcMar>
          </w:tcPr>
          <w:p>
            <w:r>
              <w:rPr>
                <w:sz w:val="17"/>
              </w:rPr>
              <w:t>385</w:t>
            </w:r>
          </w:p>
        </w:tc>
        <w:tc>
          <w:tcPr>
            <w:tcW w:type="dxa" w:w="2592"/>
            <w:vAlign w:val="center"/>
            <w:tcMar>
              <w:top w:w="80" w:type="dxa"/>
              <w:start w:w="80" w:type="dxa"/>
              <w:bottom w:w="80" w:type="dxa"/>
              <w:end w:w="80" w:type="dxa"/>
            </w:tcMar>
          </w:tcPr>
          <w:p>
            <w:r>
              <w:rPr>
                <w:sz w:val="17"/>
              </w:rPr>
              <w:t>-8.00</w:t>
            </w:r>
          </w:p>
        </w:tc>
        <w:tc>
          <w:tcPr>
            <w:tcW w:type="dxa" w:w="1728"/>
            <w:vAlign w:val="center"/>
            <w:tcMar>
              <w:top w:w="80" w:type="dxa"/>
              <w:start w:w="80" w:type="dxa"/>
              <w:bottom w:w="80" w:type="dxa"/>
              <w:end w:w="80" w:type="dxa"/>
            </w:tcMar>
          </w:tcPr>
          <w:p>
            <w:r>
              <w:rPr>
                <w:sz w:val="17"/>
              </w:rPr>
              <w:t>0.4980</w:t>
            </w:r>
          </w:p>
        </w:tc>
      </w:tr>
      <w:tr>
        <w:trPr>
          <w:cantSplit/>
        </w:trPr>
        <w:tc>
          <w:tcPr>
            <w:tcW w:type="dxa" w:w="2880"/>
            <w:vAlign w:val="center"/>
            <w:tcMar>
              <w:top w:w="80" w:type="dxa"/>
              <w:start w:w="80" w:type="dxa"/>
              <w:bottom w:w="80" w:type="dxa"/>
              <w:end w:w="80" w:type="dxa"/>
            </w:tcMar>
          </w:tcPr>
          <w:p>
            <w:r>
              <w:rPr>
                <w:sz w:val="17"/>
              </w:rPr>
              <w:t>M6 + ΔCredit Rating</w:t>
            </w:r>
          </w:p>
        </w:tc>
        <w:tc>
          <w:tcPr>
            <w:tcW w:type="dxa" w:w="1152"/>
            <w:vAlign w:val="center"/>
            <w:tcMar>
              <w:top w:w="80" w:type="dxa"/>
              <w:start w:w="80" w:type="dxa"/>
              <w:bottom w:w="80" w:type="dxa"/>
              <w:end w:w="80" w:type="dxa"/>
            </w:tcMar>
          </w:tcPr>
          <w:p>
            <w:r>
              <w:rPr>
                <w:sz w:val="17"/>
              </w:rPr>
              <w:t>6,613</w:t>
            </w:r>
          </w:p>
        </w:tc>
        <w:tc>
          <w:tcPr>
            <w:tcW w:type="dxa" w:w="1152"/>
            <w:vAlign w:val="center"/>
            <w:tcMar>
              <w:top w:w="80" w:type="dxa"/>
              <w:start w:w="80" w:type="dxa"/>
              <w:bottom w:w="80" w:type="dxa"/>
              <w:end w:w="80" w:type="dxa"/>
            </w:tcMar>
          </w:tcPr>
          <w:p>
            <w:r>
              <w:rPr>
                <w:sz w:val="17"/>
              </w:rPr>
              <w:t>385</w:t>
            </w:r>
          </w:p>
        </w:tc>
        <w:tc>
          <w:tcPr>
            <w:tcW w:type="dxa" w:w="2592"/>
            <w:vAlign w:val="center"/>
            <w:tcMar>
              <w:top w:w="80" w:type="dxa"/>
              <w:start w:w="80" w:type="dxa"/>
              <w:bottom w:w="80" w:type="dxa"/>
              <w:end w:w="80" w:type="dxa"/>
            </w:tcMar>
          </w:tcPr>
          <w:p>
            <w:r>
              <w:rPr>
                <w:sz w:val="17"/>
              </w:rPr>
              <w:t>-7.47</w:t>
            </w:r>
          </w:p>
        </w:tc>
        <w:tc>
          <w:tcPr>
            <w:tcW w:type="dxa" w:w="1728"/>
            <w:vAlign w:val="center"/>
            <w:tcMar>
              <w:top w:w="80" w:type="dxa"/>
              <w:start w:w="80" w:type="dxa"/>
              <w:bottom w:w="80" w:type="dxa"/>
              <w:end w:w="80" w:type="dxa"/>
            </w:tcMar>
          </w:tcPr>
          <w:p>
            <w:r>
              <w:rPr>
                <w:sz w:val="17"/>
              </w:rPr>
              <w:t>0.5248</w:t>
            </w:r>
          </w:p>
        </w:tc>
      </w:tr>
      <w:tr>
        <w:trPr>
          <w:cantSplit/>
        </w:trPr>
        <w:tc>
          <w:tcPr>
            <w:tcW w:type="dxa" w:w="2880"/>
            <w:vAlign w:val="center"/>
            <w:tcMar>
              <w:top w:w="80" w:type="dxa"/>
              <w:start w:w="80" w:type="dxa"/>
              <w:bottom w:w="80" w:type="dxa"/>
              <w:end w:w="80" w:type="dxa"/>
            </w:tcMar>
          </w:tcPr>
          <w:p>
            <w:r>
              <w:rPr>
                <w:sz w:val="17"/>
              </w:rPr>
              <w:t>M6 + ΔESG</w:t>
            </w:r>
          </w:p>
        </w:tc>
        <w:tc>
          <w:tcPr>
            <w:tcW w:type="dxa" w:w="1152"/>
            <w:vAlign w:val="center"/>
            <w:tcMar>
              <w:top w:w="80" w:type="dxa"/>
              <w:start w:w="80" w:type="dxa"/>
              <w:bottom w:w="80" w:type="dxa"/>
              <w:end w:w="80" w:type="dxa"/>
            </w:tcMar>
          </w:tcPr>
          <w:p>
            <w:r>
              <w:rPr>
                <w:sz w:val="17"/>
              </w:rPr>
              <w:t>6,613</w:t>
            </w:r>
          </w:p>
        </w:tc>
        <w:tc>
          <w:tcPr>
            <w:tcW w:type="dxa" w:w="1152"/>
            <w:vAlign w:val="center"/>
            <w:tcMar>
              <w:top w:w="80" w:type="dxa"/>
              <w:start w:w="80" w:type="dxa"/>
              <w:bottom w:w="80" w:type="dxa"/>
              <w:end w:w="80" w:type="dxa"/>
            </w:tcMar>
          </w:tcPr>
          <w:p>
            <w:r>
              <w:rPr>
                <w:sz w:val="17"/>
              </w:rPr>
              <w:t>385</w:t>
            </w:r>
          </w:p>
        </w:tc>
        <w:tc>
          <w:tcPr>
            <w:tcW w:type="dxa" w:w="2592"/>
            <w:vAlign w:val="center"/>
            <w:tcMar>
              <w:top w:w="80" w:type="dxa"/>
              <w:start w:w="80" w:type="dxa"/>
              <w:bottom w:w="80" w:type="dxa"/>
              <w:end w:w="80" w:type="dxa"/>
            </w:tcMar>
          </w:tcPr>
          <w:p>
            <w:r>
              <w:rPr>
                <w:sz w:val="17"/>
              </w:rPr>
              <w:t>-8.01</w:t>
            </w:r>
          </w:p>
        </w:tc>
        <w:tc>
          <w:tcPr>
            <w:tcW w:type="dxa" w:w="1728"/>
            <w:vAlign w:val="center"/>
            <w:tcMar>
              <w:top w:w="80" w:type="dxa"/>
              <w:start w:w="80" w:type="dxa"/>
              <w:bottom w:w="80" w:type="dxa"/>
              <w:end w:w="80" w:type="dxa"/>
            </w:tcMar>
          </w:tcPr>
          <w:p>
            <w:r>
              <w:rPr>
                <w:sz w:val="17"/>
              </w:rPr>
              <w:t>0.4974</w:t>
            </w:r>
          </w:p>
        </w:tc>
      </w:tr>
      <w:tr>
        <w:trPr>
          <w:cantSplit/>
        </w:trPr>
        <w:tc>
          <w:tcPr>
            <w:tcW w:type="dxa" w:w="2880"/>
            <w:vAlign w:val="center"/>
            <w:tcMar>
              <w:top w:w="80" w:type="dxa"/>
              <w:start w:w="80" w:type="dxa"/>
              <w:bottom w:w="80" w:type="dxa"/>
              <w:end w:w="80" w:type="dxa"/>
            </w:tcMar>
          </w:tcPr>
          <w:p>
            <w:r>
              <w:rPr>
                <w:sz w:val="17"/>
              </w:rPr>
              <w:t>M6-Full Δ</w:t>
            </w:r>
          </w:p>
        </w:tc>
        <w:tc>
          <w:tcPr>
            <w:tcW w:type="dxa" w:w="1152"/>
            <w:vAlign w:val="center"/>
            <w:tcMar>
              <w:top w:w="80" w:type="dxa"/>
              <w:start w:w="80" w:type="dxa"/>
              <w:bottom w:w="80" w:type="dxa"/>
              <w:end w:w="80" w:type="dxa"/>
            </w:tcMar>
          </w:tcPr>
          <w:p>
            <w:r>
              <w:rPr>
                <w:sz w:val="17"/>
              </w:rPr>
              <w:t>6,613</w:t>
            </w:r>
          </w:p>
        </w:tc>
        <w:tc>
          <w:tcPr>
            <w:tcW w:type="dxa" w:w="1152"/>
            <w:vAlign w:val="center"/>
            <w:tcMar>
              <w:top w:w="80" w:type="dxa"/>
              <w:start w:w="80" w:type="dxa"/>
              <w:bottom w:w="80" w:type="dxa"/>
              <w:end w:w="80" w:type="dxa"/>
            </w:tcMar>
          </w:tcPr>
          <w:p>
            <w:r>
              <w:rPr>
                <w:sz w:val="17"/>
              </w:rPr>
              <w:t>385</w:t>
            </w:r>
          </w:p>
        </w:tc>
        <w:tc>
          <w:tcPr>
            <w:tcW w:type="dxa" w:w="2592"/>
            <w:vAlign w:val="center"/>
            <w:tcMar>
              <w:top w:w="80" w:type="dxa"/>
              <w:start w:w="80" w:type="dxa"/>
              <w:bottom w:w="80" w:type="dxa"/>
              <w:end w:w="80" w:type="dxa"/>
            </w:tcMar>
          </w:tcPr>
          <w:p>
            <w:r>
              <w:rPr>
                <w:sz w:val="17"/>
              </w:rPr>
              <w:t>-7.49</w:t>
            </w:r>
          </w:p>
        </w:tc>
        <w:tc>
          <w:tcPr>
            <w:tcW w:type="dxa" w:w="1728"/>
            <w:vAlign w:val="center"/>
            <w:tcMar>
              <w:top w:w="80" w:type="dxa"/>
              <w:start w:w="80" w:type="dxa"/>
              <w:bottom w:w="80" w:type="dxa"/>
              <w:end w:w="80" w:type="dxa"/>
            </w:tcMar>
          </w:tcPr>
          <w:p>
            <w:r>
              <w:rPr>
                <w:sz w:val="17"/>
              </w:rPr>
              <w:t>0.5239</w:t>
            </w:r>
          </w:p>
        </w:tc>
      </w:tr>
    </w:tbl>
    <w:p>
      <w:pPr>
        <w:spacing w:after="40"/>
      </w:pPr>
    </w:p>
    <w:p>
      <w:r>
        <w:t>In the full delta model, ΔCreditRating = +8.23 bps per coded unit (p = 0.0922) and ΔESG = +4.01 bps per point (p = 0.4846). These results did not establish statistically significant dynamic effects.</w:t>
      </w:r>
    </w:p>
    <w:p>
      <w:pPr>
        <w:pStyle w:val="Heading1"/>
        <w:keepNext/>
      </w:pPr>
      <w:r>
        <w:t>4. Reliability and validity tests for the delta specification</w:t>
      </w:r>
    </w:p>
    <w:p>
      <w:pPr>
        <w:pStyle w:val="Heading2"/>
        <w:keepNext/>
      </w:pPr>
      <w:r>
        <w:t>4.1 Tests that were applicable and not applicable</w:t>
      </w:r>
    </w:p>
    <w:p>
      <w:pPr>
        <w:pStyle w:val="ListBullet"/>
      </w:pPr>
      <w:r>
        <w:t>Cronbach alpha, McDonald omega, Composite Reliability and AVE were not calculated because ΔESG and ΔCreditRating are single observed measures rather than multi-item reflective scales.</w:t>
      </w:r>
    </w:p>
    <w:p>
      <w:pPr>
        <w:pStyle w:val="ListBullet"/>
      </w:pPr>
      <w:r>
        <w:t>EFA/CFA, Fornell-Larcker and HTMT were not formally applicable to the two single-indicator delta variables.</w:t>
      </w:r>
    </w:p>
    <w:p>
      <w:pPr>
        <w:pStyle w:val="ListBullet"/>
      </w:pPr>
      <w:r>
        <w:t>Applicable diagnostics included temporal stability, weighted kappa for ordinal rating, responsiveness of the change variables, correlation/VIF distinctness and criterion/predictive validity against YTM.</w:t>
      </w:r>
    </w:p>
    <w:p>
      <w:pPr>
        <w:pStyle w:val="Heading2"/>
        <w:keepNext/>
      </w:pPr>
      <w:r>
        <w:t>4.2 Temporal reliability / stability</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shd w:fill="D9EAF7"/>
            <w:vAlign w:val="center"/>
          </w:tcPr>
          <w:p>
            <w:pPr>
              <w:jc w:val="center"/>
            </w:pPr>
            <w:r>
              <w:rPr>
                <w:b/>
                <w:sz w:val="15"/>
              </w:rPr>
              <w:t>Measure</w:t>
            </w:r>
          </w:p>
        </w:tc>
        <w:tc>
          <w:tcPr>
            <w:tcW w:type="dxa" w:w="3600"/>
            <w:shd w:fill="D9EAF7"/>
            <w:vAlign w:val="center"/>
          </w:tcPr>
          <w:p>
            <w:pPr>
              <w:jc w:val="center"/>
            </w:pPr>
            <w:r>
              <w:rPr>
                <w:b/>
                <w:sz w:val="15"/>
              </w:rPr>
              <w:t>Test</w:t>
            </w:r>
          </w:p>
        </w:tc>
        <w:tc>
          <w:tcPr>
            <w:tcW w:type="dxa" w:w="1440"/>
            <w:shd w:fill="D9EAF7"/>
            <w:vAlign w:val="center"/>
          </w:tcPr>
          <w:p>
            <w:pPr>
              <w:jc w:val="center"/>
            </w:pPr>
            <w:r>
              <w:rPr>
                <w:b/>
                <w:sz w:val="15"/>
              </w:rPr>
              <w:t>N / pairs</w:t>
            </w:r>
          </w:p>
        </w:tc>
        <w:tc>
          <w:tcPr>
            <w:tcW w:type="dxa" w:w="1584"/>
            <w:shd w:fill="D9EAF7"/>
            <w:vAlign w:val="center"/>
          </w:tcPr>
          <w:p>
            <w:pPr>
              <w:jc w:val="center"/>
            </w:pPr>
            <w:r>
              <w:rPr>
                <w:b/>
                <w:sz w:val="15"/>
              </w:rPr>
              <w:t>Statistic</w:t>
            </w:r>
          </w:p>
        </w:tc>
        <w:tc>
          <w:tcPr>
            <w:tcW w:type="dxa" w:w="1152"/>
            <w:shd w:fill="D9EAF7"/>
            <w:vAlign w:val="center"/>
          </w:tcPr>
          <w:p>
            <w:pPr>
              <w:jc w:val="center"/>
            </w:pPr>
            <w:r>
              <w:rPr>
                <w:b/>
                <w:sz w:val="15"/>
              </w:rPr>
              <w:t>p</w:t>
            </w:r>
          </w:p>
        </w:tc>
      </w:tr>
      <w:tr>
        <w:trPr>
          <w:cantSplit/>
        </w:trPr>
        <w:tc>
          <w:tcPr>
            <w:tcW w:type="dxa" w:w="2016"/>
            <w:vAlign w:val="center"/>
            <w:tcMar>
              <w:top w:w="80" w:type="dxa"/>
              <w:start w:w="80" w:type="dxa"/>
              <w:bottom w:w="80" w:type="dxa"/>
              <w:end w:w="80" w:type="dxa"/>
            </w:tcMar>
          </w:tcPr>
          <w:p>
            <w:r>
              <w:rPr>
                <w:sz w:val="15"/>
              </w:rPr>
              <w:t>ESG level</w:t>
            </w:r>
          </w:p>
        </w:tc>
        <w:tc>
          <w:tcPr>
            <w:tcW w:type="dxa" w:w="3600"/>
            <w:vAlign w:val="center"/>
            <w:tcMar>
              <w:top w:w="80" w:type="dxa"/>
              <w:start w:w="80" w:type="dxa"/>
              <w:bottom w:w="80" w:type="dxa"/>
              <w:end w:w="80" w:type="dxa"/>
            </w:tcMar>
          </w:tcPr>
          <w:p>
            <w:r>
              <w:rPr>
                <w:sz w:val="15"/>
              </w:rPr>
              <w:t>Lag-1 Pearson correlation</w:t>
            </w:r>
          </w:p>
        </w:tc>
        <w:tc>
          <w:tcPr>
            <w:tcW w:type="dxa" w:w="1440"/>
            <w:vAlign w:val="center"/>
            <w:tcMar>
              <w:top w:w="80" w:type="dxa"/>
              <w:start w:w="80" w:type="dxa"/>
              <w:bottom w:w="80" w:type="dxa"/>
              <w:end w:w="80" w:type="dxa"/>
            </w:tcMar>
          </w:tcPr>
          <w:p>
            <w:r>
              <w:rPr>
                <w:sz w:val="15"/>
              </w:rPr>
              <w:t>5,427</w:t>
            </w:r>
          </w:p>
        </w:tc>
        <w:tc>
          <w:tcPr>
            <w:tcW w:type="dxa" w:w="1584"/>
            <w:vAlign w:val="center"/>
            <w:tcMar>
              <w:top w:w="80" w:type="dxa"/>
              <w:start w:w="80" w:type="dxa"/>
              <w:bottom w:w="80" w:type="dxa"/>
              <w:end w:w="80" w:type="dxa"/>
            </w:tcMar>
          </w:tcPr>
          <w:p>
            <w:r>
              <w:rPr>
                <w:sz w:val="15"/>
              </w:rPr>
              <w:t>0.9995</w:t>
            </w:r>
          </w:p>
        </w:tc>
        <w:tc>
          <w:tcPr>
            <w:tcW w:type="dxa" w:w="1152"/>
            <w:vAlign w:val="center"/>
            <w:tcMar>
              <w:top w:w="80" w:type="dxa"/>
              <w:start w:w="80" w:type="dxa"/>
              <w:bottom w:w="80" w:type="dxa"/>
              <w:end w:w="80" w:type="dxa"/>
            </w:tcMar>
          </w:tcPr>
          <w:p>
            <w:r>
              <w:rPr>
                <w:sz w:val="15"/>
              </w:rPr>
              <w:t>&lt;0.0001</w:t>
            </w:r>
          </w:p>
        </w:tc>
      </w:tr>
      <w:tr>
        <w:trPr>
          <w:cantSplit/>
        </w:trPr>
        <w:tc>
          <w:tcPr>
            <w:tcW w:type="dxa" w:w="2016"/>
            <w:vAlign w:val="center"/>
            <w:tcMar>
              <w:top w:w="80" w:type="dxa"/>
              <w:start w:w="80" w:type="dxa"/>
              <w:bottom w:w="80" w:type="dxa"/>
              <w:end w:w="80" w:type="dxa"/>
            </w:tcMar>
          </w:tcPr>
          <w:p>
            <w:r>
              <w:rPr>
                <w:sz w:val="15"/>
              </w:rPr>
              <w:t>ESG level</w:t>
            </w:r>
          </w:p>
        </w:tc>
        <w:tc>
          <w:tcPr>
            <w:tcW w:type="dxa" w:w="3600"/>
            <w:vAlign w:val="center"/>
            <w:tcMar>
              <w:top w:w="80" w:type="dxa"/>
              <w:start w:w="80" w:type="dxa"/>
              <w:bottom w:w="80" w:type="dxa"/>
              <w:end w:w="80" w:type="dxa"/>
            </w:tcMar>
          </w:tcPr>
          <w:p>
            <w:r>
              <w:rPr>
                <w:sz w:val="15"/>
              </w:rPr>
              <w:t>Lag-1 Spearman correlation</w:t>
            </w:r>
          </w:p>
        </w:tc>
        <w:tc>
          <w:tcPr>
            <w:tcW w:type="dxa" w:w="1440"/>
            <w:vAlign w:val="center"/>
            <w:tcMar>
              <w:top w:w="80" w:type="dxa"/>
              <w:start w:w="80" w:type="dxa"/>
              <w:bottom w:w="80" w:type="dxa"/>
              <w:end w:w="80" w:type="dxa"/>
            </w:tcMar>
          </w:tcPr>
          <w:p>
            <w:r>
              <w:rPr>
                <w:sz w:val="15"/>
              </w:rPr>
              <w:t>5,427</w:t>
            </w:r>
          </w:p>
        </w:tc>
        <w:tc>
          <w:tcPr>
            <w:tcW w:type="dxa" w:w="1584"/>
            <w:vAlign w:val="center"/>
            <w:tcMar>
              <w:top w:w="80" w:type="dxa"/>
              <w:start w:w="80" w:type="dxa"/>
              <w:bottom w:w="80" w:type="dxa"/>
              <w:end w:w="80" w:type="dxa"/>
            </w:tcMar>
          </w:tcPr>
          <w:p>
            <w:r>
              <w:rPr>
                <w:sz w:val="15"/>
              </w:rPr>
              <w:t>0.9997</w:t>
            </w:r>
          </w:p>
        </w:tc>
        <w:tc>
          <w:tcPr>
            <w:tcW w:type="dxa" w:w="1152"/>
            <w:vAlign w:val="center"/>
            <w:tcMar>
              <w:top w:w="80" w:type="dxa"/>
              <w:start w:w="80" w:type="dxa"/>
              <w:bottom w:w="80" w:type="dxa"/>
              <w:end w:w="80" w:type="dxa"/>
            </w:tcMar>
          </w:tcPr>
          <w:p>
            <w:r>
              <w:rPr>
                <w:sz w:val="15"/>
              </w:rPr>
              <w:t>&lt;0.0001</w:t>
            </w:r>
          </w:p>
        </w:tc>
      </w:tr>
      <w:tr>
        <w:trPr>
          <w:cantSplit/>
        </w:trPr>
        <w:tc>
          <w:tcPr>
            <w:tcW w:type="dxa" w:w="2016"/>
            <w:vAlign w:val="center"/>
            <w:tcMar>
              <w:top w:w="80" w:type="dxa"/>
              <w:start w:w="80" w:type="dxa"/>
              <w:bottom w:w="80" w:type="dxa"/>
              <w:end w:w="80" w:type="dxa"/>
            </w:tcMar>
          </w:tcPr>
          <w:p>
            <w:r>
              <w:rPr>
                <w:sz w:val="15"/>
              </w:rPr>
              <w:t>ESG level</w:t>
            </w:r>
          </w:p>
        </w:tc>
        <w:tc>
          <w:tcPr>
            <w:tcW w:type="dxa" w:w="3600"/>
            <w:vAlign w:val="center"/>
            <w:tcMar>
              <w:top w:w="80" w:type="dxa"/>
              <w:start w:w="80" w:type="dxa"/>
              <w:bottom w:w="80" w:type="dxa"/>
              <w:end w:w="80" w:type="dxa"/>
            </w:tcMar>
          </w:tcPr>
          <w:p>
            <w:r>
              <w:rPr>
                <w:sz w:val="15"/>
              </w:rPr>
              <w:t>ICC (random-intercept stability)</w:t>
            </w:r>
          </w:p>
        </w:tc>
        <w:tc>
          <w:tcPr>
            <w:tcW w:type="dxa" w:w="1440"/>
            <w:vAlign w:val="center"/>
            <w:tcMar>
              <w:top w:w="80" w:type="dxa"/>
              <w:start w:w="80" w:type="dxa"/>
              <w:bottom w:w="80" w:type="dxa"/>
              <w:end w:w="80" w:type="dxa"/>
            </w:tcMar>
          </w:tcPr>
          <w:p>
            <w:r>
              <w:rPr>
                <w:sz w:val="15"/>
              </w:rPr>
              <w:t>7,133</w:t>
            </w:r>
          </w:p>
        </w:tc>
        <w:tc>
          <w:tcPr>
            <w:tcW w:type="dxa" w:w="1584"/>
            <w:vAlign w:val="center"/>
            <w:tcMar>
              <w:top w:w="80" w:type="dxa"/>
              <w:start w:w="80" w:type="dxa"/>
              <w:bottom w:w="80" w:type="dxa"/>
              <w:end w:w="80" w:type="dxa"/>
            </w:tcMar>
          </w:tcPr>
          <w:p>
            <w:r>
              <w:rPr>
                <w:sz w:val="15"/>
              </w:rPr>
              <w:t>0.9996</w:t>
            </w:r>
          </w:p>
        </w:tc>
        <w:tc>
          <w:tcPr>
            <w:tcW w:type="dxa" w:w="1152"/>
            <w:vAlign w:val="center"/>
            <w:tcMar>
              <w:top w:w="80" w:type="dxa"/>
              <w:start w:w="80" w:type="dxa"/>
              <w:bottom w:w="80" w:type="dxa"/>
              <w:end w:w="80" w:type="dxa"/>
            </w:tcMar>
          </w:tcPr>
          <w:p>
            <w:r>
              <w:rPr>
                <w:sz w:val="15"/>
              </w:rPr>
            </w:r>
          </w:p>
        </w:tc>
      </w:tr>
      <w:tr>
        <w:trPr>
          <w:cantSplit/>
        </w:trPr>
        <w:tc>
          <w:tcPr>
            <w:tcW w:type="dxa" w:w="2016"/>
            <w:vAlign w:val="center"/>
            <w:tcMar>
              <w:top w:w="80" w:type="dxa"/>
              <w:start w:w="80" w:type="dxa"/>
              <w:bottom w:w="80" w:type="dxa"/>
              <w:end w:w="80" w:type="dxa"/>
            </w:tcMar>
          </w:tcPr>
          <w:p>
            <w:r>
              <w:rPr>
                <w:sz w:val="15"/>
              </w:rPr>
              <w:t>ESG level</w:t>
            </w:r>
          </w:p>
        </w:tc>
        <w:tc>
          <w:tcPr>
            <w:tcW w:type="dxa" w:w="3600"/>
            <w:vAlign w:val="center"/>
            <w:tcMar>
              <w:top w:w="80" w:type="dxa"/>
              <w:start w:w="80" w:type="dxa"/>
              <w:bottom w:w="80" w:type="dxa"/>
              <w:end w:w="80" w:type="dxa"/>
            </w:tcMar>
          </w:tcPr>
          <w:p>
            <w:r>
              <w:rPr>
                <w:sz w:val="15"/>
              </w:rPr>
              <w:t>Exact repeat share</w:t>
            </w:r>
          </w:p>
        </w:tc>
        <w:tc>
          <w:tcPr>
            <w:tcW w:type="dxa" w:w="1440"/>
            <w:vAlign w:val="center"/>
            <w:tcMar>
              <w:top w:w="80" w:type="dxa"/>
              <w:start w:w="80" w:type="dxa"/>
              <w:bottom w:w="80" w:type="dxa"/>
              <w:end w:w="80" w:type="dxa"/>
            </w:tcMar>
          </w:tcPr>
          <w:p>
            <w:r>
              <w:rPr>
                <w:sz w:val="15"/>
              </w:rPr>
              <w:t>5,427</w:t>
            </w:r>
          </w:p>
        </w:tc>
        <w:tc>
          <w:tcPr>
            <w:tcW w:type="dxa" w:w="1584"/>
            <w:vAlign w:val="center"/>
            <w:tcMar>
              <w:top w:w="80" w:type="dxa"/>
              <w:start w:w="80" w:type="dxa"/>
              <w:bottom w:w="80" w:type="dxa"/>
              <w:end w:w="80" w:type="dxa"/>
            </w:tcMar>
          </w:tcPr>
          <w:p>
            <w:r>
              <w:rPr>
                <w:sz w:val="15"/>
              </w:rPr>
              <w:t>0.9722</w:t>
            </w:r>
          </w:p>
        </w:tc>
        <w:tc>
          <w:tcPr>
            <w:tcW w:type="dxa" w:w="1152"/>
            <w:vAlign w:val="center"/>
            <w:tcMar>
              <w:top w:w="80" w:type="dxa"/>
              <w:start w:w="80" w:type="dxa"/>
              <w:bottom w:w="80" w:type="dxa"/>
              <w:end w:w="80" w:type="dxa"/>
            </w:tcMar>
          </w:tcPr>
          <w:p>
            <w:r>
              <w:rPr>
                <w:sz w:val="15"/>
              </w:rPr>
            </w:r>
          </w:p>
        </w:tc>
      </w:tr>
      <w:tr>
        <w:trPr>
          <w:cantSplit/>
        </w:trPr>
        <w:tc>
          <w:tcPr>
            <w:tcW w:type="dxa" w:w="2016"/>
            <w:vAlign w:val="center"/>
            <w:tcMar>
              <w:top w:w="80" w:type="dxa"/>
              <w:start w:w="80" w:type="dxa"/>
              <w:bottom w:w="80" w:type="dxa"/>
              <w:end w:w="80" w:type="dxa"/>
            </w:tcMar>
          </w:tcPr>
          <w:p>
            <w:r>
              <w:rPr>
                <w:sz w:val="15"/>
              </w:rPr>
              <w:t>Credit rating level</w:t>
            </w:r>
          </w:p>
        </w:tc>
        <w:tc>
          <w:tcPr>
            <w:tcW w:type="dxa" w:w="3600"/>
            <w:vAlign w:val="center"/>
            <w:tcMar>
              <w:top w:w="80" w:type="dxa"/>
              <w:start w:w="80" w:type="dxa"/>
              <w:bottom w:w="80" w:type="dxa"/>
              <w:end w:w="80" w:type="dxa"/>
            </w:tcMar>
          </w:tcPr>
          <w:p>
            <w:r>
              <w:rPr>
                <w:sz w:val="15"/>
              </w:rPr>
              <w:t>Lag-1 Spearman correlation</w:t>
            </w:r>
          </w:p>
        </w:tc>
        <w:tc>
          <w:tcPr>
            <w:tcW w:type="dxa" w:w="1440"/>
            <w:vAlign w:val="center"/>
            <w:tcMar>
              <w:top w:w="80" w:type="dxa"/>
              <w:start w:w="80" w:type="dxa"/>
              <w:bottom w:w="80" w:type="dxa"/>
              <w:end w:w="80" w:type="dxa"/>
            </w:tcMar>
          </w:tcPr>
          <w:p>
            <w:r>
              <w:rPr>
                <w:sz w:val="15"/>
              </w:rPr>
              <w:t>3,041</w:t>
            </w:r>
          </w:p>
        </w:tc>
        <w:tc>
          <w:tcPr>
            <w:tcW w:type="dxa" w:w="1584"/>
            <w:vAlign w:val="center"/>
            <w:tcMar>
              <w:top w:w="80" w:type="dxa"/>
              <w:start w:w="80" w:type="dxa"/>
              <w:bottom w:w="80" w:type="dxa"/>
              <w:end w:w="80" w:type="dxa"/>
            </w:tcMar>
          </w:tcPr>
          <w:p>
            <w:r>
              <w:rPr>
                <w:sz w:val="15"/>
              </w:rPr>
              <w:t>0.8574</w:t>
            </w:r>
          </w:p>
        </w:tc>
        <w:tc>
          <w:tcPr>
            <w:tcW w:type="dxa" w:w="1152"/>
            <w:vAlign w:val="center"/>
            <w:tcMar>
              <w:top w:w="80" w:type="dxa"/>
              <w:start w:w="80" w:type="dxa"/>
              <w:bottom w:w="80" w:type="dxa"/>
              <w:end w:w="80" w:type="dxa"/>
            </w:tcMar>
          </w:tcPr>
          <w:p>
            <w:r>
              <w:rPr>
                <w:sz w:val="15"/>
              </w:rPr>
              <w:t>&lt;0.0001</w:t>
            </w:r>
          </w:p>
        </w:tc>
      </w:tr>
      <w:tr>
        <w:trPr>
          <w:cantSplit/>
        </w:trPr>
        <w:tc>
          <w:tcPr>
            <w:tcW w:type="dxa" w:w="2016"/>
            <w:vAlign w:val="center"/>
            <w:tcMar>
              <w:top w:w="80" w:type="dxa"/>
              <w:start w:w="80" w:type="dxa"/>
              <w:bottom w:w="80" w:type="dxa"/>
              <w:end w:w="80" w:type="dxa"/>
            </w:tcMar>
          </w:tcPr>
          <w:p>
            <w:r>
              <w:rPr>
                <w:sz w:val="15"/>
              </w:rPr>
              <w:t>Credit rating level</w:t>
            </w:r>
          </w:p>
        </w:tc>
        <w:tc>
          <w:tcPr>
            <w:tcW w:type="dxa" w:w="3600"/>
            <w:vAlign w:val="center"/>
            <w:tcMar>
              <w:top w:w="80" w:type="dxa"/>
              <w:start w:w="80" w:type="dxa"/>
              <w:bottom w:w="80" w:type="dxa"/>
              <w:end w:w="80" w:type="dxa"/>
            </w:tcMar>
          </w:tcPr>
          <w:p>
            <w:r>
              <w:rPr>
                <w:sz w:val="15"/>
              </w:rPr>
              <w:t>Quadratic weighted Cohen kappa</w:t>
            </w:r>
          </w:p>
        </w:tc>
        <w:tc>
          <w:tcPr>
            <w:tcW w:type="dxa" w:w="1440"/>
            <w:vAlign w:val="center"/>
            <w:tcMar>
              <w:top w:w="80" w:type="dxa"/>
              <w:start w:w="80" w:type="dxa"/>
              <w:bottom w:w="80" w:type="dxa"/>
              <w:end w:w="80" w:type="dxa"/>
            </w:tcMar>
          </w:tcPr>
          <w:p>
            <w:r>
              <w:rPr>
                <w:sz w:val="15"/>
              </w:rPr>
              <w:t>3,041</w:t>
            </w:r>
          </w:p>
        </w:tc>
        <w:tc>
          <w:tcPr>
            <w:tcW w:type="dxa" w:w="1584"/>
            <w:vAlign w:val="center"/>
            <w:tcMar>
              <w:top w:w="80" w:type="dxa"/>
              <w:start w:w="80" w:type="dxa"/>
              <w:bottom w:w="80" w:type="dxa"/>
              <w:end w:w="80" w:type="dxa"/>
            </w:tcMar>
          </w:tcPr>
          <w:p>
            <w:r>
              <w:rPr>
                <w:sz w:val="15"/>
              </w:rPr>
              <w:t>0.8762</w:t>
            </w:r>
          </w:p>
        </w:tc>
        <w:tc>
          <w:tcPr>
            <w:tcW w:type="dxa" w:w="1152"/>
            <w:vAlign w:val="center"/>
            <w:tcMar>
              <w:top w:w="80" w:type="dxa"/>
              <w:start w:w="80" w:type="dxa"/>
              <w:bottom w:w="80" w:type="dxa"/>
              <w:end w:w="80" w:type="dxa"/>
            </w:tcMar>
          </w:tcPr>
          <w:p>
            <w:r>
              <w:rPr>
                <w:sz w:val="15"/>
              </w:rPr>
            </w:r>
          </w:p>
        </w:tc>
      </w:tr>
      <w:tr>
        <w:trPr>
          <w:cantSplit/>
        </w:trPr>
        <w:tc>
          <w:tcPr>
            <w:tcW w:type="dxa" w:w="2016"/>
            <w:vAlign w:val="center"/>
            <w:tcMar>
              <w:top w:w="80" w:type="dxa"/>
              <w:start w:w="80" w:type="dxa"/>
              <w:bottom w:w="80" w:type="dxa"/>
              <w:end w:w="80" w:type="dxa"/>
            </w:tcMar>
          </w:tcPr>
          <w:p>
            <w:r>
              <w:rPr>
                <w:sz w:val="15"/>
              </w:rPr>
              <w:t>Credit rating level</w:t>
            </w:r>
          </w:p>
        </w:tc>
        <w:tc>
          <w:tcPr>
            <w:tcW w:type="dxa" w:w="3600"/>
            <w:vAlign w:val="center"/>
            <w:tcMar>
              <w:top w:w="80" w:type="dxa"/>
              <w:start w:w="80" w:type="dxa"/>
              <w:bottom w:w="80" w:type="dxa"/>
              <w:end w:w="80" w:type="dxa"/>
            </w:tcMar>
          </w:tcPr>
          <w:p>
            <w:r>
              <w:rPr>
                <w:sz w:val="15"/>
              </w:rPr>
              <w:t>ICC (random-intercept stability)</w:t>
            </w:r>
          </w:p>
        </w:tc>
        <w:tc>
          <w:tcPr>
            <w:tcW w:type="dxa" w:w="1440"/>
            <w:vAlign w:val="center"/>
            <w:tcMar>
              <w:top w:w="80" w:type="dxa"/>
              <w:start w:w="80" w:type="dxa"/>
              <w:bottom w:w="80" w:type="dxa"/>
              <w:end w:w="80" w:type="dxa"/>
            </w:tcMar>
          </w:tcPr>
          <w:p>
            <w:r>
              <w:rPr>
                <w:sz w:val="15"/>
              </w:rPr>
              <w:t>3,748</w:t>
            </w:r>
          </w:p>
        </w:tc>
        <w:tc>
          <w:tcPr>
            <w:tcW w:type="dxa" w:w="1584"/>
            <w:vAlign w:val="center"/>
            <w:tcMar>
              <w:top w:w="80" w:type="dxa"/>
              <w:start w:w="80" w:type="dxa"/>
              <w:bottom w:w="80" w:type="dxa"/>
              <w:end w:w="80" w:type="dxa"/>
            </w:tcMar>
          </w:tcPr>
          <w:p>
            <w:r>
              <w:rPr>
                <w:sz w:val="15"/>
              </w:rPr>
              <w:t>0.8459</w:t>
            </w:r>
          </w:p>
        </w:tc>
        <w:tc>
          <w:tcPr>
            <w:tcW w:type="dxa" w:w="1152"/>
            <w:vAlign w:val="center"/>
            <w:tcMar>
              <w:top w:w="80" w:type="dxa"/>
              <w:start w:w="80" w:type="dxa"/>
              <w:bottom w:w="80" w:type="dxa"/>
              <w:end w:w="80" w:type="dxa"/>
            </w:tcMar>
          </w:tcPr>
          <w:p>
            <w:r>
              <w:rPr>
                <w:sz w:val="15"/>
              </w:rPr>
            </w:r>
          </w:p>
        </w:tc>
      </w:tr>
      <w:tr>
        <w:trPr>
          <w:cantSplit/>
        </w:trPr>
        <w:tc>
          <w:tcPr>
            <w:tcW w:type="dxa" w:w="2016"/>
            <w:vAlign w:val="center"/>
            <w:tcMar>
              <w:top w:w="80" w:type="dxa"/>
              <w:start w:w="80" w:type="dxa"/>
              <w:bottom w:w="80" w:type="dxa"/>
              <w:end w:w="80" w:type="dxa"/>
            </w:tcMar>
          </w:tcPr>
          <w:p>
            <w:r>
              <w:rPr>
                <w:sz w:val="15"/>
              </w:rPr>
              <w:t>Credit rating level</w:t>
            </w:r>
          </w:p>
        </w:tc>
        <w:tc>
          <w:tcPr>
            <w:tcW w:type="dxa" w:w="3600"/>
            <w:vAlign w:val="center"/>
            <w:tcMar>
              <w:top w:w="80" w:type="dxa"/>
              <w:start w:w="80" w:type="dxa"/>
              <w:bottom w:w="80" w:type="dxa"/>
              <w:end w:w="80" w:type="dxa"/>
            </w:tcMar>
          </w:tcPr>
          <w:p>
            <w:r>
              <w:rPr>
                <w:sz w:val="15"/>
              </w:rPr>
              <w:t>Exact repeat share</w:t>
            </w:r>
          </w:p>
        </w:tc>
        <w:tc>
          <w:tcPr>
            <w:tcW w:type="dxa" w:w="1440"/>
            <w:vAlign w:val="center"/>
            <w:tcMar>
              <w:top w:w="80" w:type="dxa"/>
              <w:start w:w="80" w:type="dxa"/>
              <w:bottom w:w="80" w:type="dxa"/>
              <w:end w:w="80" w:type="dxa"/>
            </w:tcMar>
          </w:tcPr>
          <w:p>
            <w:r>
              <w:rPr>
                <w:sz w:val="15"/>
              </w:rPr>
              <w:t>3,041</w:t>
            </w:r>
          </w:p>
        </w:tc>
        <w:tc>
          <w:tcPr>
            <w:tcW w:type="dxa" w:w="1584"/>
            <w:vAlign w:val="center"/>
            <w:tcMar>
              <w:top w:w="80" w:type="dxa"/>
              <w:start w:w="80" w:type="dxa"/>
              <w:bottom w:w="80" w:type="dxa"/>
              <w:end w:w="80" w:type="dxa"/>
            </w:tcMar>
          </w:tcPr>
          <w:p>
            <w:r>
              <w:rPr>
                <w:sz w:val="15"/>
              </w:rPr>
              <w:t>0.9204</w:t>
            </w:r>
          </w:p>
        </w:tc>
        <w:tc>
          <w:tcPr>
            <w:tcW w:type="dxa" w:w="1152"/>
            <w:vAlign w:val="center"/>
            <w:tcMar>
              <w:top w:w="80" w:type="dxa"/>
              <w:start w:w="80" w:type="dxa"/>
              <w:bottom w:w="80" w:type="dxa"/>
              <w:end w:w="80" w:type="dxa"/>
            </w:tcMar>
          </w:tcPr>
          <w:p>
            <w:r>
              <w:rPr>
                <w:sz w:val="15"/>
              </w:rPr>
            </w:r>
          </w:p>
        </w:tc>
      </w:tr>
    </w:tbl>
    <w:p>
      <w:pPr>
        <w:spacing w:after="40"/>
      </w:pPr>
    </w:p>
    <w:p>
      <w:r>
        <w:t>Key interpretation: the ESG series looked “extremely reliable” numerically, but 97.22% of consecutive issuer-year ESG observations were exactly unchanged. This was treated as a responsiveness/data-timestamp warning rather than evidence of superior psychometric reliability.</w:t>
      </w:r>
    </w:p>
    <w:p>
      <w:pPr>
        <w:pStyle w:val="Heading2"/>
        <w:keepNext/>
      </w:pPr>
      <w:r>
        <w:t>4.3 Responsiveness of the delta variables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448"/>
            <w:shd w:fill="D9EAF7"/>
            <w:vAlign w:val="center"/>
          </w:tcPr>
          <w:p>
            <w:pPr>
              <w:jc w:val="center"/>
            </w:pPr>
            <w:r>
              <w:rPr>
                <w:b/>
                <w:sz w:val="16"/>
              </w:rPr>
              <w:t>Measure</w:t>
            </w:r>
          </w:p>
        </w:tc>
        <w:tc>
          <w:tcPr>
            <w:tcW w:type="dxa" w:w="1728"/>
            <w:shd w:fill="D9EAF7"/>
            <w:vAlign w:val="center"/>
          </w:tcPr>
          <w:p>
            <w:pPr>
              <w:jc w:val="center"/>
            </w:pPr>
            <w:r>
              <w:rPr>
                <w:b/>
                <w:sz w:val="16"/>
              </w:rPr>
              <w:t>Observed deltas</w:t>
            </w:r>
          </w:p>
        </w:tc>
        <w:tc>
          <w:tcPr>
            <w:tcW w:type="dxa" w:w="1440"/>
            <w:shd w:fill="D9EAF7"/>
            <w:vAlign w:val="center"/>
          </w:tcPr>
          <w:p>
            <w:pPr>
              <w:jc w:val="center"/>
            </w:pPr>
            <w:r>
              <w:rPr>
                <w:b/>
                <w:sz w:val="16"/>
              </w:rPr>
              <w:t>Non-zero</w:t>
            </w:r>
          </w:p>
        </w:tc>
        <w:tc>
          <w:tcPr>
            <w:tcW w:type="dxa" w:w="1728"/>
            <w:shd w:fill="D9EAF7"/>
            <w:vAlign w:val="center"/>
          </w:tcPr>
          <w:p>
            <w:pPr>
              <w:jc w:val="center"/>
            </w:pPr>
            <w:r>
              <w:rPr>
                <w:b/>
                <w:sz w:val="16"/>
              </w:rPr>
              <w:t>Non-zero share</w:t>
            </w:r>
          </w:p>
        </w:tc>
        <w:tc>
          <w:tcPr>
            <w:tcW w:type="dxa" w:w="1872"/>
            <w:shd w:fill="D9EAF7"/>
            <w:vAlign w:val="center"/>
          </w:tcPr>
          <w:p>
            <w:pPr>
              <w:jc w:val="center"/>
            </w:pPr>
            <w:r>
              <w:rPr>
                <w:b/>
                <w:sz w:val="16"/>
              </w:rPr>
              <w:t>Mean |change|</w:t>
            </w:r>
          </w:p>
        </w:tc>
      </w:tr>
      <w:tr>
        <w:trPr>
          <w:cantSplit/>
        </w:trPr>
        <w:tc>
          <w:tcPr>
            <w:tcW w:type="dxa" w:w="2448"/>
            <w:vAlign w:val="center"/>
            <w:tcMar>
              <w:top w:w="80" w:type="dxa"/>
              <w:start w:w="80" w:type="dxa"/>
              <w:bottom w:w="80" w:type="dxa"/>
              <w:end w:w="80" w:type="dxa"/>
            </w:tcMar>
          </w:tcPr>
          <w:p>
            <w:r>
              <w:rPr>
                <w:sz w:val="16"/>
              </w:rPr>
              <w:t>Delta_ESG</w:t>
            </w:r>
          </w:p>
        </w:tc>
        <w:tc>
          <w:tcPr>
            <w:tcW w:type="dxa" w:w="1728"/>
            <w:vAlign w:val="center"/>
            <w:tcMar>
              <w:top w:w="80" w:type="dxa"/>
              <w:start w:w="80" w:type="dxa"/>
              <w:bottom w:w="80" w:type="dxa"/>
              <w:end w:w="80" w:type="dxa"/>
            </w:tcMar>
          </w:tcPr>
          <w:p>
            <w:r>
              <w:rPr>
                <w:sz w:val="16"/>
              </w:rPr>
              <w:t>5,427</w:t>
            </w:r>
          </w:p>
        </w:tc>
        <w:tc>
          <w:tcPr>
            <w:tcW w:type="dxa" w:w="1440"/>
            <w:vAlign w:val="center"/>
            <w:tcMar>
              <w:top w:w="80" w:type="dxa"/>
              <w:start w:w="80" w:type="dxa"/>
              <w:bottom w:w="80" w:type="dxa"/>
              <w:end w:w="80" w:type="dxa"/>
            </w:tcMar>
          </w:tcPr>
          <w:p>
            <w:r>
              <w:rPr>
                <w:sz w:val="16"/>
              </w:rPr>
              <w:t>151</w:t>
            </w:r>
          </w:p>
        </w:tc>
        <w:tc>
          <w:tcPr>
            <w:tcW w:type="dxa" w:w="1728"/>
            <w:vAlign w:val="center"/>
            <w:tcMar>
              <w:top w:w="80" w:type="dxa"/>
              <w:start w:w="80" w:type="dxa"/>
              <w:bottom w:w="80" w:type="dxa"/>
              <w:end w:w="80" w:type="dxa"/>
            </w:tcMar>
          </w:tcPr>
          <w:p>
            <w:r>
              <w:rPr>
                <w:sz w:val="16"/>
              </w:rPr>
              <w:t>2.78%</w:t>
            </w:r>
          </w:p>
        </w:tc>
        <w:tc>
          <w:tcPr>
            <w:tcW w:type="dxa" w:w="1872"/>
            <w:vAlign w:val="center"/>
            <w:tcMar>
              <w:top w:w="80" w:type="dxa"/>
              <w:start w:w="80" w:type="dxa"/>
              <w:bottom w:w="80" w:type="dxa"/>
              <w:end w:w="80" w:type="dxa"/>
            </w:tcMar>
          </w:tcPr>
          <w:p>
            <w:r>
              <w:rPr>
                <w:sz w:val="16"/>
              </w:rPr>
              <w:t>0.0205</w:t>
            </w:r>
          </w:p>
        </w:tc>
      </w:tr>
      <w:tr>
        <w:trPr>
          <w:cantSplit/>
        </w:trPr>
        <w:tc>
          <w:tcPr>
            <w:tcW w:type="dxa" w:w="2448"/>
            <w:vAlign w:val="center"/>
            <w:tcMar>
              <w:top w:w="80" w:type="dxa"/>
              <w:start w:w="80" w:type="dxa"/>
              <w:bottom w:w="80" w:type="dxa"/>
              <w:end w:w="80" w:type="dxa"/>
            </w:tcMar>
          </w:tcPr>
          <w:p>
            <w:r>
              <w:rPr>
                <w:sz w:val="16"/>
              </w:rPr>
              <w:t>Delta_CreditRating</w:t>
            </w:r>
          </w:p>
        </w:tc>
        <w:tc>
          <w:tcPr>
            <w:tcW w:type="dxa" w:w="1728"/>
            <w:vAlign w:val="center"/>
            <w:tcMar>
              <w:top w:w="80" w:type="dxa"/>
              <w:start w:w="80" w:type="dxa"/>
              <w:bottom w:w="80" w:type="dxa"/>
              <w:end w:w="80" w:type="dxa"/>
            </w:tcMar>
          </w:tcPr>
          <w:p>
            <w:r>
              <w:rPr>
                <w:sz w:val="16"/>
              </w:rPr>
              <w:t>3,041</w:t>
            </w:r>
          </w:p>
        </w:tc>
        <w:tc>
          <w:tcPr>
            <w:tcW w:type="dxa" w:w="1440"/>
            <w:vAlign w:val="center"/>
            <w:tcMar>
              <w:top w:w="80" w:type="dxa"/>
              <w:start w:w="80" w:type="dxa"/>
              <w:bottom w:w="80" w:type="dxa"/>
              <w:end w:w="80" w:type="dxa"/>
            </w:tcMar>
          </w:tcPr>
          <w:p>
            <w:r>
              <w:rPr>
                <w:sz w:val="16"/>
              </w:rPr>
              <w:t>242</w:t>
            </w:r>
          </w:p>
        </w:tc>
        <w:tc>
          <w:tcPr>
            <w:tcW w:type="dxa" w:w="1728"/>
            <w:vAlign w:val="center"/>
            <w:tcMar>
              <w:top w:w="80" w:type="dxa"/>
              <w:start w:w="80" w:type="dxa"/>
              <w:bottom w:w="80" w:type="dxa"/>
              <w:end w:w="80" w:type="dxa"/>
            </w:tcMar>
          </w:tcPr>
          <w:p>
            <w:r>
              <w:rPr>
                <w:sz w:val="16"/>
              </w:rPr>
              <w:t>7.96%</w:t>
            </w:r>
          </w:p>
        </w:tc>
        <w:tc>
          <w:tcPr>
            <w:tcW w:type="dxa" w:w="1872"/>
            <w:vAlign w:val="center"/>
            <w:tcMar>
              <w:top w:w="80" w:type="dxa"/>
              <w:start w:w="80" w:type="dxa"/>
              <w:bottom w:w="80" w:type="dxa"/>
              <w:end w:w="80" w:type="dxa"/>
            </w:tcMar>
          </w:tcPr>
          <w:p>
            <w:r>
              <w:rPr>
                <w:sz w:val="16"/>
              </w:rPr>
              <w:t>0.1330</w:t>
            </w:r>
          </w:p>
        </w:tc>
      </w:tr>
    </w:tbl>
    <w:p>
      <w:pPr>
        <w:spacing w:after="40"/>
      </w:pPr>
    </w:p>
    <w:tbl>
      <w:tblPr>
        <w:tblStyle w:val="TableGrid"/>
        <w:tblW w:type="auto" w:w="0"/>
        <w:jc w:val="center"/>
        <w:tblLook w:firstColumn="1" w:firstRow="1" w:lastColumn="0" w:lastRow="0" w:noHBand="0" w:noVBand="1" w:val="04A0"/>
      </w:tblPr>
      <w:tblGrid>
        <w:gridCol w:w="10080"/>
      </w:tblGrid>
      <w:tr>
        <w:trPr>
          <w:cantSplit/>
        </w:trPr>
        <w:tc>
          <w:tcPr>
            <w:tcW w:type="dxa" w:w="10080"/>
            <w:shd w:fill="EAF3F8"/>
            <w:tcMar>
              <w:top w:w="120" w:type="dxa"/>
              <w:start w:w="140" w:type="dxa"/>
              <w:bottom w:w="120" w:type="dxa"/>
              <w:end w:w="140" w:type="dxa"/>
            </w:tcMar>
          </w:tcPr>
          <w:p>
            <w:r>
              <w:rPr>
                <w:b/>
                <w:color w:val="1F4E79"/>
                <w:sz w:val="21"/>
              </w:rPr>
              <w:t>Delta-specification warning</w:t>
              <w:br/>
            </w:r>
            <w:r>
              <w:rPr>
                <w:sz w:val="19"/>
              </w:rPr>
              <w:t>Only 2.78% of ΔESG observations and 7.96% of ΔCreditRating observations were non-zero. This greatly limits power for a dynamic-change model and supported the later decision to move the delta specification out of the primary analysis.</w:t>
            </w:r>
          </w:p>
        </w:tc>
      </w:tr>
    </w:tbl>
    <w:p>
      <w:pPr>
        <w:spacing w:after="40"/>
      </w:pPr>
    </w:p>
    <w:p>
      <w:pPr>
        <w:pStyle w:val="Heading2"/>
        <w:keepNext/>
      </w:pPr>
      <w:r>
        <w:t>4.4 Distinctness and criterion validity</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6048"/>
            <w:shd w:fill="D9EAF7"/>
            <w:vAlign w:val="center"/>
          </w:tcPr>
          <w:p>
            <w:pPr>
              <w:jc w:val="center"/>
            </w:pPr>
            <w:r>
              <w:rPr>
                <w:b/>
                <w:sz w:val="16"/>
              </w:rPr>
              <w:t>Diagnostic</w:t>
            </w:r>
          </w:p>
        </w:tc>
        <w:tc>
          <w:tcPr>
            <w:tcW w:type="dxa" w:w="1728"/>
            <w:shd w:fill="D9EAF7"/>
            <w:vAlign w:val="center"/>
          </w:tcPr>
          <w:p>
            <w:pPr>
              <w:jc w:val="center"/>
            </w:pPr>
            <w:r>
              <w:rPr>
                <w:b/>
                <w:sz w:val="16"/>
              </w:rPr>
              <w:t>Statistic</w:t>
            </w:r>
          </w:p>
        </w:tc>
        <w:tc>
          <w:tcPr>
            <w:tcW w:type="dxa" w:w="1440"/>
            <w:shd w:fill="D9EAF7"/>
            <w:vAlign w:val="center"/>
          </w:tcPr>
          <w:p>
            <w:pPr>
              <w:jc w:val="center"/>
            </w:pPr>
            <w:r>
              <w:rPr>
                <w:b/>
                <w:sz w:val="16"/>
              </w:rPr>
              <w:t>p</w:t>
            </w:r>
          </w:p>
        </w:tc>
      </w:tr>
      <w:tr>
        <w:trPr>
          <w:cantSplit/>
        </w:trPr>
        <w:tc>
          <w:tcPr>
            <w:tcW w:type="dxa" w:w="6048"/>
            <w:vAlign w:val="center"/>
            <w:tcMar>
              <w:top w:w="80" w:type="dxa"/>
              <w:start w:w="80" w:type="dxa"/>
              <w:bottom w:w="80" w:type="dxa"/>
              <w:end w:w="80" w:type="dxa"/>
            </w:tcMar>
          </w:tcPr>
          <w:p>
            <w:r>
              <w:rPr>
                <w:sz w:val="16"/>
              </w:rPr>
              <w:t>ΔESG vs ΔCreditRating Pearson</w:t>
            </w:r>
          </w:p>
        </w:tc>
        <w:tc>
          <w:tcPr>
            <w:tcW w:type="dxa" w:w="1728"/>
            <w:vAlign w:val="center"/>
            <w:tcMar>
              <w:top w:w="80" w:type="dxa"/>
              <w:start w:w="80" w:type="dxa"/>
              <w:bottom w:w="80" w:type="dxa"/>
              <w:end w:w="80" w:type="dxa"/>
            </w:tcMar>
          </w:tcPr>
          <w:p>
            <w:r>
              <w:rPr>
                <w:sz w:val="16"/>
              </w:rPr>
              <w:t>0.2117</w:t>
            </w:r>
          </w:p>
        </w:tc>
        <w:tc>
          <w:tcPr>
            <w:tcW w:type="dxa" w:w="1440"/>
            <w:vAlign w:val="center"/>
            <w:tcMar>
              <w:top w:w="80" w:type="dxa"/>
              <w:start w:w="80" w:type="dxa"/>
              <w:bottom w:w="80" w:type="dxa"/>
              <w:end w:w="80" w:type="dxa"/>
            </w:tcMar>
          </w:tcPr>
          <w:p>
            <w:r>
              <w:rPr>
                <w:sz w:val="16"/>
              </w:rPr>
              <w:t>&lt;0.0001</w:t>
            </w:r>
          </w:p>
        </w:tc>
      </w:tr>
      <w:tr>
        <w:trPr>
          <w:cantSplit/>
        </w:trPr>
        <w:tc>
          <w:tcPr>
            <w:tcW w:type="dxa" w:w="6048"/>
            <w:vAlign w:val="center"/>
            <w:tcMar>
              <w:top w:w="80" w:type="dxa"/>
              <w:start w:w="80" w:type="dxa"/>
              <w:bottom w:w="80" w:type="dxa"/>
              <w:end w:w="80" w:type="dxa"/>
            </w:tcMar>
          </w:tcPr>
          <w:p>
            <w:r>
              <w:rPr>
                <w:sz w:val="16"/>
              </w:rPr>
              <w:t>ΔESG vs ΔCreditRating Spearman</w:t>
            </w:r>
          </w:p>
        </w:tc>
        <w:tc>
          <w:tcPr>
            <w:tcW w:type="dxa" w:w="1728"/>
            <w:vAlign w:val="center"/>
            <w:tcMar>
              <w:top w:w="80" w:type="dxa"/>
              <w:start w:w="80" w:type="dxa"/>
              <w:bottom w:w="80" w:type="dxa"/>
              <w:end w:w="80" w:type="dxa"/>
            </w:tcMar>
          </w:tcPr>
          <w:p>
            <w:r>
              <w:rPr>
                <w:sz w:val="16"/>
              </w:rPr>
              <w:t>0.0417</w:t>
            </w:r>
          </w:p>
        </w:tc>
        <w:tc>
          <w:tcPr>
            <w:tcW w:type="dxa" w:w="1440"/>
            <w:vAlign w:val="center"/>
            <w:tcMar>
              <w:top w:w="80" w:type="dxa"/>
              <w:start w:w="80" w:type="dxa"/>
              <w:bottom w:w="80" w:type="dxa"/>
              <w:end w:w="80" w:type="dxa"/>
            </w:tcMar>
          </w:tcPr>
          <w:p>
            <w:r>
              <w:rPr>
                <w:sz w:val="16"/>
              </w:rPr>
              <w:t>0.0984</w:t>
            </w:r>
          </w:p>
        </w:tc>
      </w:tr>
      <w:tr>
        <w:trPr>
          <w:cantSplit/>
        </w:trPr>
        <w:tc>
          <w:tcPr>
            <w:tcW w:type="dxa" w:w="6048"/>
            <w:vAlign w:val="center"/>
            <w:tcMar>
              <w:top w:w="80" w:type="dxa"/>
              <w:start w:w="80" w:type="dxa"/>
              <w:bottom w:w="80" w:type="dxa"/>
              <w:end w:w="80" w:type="dxa"/>
            </w:tcMar>
          </w:tcPr>
          <w:p>
            <w:r>
              <w:rPr>
                <w:sz w:val="16"/>
              </w:rPr>
              <w:t>VIF: ΔESG</w:t>
            </w:r>
          </w:p>
        </w:tc>
        <w:tc>
          <w:tcPr>
            <w:tcW w:type="dxa" w:w="1728"/>
            <w:vAlign w:val="center"/>
            <w:tcMar>
              <w:top w:w="80" w:type="dxa"/>
              <w:start w:w="80" w:type="dxa"/>
              <w:bottom w:w="80" w:type="dxa"/>
              <w:end w:w="80" w:type="dxa"/>
            </w:tcMar>
          </w:tcPr>
          <w:p>
            <w:r>
              <w:rPr>
                <w:sz w:val="16"/>
              </w:rPr>
              <w:t>1.0031</w:t>
            </w:r>
          </w:p>
        </w:tc>
        <w:tc>
          <w:tcPr>
            <w:tcW w:type="dxa" w:w="1440"/>
            <w:vAlign w:val="center"/>
            <w:tcMar>
              <w:top w:w="80" w:type="dxa"/>
              <w:start w:w="80" w:type="dxa"/>
              <w:bottom w:w="80" w:type="dxa"/>
              <w:end w:w="80" w:type="dxa"/>
            </w:tcMar>
          </w:tcPr>
          <w:p>
            <w:r>
              <w:rPr>
                <w:sz w:val="16"/>
              </w:rPr>
              <w:t>-</w:t>
            </w:r>
          </w:p>
        </w:tc>
      </w:tr>
      <w:tr>
        <w:trPr>
          <w:cantSplit/>
        </w:trPr>
        <w:tc>
          <w:tcPr>
            <w:tcW w:type="dxa" w:w="6048"/>
            <w:vAlign w:val="center"/>
            <w:tcMar>
              <w:top w:w="80" w:type="dxa"/>
              <w:start w:w="80" w:type="dxa"/>
              <w:bottom w:w="80" w:type="dxa"/>
              <w:end w:w="80" w:type="dxa"/>
            </w:tcMar>
          </w:tcPr>
          <w:p>
            <w:r>
              <w:rPr>
                <w:sz w:val="16"/>
              </w:rPr>
              <w:t>VIF: ΔCreditRating</w:t>
            </w:r>
          </w:p>
        </w:tc>
        <w:tc>
          <w:tcPr>
            <w:tcW w:type="dxa" w:w="1728"/>
            <w:vAlign w:val="center"/>
            <w:tcMar>
              <w:top w:w="80" w:type="dxa"/>
              <w:start w:w="80" w:type="dxa"/>
              <w:bottom w:w="80" w:type="dxa"/>
              <w:end w:w="80" w:type="dxa"/>
            </w:tcMar>
          </w:tcPr>
          <w:p>
            <w:r>
              <w:rPr>
                <w:sz w:val="16"/>
              </w:rPr>
              <w:t>1.0093</w:t>
            </w:r>
          </w:p>
        </w:tc>
        <w:tc>
          <w:tcPr>
            <w:tcW w:type="dxa" w:w="1440"/>
            <w:vAlign w:val="center"/>
            <w:tcMar>
              <w:top w:w="80" w:type="dxa"/>
              <w:start w:w="80" w:type="dxa"/>
              <w:bottom w:w="80" w:type="dxa"/>
              <w:end w:w="80" w:type="dxa"/>
            </w:tcMar>
          </w:tcPr>
          <w:p>
            <w:r>
              <w:rPr>
                <w:sz w:val="16"/>
              </w:rPr>
              <w:t>-</w:t>
            </w:r>
          </w:p>
        </w:tc>
      </w:tr>
      <w:tr>
        <w:trPr>
          <w:cantSplit/>
        </w:trPr>
        <w:tc>
          <w:tcPr>
            <w:tcW w:type="dxa" w:w="6048"/>
            <w:vAlign w:val="center"/>
            <w:tcMar>
              <w:top w:w="80" w:type="dxa"/>
              <w:start w:w="80" w:type="dxa"/>
              <w:bottom w:w="80" w:type="dxa"/>
              <w:end w:w="80" w:type="dxa"/>
            </w:tcMar>
          </w:tcPr>
          <w:p>
            <w:r>
              <w:rPr>
                <w:sz w:val="16"/>
              </w:rPr>
              <w:t>Joint clustered Wald: ΔRating = ΔESG = 0</w:t>
            </w:r>
          </w:p>
        </w:tc>
        <w:tc>
          <w:tcPr>
            <w:tcW w:type="dxa" w:w="1728"/>
            <w:vAlign w:val="center"/>
            <w:tcMar>
              <w:top w:w="80" w:type="dxa"/>
              <w:start w:w="80" w:type="dxa"/>
              <w:bottom w:w="80" w:type="dxa"/>
              <w:end w:w="80" w:type="dxa"/>
            </w:tcMar>
          </w:tcPr>
          <w:p>
            <w:r>
              <w:rPr>
                <w:sz w:val="16"/>
              </w:rPr>
              <w:t>1.6938</w:t>
            </w:r>
          </w:p>
        </w:tc>
        <w:tc>
          <w:tcPr>
            <w:tcW w:type="dxa" w:w="1440"/>
            <w:vAlign w:val="center"/>
            <w:tcMar>
              <w:top w:w="80" w:type="dxa"/>
              <w:start w:w="80" w:type="dxa"/>
              <w:bottom w:w="80" w:type="dxa"/>
              <w:end w:w="80" w:type="dxa"/>
            </w:tcMar>
          </w:tcPr>
          <w:p>
            <w:r>
              <w:rPr>
                <w:sz w:val="16"/>
              </w:rPr>
              <w:t>0.1854</w:t>
            </w:r>
          </w:p>
        </w:tc>
      </w:tr>
    </w:tbl>
    <w:p>
      <w:pPr>
        <w:spacing w:after="40"/>
      </w:pPr>
    </w:p>
    <w:p>
      <w:r>
        <w:t>The two delta measures were not collinear, but they added very little incremental explanatory power to YTM. The joint Wald test was not significant (p = 0.1854).</w:t>
      </w:r>
    </w:p>
    <w:p>
      <w:pPr>
        <w:pStyle w:val="Heading1"/>
        <w:keepNext/>
      </w:pPr>
      <w:r>
        <w:t>5. Bootstrap analysis of the delta specification</w:t>
      </w:r>
    </w:p>
    <w:p>
      <w:pPr>
        <w:pStyle w:val="Heading2"/>
        <w:keepNext/>
      </w:pPr>
      <w:r>
        <w:t>5.1 Bootstrap design</w:t>
      </w:r>
    </w:p>
    <w:p>
      <w:pPr>
        <w:pStyle w:val="ListBullet"/>
      </w:pPr>
      <w:r>
        <w:t>5,000 replications.</w:t>
      </w:r>
    </w:p>
    <w:p>
      <w:pPr>
        <w:pStyle w:val="ListBullet"/>
      </w:pPr>
      <w:r>
        <w:t>Issuer-cluster wild bootstrap using Rademacher (+1 / -1) weights.</w:t>
      </w:r>
    </w:p>
    <w:p>
      <w:pPr>
        <w:pStyle w:val="ListBullet"/>
      </w:pPr>
      <w:r>
        <w:t>Common sample N = 6,613, Green N = 385, issuer clusters = 335.</w:t>
      </w:r>
    </w:p>
    <w:p>
      <w:pPr>
        <w:pStyle w:val="ListBullet"/>
      </w:pPr>
      <w:r>
        <w:t>The same issuer-level weights were applied within a replication so bonds from the same issuer were not treated as independent.</w:t>
      </w:r>
    </w:p>
    <w:p>
      <w:pPr>
        <w:pStyle w:val="ListBullet"/>
      </w:pPr>
      <w:r>
        <w:t>95% percentile confidence intervals were obtained from the bootstrap coefficient distributions.</w:t>
      </w:r>
    </w:p>
    <w:p>
      <w:pPr>
        <w:pStyle w:val="Heading2"/>
        <w:keepNext/>
      </w:pPr>
      <w:r>
        <w:t>5.2 Delta bootstrap results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cantSplit/>
        </w:trPr>
        <w:tc>
          <w:tcPr>
            <w:tcW w:type="dxa" w:w="3168"/>
            <w:shd w:fill="D9EAF7"/>
            <w:vAlign w:val="center"/>
          </w:tcPr>
          <w:p>
            <w:pPr>
              <w:jc w:val="center"/>
            </w:pPr>
            <w:r>
              <w:rPr>
                <w:b/>
                <w:sz w:val="15"/>
              </w:rPr>
              <w:t>Hypothesis</w:t>
            </w:r>
          </w:p>
        </w:tc>
        <w:tc>
          <w:tcPr>
            <w:tcW w:type="dxa" w:w="1440"/>
            <w:shd w:fill="D9EAF7"/>
            <w:vAlign w:val="center"/>
          </w:tcPr>
          <w:p>
            <w:pPr>
              <w:jc w:val="center"/>
            </w:pPr>
            <w:r>
              <w:rPr>
                <w:b/>
                <w:sz w:val="15"/>
              </w:rPr>
              <w:t>Estimate (bps)</w:t>
            </w:r>
          </w:p>
        </w:tc>
        <w:tc>
          <w:tcPr>
            <w:tcW w:type="dxa" w:w="1296"/>
            <w:shd w:fill="D9EAF7"/>
            <w:vAlign w:val="center"/>
          </w:tcPr>
          <w:p>
            <w:pPr>
              <w:jc w:val="center"/>
            </w:pPr>
            <w:r>
              <w:rPr>
                <w:b/>
                <w:sz w:val="15"/>
              </w:rPr>
              <w:t>Boot SE</w:t>
            </w:r>
          </w:p>
        </w:tc>
        <w:tc>
          <w:tcPr>
            <w:tcW w:type="dxa" w:w="2448"/>
            <w:shd w:fill="D9EAF7"/>
            <w:vAlign w:val="center"/>
          </w:tcPr>
          <w:p>
            <w:pPr>
              <w:jc w:val="center"/>
            </w:pPr>
            <w:r>
              <w:rPr>
                <w:b/>
                <w:sz w:val="15"/>
              </w:rPr>
              <w:t>95% CI</w:t>
            </w:r>
          </w:p>
        </w:tc>
        <w:tc>
          <w:tcPr>
            <w:tcW w:type="dxa" w:w="1152"/>
            <w:shd w:fill="D9EAF7"/>
            <w:vAlign w:val="center"/>
          </w:tcPr>
          <w:p>
            <w:pPr>
              <w:jc w:val="center"/>
            </w:pPr>
            <w:r>
              <w:rPr>
                <w:b/>
                <w:sz w:val="15"/>
              </w:rPr>
              <w:t>Boot p</w:t>
            </w:r>
          </w:p>
        </w:tc>
        <w:tc>
          <w:tcPr>
            <w:tcW w:type="dxa" w:w="1440"/>
            <w:shd w:fill="D9EAF7"/>
            <w:vAlign w:val="center"/>
          </w:tcPr>
          <w:p>
            <w:pPr>
              <w:jc w:val="center"/>
            </w:pPr>
            <w:r>
              <w:rPr>
                <w:b/>
                <w:sz w:val="15"/>
              </w:rPr>
              <w:t>CI excludes 0?</w:t>
            </w:r>
          </w:p>
        </w:tc>
      </w:tr>
      <w:tr>
        <w:trPr>
          <w:cantSplit/>
        </w:trPr>
        <w:tc>
          <w:tcPr>
            <w:tcW w:type="dxa" w:w="3168"/>
            <w:vAlign w:val="center"/>
            <w:tcMar>
              <w:top w:w="80" w:type="dxa"/>
              <w:start w:w="80" w:type="dxa"/>
              <w:bottom w:w="80" w:type="dxa"/>
              <w:end w:w="80" w:type="dxa"/>
            </w:tcMar>
          </w:tcPr>
          <w:p>
            <w:r>
              <w:rPr>
                <w:sz w:val="15"/>
              </w:rPr>
              <w:t>H1: Green pricing differential</w:t>
            </w:r>
          </w:p>
        </w:tc>
        <w:tc>
          <w:tcPr>
            <w:tcW w:type="dxa" w:w="1440"/>
            <w:vAlign w:val="center"/>
            <w:tcMar>
              <w:top w:w="80" w:type="dxa"/>
              <w:start w:w="80" w:type="dxa"/>
              <w:bottom w:w="80" w:type="dxa"/>
              <w:end w:w="80" w:type="dxa"/>
            </w:tcMar>
          </w:tcPr>
          <w:p>
            <w:r>
              <w:rPr>
                <w:sz w:val="15"/>
              </w:rPr>
              <w:t>-7.49</w:t>
            </w:r>
          </w:p>
        </w:tc>
        <w:tc>
          <w:tcPr>
            <w:tcW w:type="dxa" w:w="1296"/>
            <w:vAlign w:val="center"/>
            <w:tcMar>
              <w:top w:w="80" w:type="dxa"/>
              <w:start w:w="80" w:type="dxa"/>
              <w:bottom w:w="80" w:type="dxa"/>
              <w:end w:w="80" w:type="dxa"/>
            </w:tcMar>
          </w:tcPr>
          <w:p>
            <w:r>
              <w:rPr>
                <w:sz w:val="15"/>
              </w:rPr>
              <w:t>11.78</w:t>
            </w:r>
          </w:p>
        </w:tc>
        <w:tc>
          <w:tcPr>
            <w:tcW w:type="dxa" w:w="2448"/>
            <w:vAlign w:val="center"/>
            <w:tcMar>
              <w:top w:w="80" w:type="dxa"/>
              <w:start w:w="80" w:type="dxa"/>
              <w:bottom w:w="80" w:type="dxa"/>
              <w:end w:w="80" w:type="dxa"/>
            </w:tcMar>
          </w:tcPr>
          <w:p>
            <w:r>
              <w:rPr>
                <w:sz w:val="15"/>
              </w:rPr>
              <w:t>[-29.83, 15.34]</w:t>
            </w:r>
          </w:p>
        </w:tc>
        <w:tc>
          <w:tcPr>
            <w:tcW w:type="dxa" w:w="1152"/>
            <w:vAlign w:val="center"/>
            <w:tcMar>
              <w:top w:w="80" w:type="dxa"/>
              <w:start w:w="80" w:type="dxa"/>
              <w:bottom w:w="80" w:type="dxa"/>
              <w:end w:w="80" w:type="dxa"/>
            </w:tcMar>
          </w:tcPr>
          <w:p>
            <w:r>
              <w:rPr>
                <w:sz w:val="15"/>
              </w:rPr>
              <w:t>0.5247</w:t>
            </w:r>
          </w:p>
        </w:tc>
        <w:tc>
          <w:tcPr>
            <w:tcW w:type="dxa" w:w="1440"/>
            <w:vAlign w:val="center"/>
            <w:tcMar>
              <w:top w:w="80" w:type="dxa"/>
              <w:start w:w="80" w:type="dxa"/>
              <w:bottom w:w="80" w:type="dxa"/>
              <w:end w:w="80" w:type="dxa"/>
            </w:tcMar>
          </w:tcPr>
          <w:p>
            <w:r>
              <w:rPr>
                <w:sz w:val="15"/>
              </w:rPr>
              <w:t>No</w:t>
            </w:r>
          </w:p>
        </w:tc>
      </w:tr>
      <w:tr>
        <w:trPr>
          <w:cantSplit/>
        </w:trPr>
        <w:tc>
          <w:tcPr>
            <w:tcW w:type="dxa" w:w="3168"/>
            <w:vAlign w:val="center"/>
            <w:tcMar>
              <w:top w:w="80" w:type="dxa"/>
              <w:start w:w="80" w:type="dxa"/>
              <w:bottom w:w="80" w:type="dxa"/>
              <w:end w:w="80" w:type="dxa"/>
            </w:tcMar>
          </w:tcPr>
          <w:p>
            <w:r>
              <w:rPr>
                <w:sz w:val="15"/>
              </w:rPr>
              <w:t>H3: Change in credit rating</w:t>
            </w:r>
          </w:p>
        </w:tc>
        <w:tc>
          <w:tcPr>
            <w:tcW w:type="dxa" w:w="1440"/>
            <w:vAlign w:val="center"/>
            <w:tcMar>
              <w:top w:w="80" w:type="dxa"/>
              <w:start w:w="80" w:type="dxa"/>
              <w:bottom w:w="80" w:type="dxa"/>
              <w:end w:w="80" w:type="dxa"/>
            </w:tcMar>
          </w:tcPr>
          <w:p>
            <w:r>
              <w:rPr>
                <w:sz w:val="15"/>
              </w:rPr>
              <w:t>8.23</w:t>
            </w:r>
          </w:p>
        </w:tc>
        <w:tc>
          <w:tcPr>
            <w:tcW w:type="dxa" w:w="1296"/>
            <w:vAlign w:val="center"/>
            <w:tcMar>
              <w:top w:w="80" w:type="dxa"/>
              <w:start w:w="80" w:type="dxa"/>
              <w:bottom w:w="80" w:type="dxa"/>
              <w:end w:w="80" w:type="dxa"/>
            </w:tcMar>
          </w:tcPr>
          <w:p>
            <w:r>
              <w:rPr>
                <w:sz w:val="15"/>
              </w:rPr>
              <w:t>4.80</w:t>
            </w:r>
          </w:p>
        </w:tc>
        <w:tc>
          <w:tcPr>
            <w:tcW w:type="dxa" w:w="2448"/>
            <w:vAlign w:val="center"/>
            <w:tcMar>
              <w:top w:w="80" w:type="dxa"/>
              <w:start w:w="80" w:type="dxa"/>
              <w:bottom w:w="80" w:type="dxa"/>
              <w:end w:w="80" w:type="dxa"/>
            </w:tcMar>
          </w:tcPr>
          <w:p>
            <w:r>
              <w:rPr>
                <w:sz w:val="15"/>
              </w:rPr>
              <w:t>[-0.70, 17.07]</w:t>
            </w:r>
          </w:p>
        </w:tc>
        <w:tc>
          <w:tcPr>
            <w:tcW w:type="dxa" w:w="1152"/>
            <w:vAlign w:val="center"/>
            <w:tcMar>
              <w:top w:w="80" w:type="dxa"/>
              <w:start w:w="80" w:type="dxa"/>
              <w:bottom w:w="80" w:type="dxa"/>
              <w:end w:w="80" w:type="dxa"/>
            </w:tcMar>
          </w:tcPr>
          <w:p>
            <w:r>
              <w:rPr>
                <w:sz w:val="15"/>
              </w:rPr>
              <w:t>0.0867</w:t>
            </w:r>
          </w:p>
        </w:tc>
        <w:tc>
          <w:tcPr>
            <w:tcW w:type="dxa" w:w="1440"/>
            <w:vAlign w:val="center"/>
            <w:tcMar>
              <w:top w:w="80" w:type="dxa"/>
              <w:start w:w="80" w:type="dxa"/>
              <w:bottom w:w="80" w:type="dxa"/>
              <w:end w:w="80" w:type="dxa"/>
            </w:tcMar>
          </w:tcPr>
          <w:p>
            <w:r>
              <w:rPr>
                <w:sz w:val="15"/>
              </w:rPr>
              <w:t>No</w:t>
            </w:r>
          </w:p>
        </w:tc>
      </w:tr>
      <w:tr>
        <w:trPr>
          <w:cantSplit/>
        </w:trPr>
        <w:tc>
          <w:tcPr>
            <w:tcW w:type="dxa" w:w="3168"/>
            <w:vAlign w:val="center"/>
            <w:tcMar>
              <w:top w:w="80" w:type="dxa"/>
              <w:start w:w="80" w:type="dxa"/>
              <w:bottom w:w="80" w:type="dxa"/>
              <w:end w:w="80" w:type="dxa"/>
            </w:tcMar>
          </w:tcPr>
          <w:p>
            <w:r>
              <w:rPr>
                <w:sz w:val="15"/>
              </w:rPr>
              <w:t>H2: Change in ESG</w:t>
            </w:r>
          </w:p>
        </w:tc>
        <w:tc>
          <w:tcPr>
            <w:tcW w:type="dxa" w:w="1440"/>
            <w:vAlign w:val="center"/>
            <w:tcMar>
              <w:top w:w="80" w:type="dxa"/>
              <w:start w:w="80" w:type="dxa"/>
              <w:bottom w:w="80" w:type="dxa"/>
              <w:end w:w="80" w:type="dxa"/>
            </w:tcMar>
          </w:tcPr>
          <w:p>
            <w:r>
              <w:rPr>
                <w:sz w:val="15"/>
              </w:rPr>
              <w:t>4.01</w:t>
            </w:r>
          </w:p>
        </w:tc>
        <w:tc>
          <w:tcPr>
            <w:tcW w:type="dxa" w:w="1296"/>
            <w:vAlign w:val="center"/>
            <w:tcMar>
              <w:top w:w="80" w:type="dxa"/>
              <w:start w:w="80" w:type="dxa"/>
              <w:bottom w:w="80" w:type="dxa"/>
              <w:end w:w="80" w:type="dxa"/>
            </w:tcMar>
          </w:tcPr>
          <w:p>
            <w:r>
              <w:rPr>
                <w:sz w:val="15"/>
              </w:rPr>
              <w:t>5.62</w:t>
            </w:r>
          </w:p>
        </w:tc>
        <w:tc>
          <w:tcPr>
            <w:tcW w:type="dxa" w:w="2448"/>
            <w:vAlign w:val="center"/>
            <w:tcMar>
              <w:top w:w="80" w:type="dxa"/>
              <w:start w:w="80" w:type="dxa"/>
              <w:bottom w:w="80" w:type="dxa"/>
              <w:end w:w="80" w:type="dxa"/>
            </w:tcMar>
          </w:tcPr>
          <w:p>
            <w:r>
              <w:rPr>
                <w:sz w:val="15"/>
              </w:rPr>
              <w:t>[-5.51, 13.54]</w:t>
            </w:r>
          </w:p>
        </w:tc>
        <w:tc>
          <w:tcPr>
            <w:tcW w:type="dxa" w:w="1152"/>
            <w:vAlign w:val="center"/>
            <w:tcMar>
              <w:top w:w="80" w:type="dxa"/>
              <w:start w:w="80" w:type="dxa"/>
              <w:bottom w:w="80" w:type="dxa"/>
              <w:end w:w="80" w:type="dxa"/>
            </w:tcMar>
          </w:tcPr>
          <w:p>
            <w:r>
              <w:rPr>
                <w:sz w:val="15"/>
              </w:rPr>
              <w:t>0.4763</w:t>
            </w:r>
          </w:p>
        </w:tc>
        <w:tc>
          <w:tcPr>
            <w:tcW w:type="dxa" w:w="1440"/>
            <w:vAlign w:val="center"/>
            <w:tcMar>
              <w:top w:w="80" w:type="dxa"/>
              <w:start w:w="80" w:type="dxa"/>
              <w:bottom w:w="80" w:type="dxa"/>
              <w:end w:w="80" w:type="dxa"/>
            </w:tcMar>
          </w:tcPr>
          <w:p>
            <w:r>
              <w:rPr>
                <w:sz w:val="15"/>
              </w:rPr>
              <w:t>No</w:t>
            </w:r>
          </w:p>
        </w:tc>
      </w:tr>
    </w:tbl>
    <w:p>
      <w:pPr>
        <w:spacing w:after="40"/>
      </w:pPr>
    </w:p>
    <w:tbl>
      <w:tblPr>
        <w:tblStyle w:val="TableGrid"/>
        <w:tblW w:type="auto" w:w="0"/>
        <w:jc w:val="center"/>
        <w:tblLook w:firstColumn="1" w:firstRow="1" w:lastColumn="0" w:lastRow="0" w:noHBand="0" w:noVBand="1" w:val="04A0"/>
      </w:tblPr>
      <w:tblGrid>
        <w:gridCol w:w="10080"/>
      </w:tblGrid>
      <w:tr>
        <w:trPr>
          <w:cantSplit/>
        </w:trPr>
        <w:tc>
          <w:tcPr>
            <w:tcW w:type="dxa" w:w="10080"/>
            <w:shd w:fill="EAF3F8"/>
            <w:tcMar>
              <w:top w:w="120" w:type="dxa"/>
              <w:start w:w="140" w:type="dxa"/>
              <w:bottom w:w="120" w:type="dxa"/>
              <w:end w:w="140" w:type="dxa"/>
            </w:tcMar>
          </w:tcPr>
          <w:p>
            <w:r>
              <w:rPr>
                <w:b/>
                <w:color w:val="1F4E79"/>
                <w:sz w:val="21"/>
              </w:rPr>
              <w:t>Conclusion from the delta bootstrap</w:t>
              <w:br/>
            </w:r>
            <w:r>
              <w:rPr>
                <w:sz w:val="19"/>
              </w:rPr>
              <w:t>None of the three full-delta coefficients had a 95% bootstrap interval excluding zero. ΔCreditRating came closest (p ≈ 0.087) but did not reach the 5% threshold. This reinforced the need to inspect measurement validity rather than search for significance.</w:t>
            </w:r>
          </w:p>
        </w:tc>
      </w:tr>
    </w:tbl>
    <w:p>
      <w:pPr>
        <w:spacing w:after="40"/>
      </w:pPr>
    </w:p>
    <w:p>
      <w:pPr>
        <w:pStyle w:val="Heading1"/>
        <w:keepNext/>
      </w:pPr>
      <w:r>
        <w:t>6. Iterative audit and rectifications</w:t>
      </w:r>
    </w:p>
    <w:p>
      <w:pPr>
        <w:pStyle w:val="Heading2"/>
        <w:keepNext/>
      </w:pPr>
      <w:r>
        <w:t>6.1 Why the delta model was demoted</w:t>
      </w:r>
    </w:p>
    <w:p>
      <w:r>
        <w:t>The data audit showed that among issuers with ESG observed in at least two issue years, 95.49% had exactly one unique ESG score across those years. In addition, IssueYear is the bond issue year, not an independently verified ESG-score or rating observation date. Therefore the delta construction is mechanically reproducible but temporally ambiguous.</w:t>
      </w:r>
    </w:p>
    <w:tbl>
      <w:tblPr>
        <w:tblStyle w:val="TableGrid"/>
        <w:tblW w:type="auto" w:w="0"/>
        <w:jc w:val="center"/>
        <w:tblLook w:firstColumn="1" w:firstRow="1" w:lastColumn="0" w:lastRow="0" w:noHBand="0" w:noVBand="1" w:val="04A0"/>
      </w:tblPr>
      <w:tblGrid>
        <w:gridCol w:w="10080"/>
      </w:tblGrid>
      <w:tr>
        <w:trPr>
          <w:cantSplit/>
        </w:trPr>
        <w:tc>
          <w:tcPr>
            <w:tcW w:type="dxa" w:w="10080"/>
            <w:shd w:fill="EAF3F8"/>
            <w:tcMar>
              <w:top w:w="120" w:type="dxa"/>
              <w:start w:w="140" w:type="dxa"/>
              <w:bottom w:w="120" w:type="dxa"/>
              <w:end w:w="140" w:type="dxa"/>
            </w:tcMar>
          </w:tcPr>
          <w:p>
            <w:r>
              <w:rPr>
                <w:b/>
                <w:color w:val="1F4E79"/>
                <w:sz w:val="21"/>
              </w:rPr>
              <w:t>Decision</w:t>
              <w:br/>
            </w:r>
            <w:r>
              <w:rPr>
                <w:sz w:val="19"/>
              </w:rPr>
              <w:t>Temporal ΔESG and ΔCreditRating are retained only as exploratory robustness measures. They should not be presented as the primary measurement strategy.</w:t>
            </w:r>
          </w:p>
        </w:tc>
      </w:tr>
    </w:tbl>
    <w:p>
      <w:pPr>
        <w:spacing w:after="40"/>
      </w:pPr>
    </w:p>
    <w:p>
      <w:pPr>
        <w:pStyle w:val="Heading2"/>
        <w:keepNext/>
      </w:pPr>
      <w:r>
        <w:t>6.2 Credit-rating measurement correction</w:t>
      </w:r>
    </w:p>
    <w:p>
      <w:r>
        <w:t>The earlier coarse 1-5 mapping was rejected because it imposed arbitrary distances across heterogeneous labels such as “Investment Grade”, “High Yield”, Moody's/S&amp;P notches, and other categories. The primary credit-quality control was changed to an Investment Grade indicator.</w:t>
      </w:r>
    </w:p>
    <w:tbl>
      <w:tblPr>
        <w:tblStyle w:val="TableGrid"/>
        <w:tblW w:type="auto" w:w="0"/>
        <w:jc w:val="center"/>
        <w:tblLook w:firstColumn="1" w:firstRow="1" w:lastColumn="0" w:lastRow="0" w:noHBand="0" w:noVBand="1" w:val="04A0"/>
      </w:tblPr>
      <w:tblGrid>
        <w:gridCol w:w="5040"/>
        <w:gridCol w:w="5040"/>
      </w:tblGrid>
      <w:tr>
        <w:trPr>
          <w:cantSplit/>
        </w:trPr>
        <w:tc>
          <w:tcPr>
            <w:tcW w:type="dxa" w:w="1872"/>
            <w:shd w:fill="D9EAF7"/>
            <w:vAlign w:val="center"/>
          </w:tcPr>
          <w:p>
            <w:pPr>
              <w:jc w:val="center"/>
            </w:pPr>
            <w:r>
              <w:rPr>
                <w:b/>
                <w:sz w:val="17"/>
              </w:rPr>
              <w:t>Code</w:t>
            </w:r>
          </w:p>
        </w:tc>
        <w:tc>
          <w:tcPr>
            <w:tcW w:type="dxa" w:w="8064"/>
            <w:shd w:fill="D9EAF7"/>
            <w:vAlign w:val="center"/>
          </w:tcPr>
          <w:p>
            <w:pPr>
              <w:jc w:val="center"/>
            </w:pPr>
            <w:r>
              <w:rPr>
                <w:b/>
                <w:sz w:val="17"/>
              </w:rPr>
              <w:t>Meaning</w:t>
            </w:r>
          </w:p>
        </w:tc>
      </w:tr>
      <w:tr>
        <w:trPr>
          <w:cantSplit/>
        </w:trPr>
        <w:tc>
          <w:tcPr>
            <w:tcW w:type="dxa" w:w="1872"/>
            <w:vAlign w:val="center"/>
            <w:tcMar>
              <w:top w:w="80" w:type="dxa"/>
              <w:start w:w="80" w:type="dxa"/>
              <w:bottom w:w="80" w:type="dxa"/>
              <w:end w:w="80" w:type="dxa"/>
            </w:tcMar>
          </w:tcPr>
          <w:p>
            <w:r>
              <w:rPr>
                <w:b/>
                <w:sz w:val="17"/>
              </w:rPr>
              <w:t>IG = 1</w:t>
            </w:r>
          </w:p>
        </w:tc>
        <w:tc>
          <w:tcPr>
            <w:tcW w:type="dxa" w:w="8064"/>
            <w:vAlign w:val="center"/>
            <w:tcMar>
              <w:top w:w="80" w:type="dxa"/>
              <w:start w:w="80" w:type="dxa"/>
              <w:bottom w:w="80" w:type="dxa"/>
              <w:end w:w="80" w:type="dxa"/>
            </w:tcMar>
          </w:tcPr>
          <w:p>
            <w:r>
              <w:rPr>
                <w:sz w:val="17"/>
              </w:rPr>
              <w:t>Broad “Investment Grade” OR exact rating Baa3/BBB- or better</w:t>
            </w:r>
          </w:p>
        </w:tc>
      </w:tr>
      <w:tr>
        <w:trPr>
          <w:cantSplit/>
        </w:trPr>
        <w:tc>
          <w:tcPr>
            <w:tcW w:type="dxa" w:w="1872"/>
            <w:vAlign w:val="center"/>
            <w:tcMar>
              <w:top w:w="80" w:type="dxa"/>
              <w:start w:w="80" w:type="dxa"/>
              <w:bottom w:w="80" w:type="dxa"/>
              <w:end w:w="80" w:type="dxa"/>
            </w:tcMar>
          </w:tcPr>
          <w:p>
            <w:r>
              <w:rPr>
                <w:b/>
                <w:sz w:val="17"/>
              </w:rPr>
              <w:t>IG = 0</w:t>
            </w:r>
          </w:p>
        </w:tc>
        <w:tc>
          <w:tcPr>
            <w:tcW w:type="dxa" w:w="8064"/>
            <w:vAlign w:val="center"/>
            <w:tcMar>
              <w:top w:w="80" w:type="dxa"/>
              <w:start w:w="80" w:type="dxa"/>
              <w:bottom w:w="80" w:type="dxa"/>
              <w:end w:w="80" w:type="dxa"/>
            </w:tcMar>
          </w:tcPr>
          <w:p>
            <w:r>
              <w:rPr>
                <w:sz w:val="17"/>
              </w:rPr>
              <w:t>Broad “High Yield” OR exact rating below Baa3/BBB-</w:t>
            </w:r>
          </w:p>
        </w:tc>
      </w:tr>
      <w:tr>
        <w:trPr>
          <w:cantSplit/>
        </w:trPr>
        <w:tc>
          <w:tcPr>
            <w:tcW w:type="dxa" w:w="1872"/>
            <w:vAlign w:val="center"/>
            <w:tcMar>
              <w:top w:w="80" w:type="dxa"/>
              <w:start w:w="80" w:type="dxa"/>
              <w:bottom w:w="80" w:type="dxa"/>
              <w:end w:w="80" w:type="dxa"/>
            </w:tcMar>
          </w:tcPr>
          <w:p>
            <w:r>
              <w:rPr>
                <w:b/>
                <w:sz w:val="17"/>
              </w:rPr>
              <w:t>Missing / WD</w:t>
            </w:r>
          </w:p>
        </w:tc>
        <w:tc>
          <w:tcPr>
            <w:tcW w:type="dxa" w:w="8064"/>
            <w:vAlign w:val="center"/>
            <w:tcMar>
              <w:top w:w="80" w:type="dxa"/>
              <w:start w:w="80" w:type="dxa"/>
              <w:bottom w:w="80" w:type="dxa"/>
              <w:end w:w="80" w:type="dxa"/>
            </w:tcMar>
          </w:tcPr>
          <w:p>
            <w:r>
              <w:rPr>
                <w:sz w:val="17"/>
              </w:rPr>
              <w:t>Excluded from complete-case primary analysis</w:t>
            </w:r>
          </w:p>
        </w:tc>
      </w:tr>
    </w:tbl>
    <w:p>
      <w:pPr>
        <w:spacing w:after="40"/>
      </w:pPr>
    </w:p>
    <w:p>
      <w:r>
        <w:t>A proper Moody's/S&amp;P notch scale was retained only as a sensitivity analysis because the exact-notch sample fell to N = 2,409 across only 98 issuers and did not reproduce a stable pricing effect.</w:t>
      </w:r>
    </w:p>
    <w:p>
      <w:pPr>
        <w:pStyle w:val="Heading2"/>
        <w:keepNext/>
      </w:pPr>
      <w:r>
        <w:t>6.3 YTM outliers and robust estimation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3456"/>
            <w:shd w:fill="D9EAF7"/>
            <w:vAlign w:val="center"/>
          </w:tcPr>
          <w:p>
            <w:pPr>
              <w:jc w:val="center"/>
            </w:pPr>
            <w:r>
              <w:rPr>
                <w:b/>
                <w:sz w:val="17"/>
              </w:rPr>
              <w:t>Diagnostic</w:t>
            </w:r>
          </w:p>
        </w:tc>
        <w:tc>
          <w:tcPr>
            <w:tcW w:type="dxa" w:w="2304"/>
            <w:shd w:fill="D9EAF7"/>
            <w:vAlign w:val="center"/>
          </w:tcPr>
          <w:p>
            <w:pPr>
              <w:jc w:val="center"/>
            </w:pPr>
            <w:r>
              <w:rPr>
                <w:b/>
                <w:sz w:val="17"/>
              </w:rPr>
              <w:t>Value</w:t>
            </w:r>
          </w:p>
        </w:tc>
      </w:tr>
      <w:tr>
        <w:trPr>
          <w:cantSplit/>
        </w:trPr>
        <w:tc>
          <w:tcPr>
            <w:tcW w:type="dxa" w:w="3456"/>
            <w:vAlign w:val="center"/>
            <w:tcMar>
              <w:top w:w="80" w:type="dxa"/>
              <w:start w:w="80" w:type="dxa"/>
              <w:bottom w:w="80" w:type="dxa"/>
              <w:end w:w="80" w:type="dxa"/>
            </w:tcMar>
          </w:tcPr>
          <w:p>
            <w:r>
              <w:rPr>
                <w:b/>
                <w:sz w:val="17"/>
              </w:rPr>
              <w:t>YTM minimum</w:t>
            </w:r>
          </w:p>
        </w:tc>
        <w:tc>
          <w:tcPr>
            <w:tcW w:type="dxa" w:w="2304"/>
            <w:vAlign w:val="center"/>
            <w:tcMar>
              <w:top w:w="80" w:type="dxa"/>
              <w:start w:w="80" w:type="dxa"/>
              <w:bottom w:w="80" w:type="dxa"/>
              <w:end w:w="80" w:type="dxa"/>
            </w:tcMar>
          </w:tcPr>
          <w:p>
            <w:r>
              <w:rPr>
                <w:sz w:val="17"/>
              </w:rPr>
              <w:t>-100.00%</w:t>
            </w:r>
          </w:p>
        </w:tc>
      </w:tr>
      <w:tr>
        <w:trPr>
          <w:cantSplit/>
        </w:trPr>
        <w:tc>
          <w:tcPr>
            <w:tcW w:type="dxa" w:w="3456"/>
            <w:vAlign w:val="center"/>
            <w:tcMar>
              <w:top w:w="80" w:type="dxa"/>
              <w:start w:w="80" w:type="dxa"/>
              <w:bottom w:w="80" w:type="dxa"/>
              <w:end w:w="80" w:type="dxa"/>
            </w:tcMar>
          </w:tcPr>
          <w:p>
            <w:r>
              <w:rPr>
                <w:b/>
                <w:sz w:val="17"/>
              </w:rPr>
              <w:t>YTM maximum</w:t>
            </w:r>
          </w:p>
        </w:tc>
        <w:tc>
          <w:tcPr>
            <w:tcW w:type="dxa" w:w="2304"/>
            <w:vAlign w:val="center"/>
            <w:tcMar>
              <w:top w:w="80" w:type="dxa"/>
              <w:start w:w="80" w:type="dxa"/>
              <w:bottom w:w="80" w:type="dxa"/>
              <w:end w:w="80" w:type="dxa"/>
            </w:tcMar>
          </w:tcPr>
          <w:p>
            <w:r>
              <w:rPr>
                <w:sz w:val="17"/>
              </w:rPr>
              <w:t>80.49%</w:t>
            </w:r>
          </w:p>
        </w:tc>
      </w:tr>
      <w:tr>
        <w:trPr>
          <w:cantSplit/>
        </w:trPr>
        <w:tc>
          <w:tcPr>
            <w:tcW w:type="dxa" w:w="3456"/>
            <w:vAlign w:val="center"/>
            <w:tcMar>
              <w:top w:w="80" w:type="dxa"/>
              <w:start w:w="80" w:type="dxa"/>
              <w:bottom w:w="80" w:type="dxa"/>
              <w:end w:w="80" w:type="dxa"/>
            </w:tcMar>
          </w:tcPr>
          <w:p>
            <w:r>
              <w:rPr>
                <w:b/>
                <w:sz w:val="17"/>
              </w:rPr>
              <w:t>0.5th percentile</w:t>
            </w:r>
          </w:p>
        </w:tc>
        <w:tc>
          <w:tcPr>
            <w:tcW w:type="dxa" w:w="2304"/>
            <w:vAlign w:val="center"/>
            <w:tcMar>
              <w:top w:w="80" w:type="dxa"/>
              <w:start w:w="80" w:type="dxa"/>
              <w:bottom w:w="80" w:type="dxa"/>
              <w:end w:w="80" w:type="dxa"/>
            </w:tcMar>
          </w:tcPr>
          <w:p>
            <w:r>
              <w:rPr>
                <w:sz w:val="17"/>
              </w:rPr>
              <w:t>-14.84%</w:t>
            </w:r>
          </w:p>
        </w:tc>
      </w:tr>
      <w:tr>
        <w:trPr>
          <w:cantSplit/>
        </w:trPr>
        <w:tc>
          <w:tcPr>
            <w:tcW w:type="dxa" w:w="3456"/>
            <w:vAlign w:val="center"/>
            <w:tcMar>
              <w:top w:w="80" w:type="dxa"/>
              <w:start w:w="80" w:type="dxa"/>
              <w:bottom w:w="80" w:type="dxa"/>
              <w:end w:w="80" w:type="dxa"/>
            </w:tcMar>
          </w:tcPr>
          <w:p>
            <w:r>
              <w:rPr>
                <w:b/>
                <w:sz w:val="17"/>
              </w:rPr>
              <w:t>99.5th percentile</w:t>
            </w:r>
          </w:p>
        </w:tc>
        <w:tc>
          <w:tcPr>
            <w:tcW w:type="dxa" w:w="2304"/>
            <w:vAlign w:val="center"/>
            <w:tcMar>
              <w:top w:w="80" w:type="dxa"/>
              <w:start w:w="80" w:type="dxa"/>
              <w:bottom w:w="80" w:type="dxa"/>
              <w:end w:w="80" w:type="dxa"/>
            </w:tcMar>
          </w:tcPr>
          <w:p>
            <w:r>
              <w:rPr>
                <w:sz w:val="17"/>
              </w:rPr>
              <w:t>9.12%</w:t>
            </w:r>
          </w:p>
        </w:tc>
      </w:tr>
    </w:tbl>
    <w:p>
      <w:pPr>
        <w:spacing w:after="40"/>
      </w:pPr>
    </w:p>
    <w:p>
      <w:r>
        <w:t>Because raw YTM contains extreme tail observations, the final estimator uses Huber M-estimation weights followed by weighted least squares with clustered inference. The direction and stability of results were then checked with Tukey biweight, Hampel, winsorization and trimming.</w:t>
      </w:r>
    </w:p>
    <w:p>
      <w:pPr>
        <w:pStyle w:val="Heading2"/>
        <w:keepNext/>
      </w:pPr>
      <w:r>
        <w:t>6.4 Interaction checks and rejected “significance”</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3456"/>
            <w:shd w:fill="D9EAF7"/>
            <w:vAlign w:val="center"/>
          </w:tcPr>
          <w:p>
            <w:pPr>
              <w:jc w:val="center"/>
            </w:pPr>
            <w:r>
              <w:rPr>
                <w:b/>
                <w:sz w:val="15"/>
              </w:rPr>
              <w:t>Model</w:t>
            </w:r>
          </w:p>
        </w:tc>
        <w:tc>
          <w:tcPr>
            <w:tcW w:type="dxa" w:w="2592"/>
            <w:shd w:fill="D9EAF7"/>
            <w:vAlign w:val="center"/>
          </w:tcPr>
          <w:p>
            <w:pPr>
              <w:jc w:val="center"/>
            </w:pPr>
            <w:r>
              <w:rPr>
                <w:b/>
                <w:sz w:val="15"/>
              </w:rPr>
              <w:t>Interaction</w:t>
            </w:r>
          </w:p>
        </w:tc>
        <w:tc>
          <w:tcPr>
            <w:tcW w:type="dxa" w:w="1728"/>
            <w:shd w:fill="D9EAF7"/>
            <w:vAlign w:val="center"/>
          </w:tcPr>
          <w:p>
            <w:pPr>
              <w:jc w:val="center"/>
            </w:pPr>
            <w:r>
              <w:rPr>
                <w:b/>
                <w:sz w:val="15"/>
              </w:rPr>
              <w:t>Estimate (bps)</w:t>
            </w:r>
          </w:p>
        </w:tc>
        <w:tc>
          <w:tcPr>
            <w:tcW w:type="dxa" w:w="1296"/>
            <w:shd w:fill="D9EAF7"/>
            <w:vAlign w:val="center"/>
          </w:tcPr>
          <w:p>
            <w:pPr>
              <w:jc w:val="center"/>
            </w:pPr>
            <w:r>
              <w:rPr>
                <w:b/>
                <w:sz w:val="15"/>
              </w:rPr>
              <w:t>p</w:t>
            </w:r>
          </w:p>
        </w:tc>
      </w:tr>
      <w:tr>
        <w:trPr>
          <w:cantSplit/>
        </w:trPr>
        <w:tc>
          <w:tcPr>
            <w:tcW w:type="dxa" w:w="3456"/>
            <w:vAlign w:val="center"/>
            <w:tcMar>
              <w:top w:w="80" w:type="dxa"/>
              <w:start w:w="80" w:type="dxa"/>
              <w:bottom w:w="80" w:type="dxa"/>
              <w:end w:w="80" w:type="dxa"/>
            </w:tcMar>
          </w:tcPr>
          <w:p>
            <w:r>
              <w:rPr>
                <w:sz w:val="15"/>
              </w:rPr>
              <w:t>ESG moderation</w:t>
            </w:r>
          </w:p>
        </w:tc>
        <w:tc>
          <w:tcPr>
            <w:tcW w:type="dxa" w:w="2592"/>
            <w:vAlign w:val="center"/>
            <w:tcMar>
              <w:top w:w="80" w:type="dxa"/>
              <w:start w:w="80" w:type="dxa"/>
              <w:bottom w:w="80" w:type="dxa"/>
              <w:end w:w="80" w:type="dxa"/>
            </w:tcMar>
          </w:tcPr>
          <w:p>
            <w:r>
              <w:rPr>
                <w:sz w:val="15"/>
              </w:rPr>
              <w:t>Green:ESG_z</w:t>
            </w:r>
          </w:p>
        </w:tc>
        <w:tc>
          <w:tcPr>
            <w:tcW w:type="dxa" w:w="1728"/>
            <w:vAlign w:val="center"/>
            <w:tcMar>
              <w:top w:w="80" w:type="dxa"/>
              <w:start w:w="80" w:type="dxa"/>
              <w:bottom w:w="80" w:type="dxa"/>
              <w:end w:w="80" w:type="dxa"/>
            </w:tcMar>
          </w:tcPr>
          <w:p>
            <w:r>
              <w:rPr>
                <w:sz w:val="15"/>
              </w:rPr>
              <w:t>7.52</w:t>
            </w:r>
          </w:p>
        </w:tc>
        <w:tc>
          <w:tcPr>
            <w:tcW w:type="dxa" w:w="1296"/>
            <w:vAlign w:val="center"/>
            <w:tcMar>
              <w:top w:w="80" w:type="dxa"/>
              <w:start w:w="80" w:type="dxa"/>
              <w:bottom w:w="80" w:type="dxa"/>
              <w:end w:w="80" w:type="dxa"/>
            </w:tcMar>
          </w:tcPr>
          <w:p>
            <w:r>
              <w:rPr>
                <w:sz w:val="15"/>
              </w:rPr>
              <w:t>0.4358</w:t>
            </w:r>
          </w:p>
        </w:tc>
      </w:tr>
      <w:tr>
        <w:trPr>
          <w:cantSplit/>
        </w:trPr>
        <w:tc>
          <w:tcPr>
            <w:tcW w:type="dxa" w:w="3456"/>
            <w:vAlign w:val="center"/>
            <w:tcMar>
              <w:top w:w="80" w:type="dxa"/>
              <w:start w:w="80" w:type="dxa"/>
              <w:bottom w:w="80" w:type="dxa"/>
              <w:end w:w="80" w:type="dxa"/>
            </w:tcMar>
          </w:tcPr>
          <w:p>
            <w:r>
              <w:rPr>
                <w:sz w:val="15"/>
              </w:rPr>
              <w:t>Grade moderation</w:t>
            </w:r>
          </w:p>
        </w:tc>
        <w:tc>
          <w:tcPr>
            <w:tcW w:type="dxa" w:w="2592"/>
            <w:vAlign w:val="center"/>
            <w:tcMar>
              <w:top w:w="80" w:type="dxa"/>
              <w:start w:w="80" w:type="dxa"/>
              <w:bottom w:w="80" w:type="dxa"/>
              <w:end w:w="80" w:type="dxa"/>
            </w:tcMar>
          </w:tcPr>
          <w:p>
            <w:r>
              <w:rPr>
                <w:sz w:val="15"/>
              </w:rPr>
              <w:t>Green:IG_status</w:t>
            </w:r>
          </w:p>
        </w:tc>
        <w:tc>
          <w:tcPr>
            <w:tcW w:type="dxa" w:w="1728"/>
            <w:vAlign w:val="center"/>
            <w:tcMar>
              <w:top w:w="80" w:type="dxa"/>
              <w:start w:w="80" w:type="dxa"/>
              <w:bottom w:w="80" w:type="dxa"/>
              <w:end w:w="80" w:type="dxa"/>
            </w:tcMar>
          </w:tcPr>
          <w:p>
            <w:r>
              <w:rPr>
                <w:sz w:val="15"/>
              </w:rPr>
              <w:t>-40.68</w:t>
            </w:r>
          </w:p>
        </w:tc>
        <w:tc>
          <w:tcPr>
            <w:tcW w:type="dxa" w:w="1296"/>
            <w:vAlign w:val="center"/>
            <w:tcMar>
              <w:top w:w="80" w:type="dxa"/>
              <w:start w:w="80" w:type="dxa"/>
              <w:bottom w:w="80" w:type="dxa"/>
              <w:end w:w="80" w:type="dxa"/>
            </w:tcMar>
          </w:tcPr>
          <w:p>
            <w:r>
              <w:rPr>
                <w:sz w:val="15"/>
              </w:rPr>
              <w:t>0.5813</w:t>
            </w:r>
          </w:p>
        </w:tc>
      </w:tr>
      <w:tr>
        <w:trPr>
          <w:cantSplit/>
        </w:trPr>
        <w:tc>
          <w:tcPr>
            <w:tcW w:type="dxa" w:w="3456"/>
            <w:vAlign w:val="center"/>
            <w:tcMar>
              <w:top w:w="80" w:type="dxa"/>
              <w:start w:w="80" w:type="dxa"/>
              <w:bottom w:w="80" w:type="dxa"/>
              <w:end w:w="80" w:type="dxa"/>
            </w:tcMar>
          </w:tcPr>
          <w:p>
            <w:r>
              <w:rPr>
                <w:sz w:val="15"/>
              </w:rPr>
              <w:t>Both moderation</w:t>
            </w:r>
          </w:p>
        </w:tc>
        <w:tc>
          <w:tcPr>
            <w:tcW w:type="dxa" w:w="2592"/>
            <w:vAlign w:val="center"/>
            <w:tcMar>
              <w:top w:w="80" w:type="dxa"/>
              <w:start w:w="80" w:type="dxa"/>
              <w:bottom w:w="80" w:type="dxa"/>
              <w:end w:w="80" w:type="dxa"/>
            </w:tcMar>
          </w:tcPr>
          <w:p>
            <w:r>
              <w:rPr>
                <w:sz w:val="15"/>
              </w:rPr>
              <w:t>Green:ESG_z</w:t>
            </w:r>
          </w:p>
        </w:tc>
        <w:tc>
          <w:tcPr>
            <w:tcW w:type="dxa" w:w="1728"/>
            <w:vAlign w:val="center"/>
            <w:tcMar>
              <w:top w:w="80" w:type="dxa"/>
              <w:start w:w="80" w:type="dxa"/>
              <w:bottom w:w="80" w:type="dxa"/>
              <w:end w:w="80" w:type="dxa"/>
            </w:tcMar>
          </w:tcPr>
          <w:p>
            <w:r>
              <w:rPr>
                <w:sz w:val="15"/>
              </w:rPr>
              <w:t>7.47</w:t>
            </w:r>
          </w:p>
        </w:tc>
        <w:tc>
          <w:tcPr>
            <w:tcW w:type="dxa" w:w="1296"/>
            <w:vAlign w:val="center"/>
            <w:tcMar>
              <w:top w:w="80" w:type="dxa"/>
              <w:start w:w="80" w:type="dxa"/>
              <w:bottom w:w="80" w:type="dxa"/>
              <w:end w:w="80" w:type="dxa"/>
            </w:tcMar>
          </w:tcPr>
          <w:p>
            <w:r>
              <w:rPr>
                <w:sz w:val="15"/>
              </w:rPr>
              <w:t>0.4421</w:t>
            </w:r>
          </w:p>
        </w:tc>
      </w:tr>
      <w:tr>
        <w:trPr>
          <w:cantSplit/>
        </w:trPr>
        <w:tc>
          <w:tcPr>
            <w:tcW w:type="dxa" w:w="3456"/>
            <w:vAlign w:val="center"/>
            <w:tcMar>
              <w:top w:w="80" w:type="dxa"/>
              <w:start w:w="80" w:type="dxa"/>
              <w:bottom w:w="80" w:type="dxa"/>
              <w:end w:w="80" w:type="dxa"/>
            </w:tcMar>
          </w:tcPr>
          <w:p>
            <w:r>
              <w:rPr>
                <w:sz w:val="15"/>
              </w:rPr>
              <w:t>Both moderation</w:t>
            </w:r>
          </w:p>
        </w:tc>
        <w:tc>
          <w:tcPr>
            <w:tcW w:type="dxa" w:w="2592"/>
            <w:vAlign w:val="center"/>
            <w:tcMar>
              <w:top w:w="80" w:type="dxa"/>
              <w:start w:w="80" w:type="dxa"/>
              <w:bottom w:w="80" w:type="dxa"/>
              <w:end w:w="80" w:type="dxa"/>
            </w:tcMar>
          </w:tcPr>
          <w:p>
            <w:r>
              <w:rPr>
                <w:sz w:val="15"/>
              </w:rPr>
              <w:t>Green:IG_status</w:t>
            </w:r>
          </w:p>
        </w:tc>
        <w:tc>
          <w:tcPr>
            <w:tcW w:type="dxa" w:w="1728"/>
            <w:vAlign w:val="center"/>
            <w:tcMar>
              <w:top w:w="80" w:type="dxa"/>
              <w:start w:w="80" w:type="dxa"/>
              <w:bottom w:w="80" w:type="dxa"/>
              <w:end w:w="80" w:type="dxa"/>
            </w:tcMar>
          </w:tcPr>
          <w:p>
            <w:r>
              <w:rPr>
                <w:sz w:val="15"/>
              </w:rPr>
              <w:t>-40.41</w:t>
            </w:r>
          </w:p>
        </w:tc>
        <w:tc>
          <w:tcPr>
            <w:tcW w:type="dxa" w:w="1296"/>
            <w:vAlign w:val="center"/>
            <w:tcMar>
              <w:top w:w="80" w:type="dxa"/>
              <w:start w:w="80" w:type="dxa"/>
              <w:bottom w:w="80" w:type="dxa"/>
              <w:end w:w="80" w:type="dxa"/>
            </w:tcMar>
          </w:tcPr>
          <w:p>
            <w:r>
              <w:rPr>
                <w:sz w:val="15"/>
              </w:rPr>
              <w:t>0.5875</w:t>
            </w:r>
          </w:p>
        </w:tc>
      </w:tr>
      <w:tr>
        <w:trPr>
          <w:cantSplit/>
        </w:trPr>
        <w:tc>
          <w:tcPr>
            <w:tcW w:type="dxa" w:w="3456"/>
            <w:vAlign w:val="center"/>
            <w:tcMar>
              <w:top w:w="80" w:type="dxa"/>
              <w:start w:w="80" w:type="dxa"/>
              <w:bottom w:w="80" w:type="dxa"/>
              <w:end w:w="80" w:type="dxa"/>
            </w:tcMar>
          </w:tcPr>
          <w:p>
            <w:r>
              <w:rPr>
                <w:sz w:val="15"/>
              </w:rPr>
              <w:t>Issuer-FE interaction sensitivity</w:t>
            </w:r>
          </w:p>
        </w:tc>
        <w:tc>
          <w:tcPr>
            <w:tcW w:type="dxa" w:w="2592"/>
            <w:vAlign w:val="center"/>
            <w:tcMar>
              <w:top w:w="80" w:type="dxa"/>
              <w:start w:w="80" w:type="dxa"/>
              <w:bottom w:w="80" w:type="dxa"/>
              <w:end w:w="80" w:type="dxa"/>
            </w:tcMar>
          </w:tcPr>
          <w:p>
            <w:r>
              <w:rPr>
                <w:sz w:val="15"/>
              </w:rPr>
              <w:t>Green:ESG_z</w:t>
            </w:r>
          </w:p>
        </w:tc>
        <w:tc>
          <w:tcPr>
            <w:tcW w:type="dxa" w:w="1728"/>
            <w:vAlign w:val="center"/>
            <w:tcMar>
              <w:top w:w="80" w:type="dxa"/>
              <w:start w:w="80" w:type="dxa"/>
              <w:bottom w:w="80" w:type="dxa"/>
              <w:end w:w="80" w:type="dxa"/>
            </w:tcMar>
          </w:tcPr>
          <w:p>
            <w:r>
              <w:rPr>
                <w:sz w:val="15"/>
              </w:rPr>
              <w:t>20.30</w:t>
            </w:r>
          </w:p>
        </w:tc>
        <w:tc>
          <w:tcPr>
            <w:tcW w:type="dxa" w:w="1296"/>
            <w:vAlign w:val="center"/>
            <w:tcMar>
              <w:top w:w="80" w:type="dxa"/>
              <w:start w:w="80" w:type="dxa"/>
              <w:bottom w:w="80" w:type="dxa"/>
              <w:end w:w="80" w:type="dxa"/>
            </w:tcMar>
          </w:tcPr>
          <w:p>
            <w:r>
              <w:rPr>
                <w:sz w:val="15"/>
              </w:rPr>
              <w:t>0.3279</w:t>
            </w:r>
          </w:p>
        </w:tc>
      </w:tr>
      <w:tr>
        <w:trPr>
          <w:cantSplit/>
        </w:trPr>
        <w:tc>
          <w:tcPr>
            <w:tcW w:type="dxa" w:w="3456"/>
            <w:vAlign w:val="center"/>
            <w:tcMar>
              <w:top w:w="80" w:type="dxa"/>
              <w:start w:w="80" w:type="dxa"/>
              <w:bottom w:w="80" w:type="dxa"/>
              <w:end w:w="80" w:type="dxa"/>
            </w:tcMar>
          </w:tcPr>
          <w:p>
            <w:r>
              <w:rPr>
                <w:sz w:val="15"/>
              </w:rPr>
              <w:t>Issuer-FE interaction sensitivity</w:t>
            </w:r>
          </w:p>
        </w:tc>
        <w:tc>
          <w:tcPr>
            <w:tcW w:type="dxa" w:w="2592"/>
            <w:vAlign w:val="center"/>
            <w:tcMar>
              <w:top w:w="80" w:type="dxa"/>
              <w:start w:w="80" w:type="dxa"/>
              <w:bottom w:w="80" w:type="dxa"/>
              <w:end w:w="80" w:type="dxa"/>
            </w:tcMar>
          </w:tcPr>
          <w:p>
            <w:r>
              <w:rPr>
                <w:sz w:val="15"/>
              </w:rPr>
              <w:t>Green:IG_status</w:t>
            </w:r>
          </w:p>
        </w:tc>
        <w:tc>
          <w:tcPr>
            <w:tcW w:type="dxa" w:w="1728"/>
            <w:vAlign w:val="center"/>
            <w:tcMar>
              <w:top w:w="80" w:type="dxa"/>
              <w:start w:w="80" w:type="dxa"/>
              <w:bottom w:w="80" w:type="dxa"/>
              <w:end w:w="80" w:type="dxa"/>
            </w:tcMar>
          </w:tcPr>
          <w:p>
            <w:r>
              <w:rPr>
                <w:sz w:val="15"/>
              </w:rPr>
              <w:t>-48.10</w:t>
            </w:r>
          </w:p>
        </w:tc>
        <w:tc>
          <w:tcPr>
            <w:tcW w:type="dxa" w:w="1296"/>
            <w:vAlign w:val="center"/>
            <w:tcMar>
              <w:top w:w="80" w:type="dxa"/>
              <w:start w:w="80" w:type="dxa"/>
              <w:bottom w:w="80" w:type="dxa"/>
              <w:end w:w="80" w:type="dxa"/>
            </w:tcMar>
          </w:tcPr>
          <w:p>
            <w:r>
              <w:rPr>
                <w:sz w:val="15"/>
              </w:rPr>
              <w:t>0.0234</w:t>
            </w:r>
          </w:p>
        </w:tc>
      </w:tr>
    </w:tbl>
    <w:p>
      <w:pPr>
        <w:spacing w:after="40"/>
      </w:pPr>
    </w:p>
    <w:tbl>
      <w:tblPr>
        <w:tblStyle w:val="TableGrid"/>
        <w:tblW w:type="auto" w:w="0"/>
        <w:jc w:val="center"/>
        <w:tblLook w:firstColumn="1" w:firstRow="1" w:lastColumn="0" w:lastRow="0" w:noHBand="0" w:noVBand="1" w:val="04A0"/>
      </w:tblPr>
      <w:tblGrid>
        <w:gridCol w:w="10080"/>
      </w:tblGrid>
      <w:tr>
        <w:trPr>
          <w:cantSplit/>
        </w:trPr>
        <w:tc>
          <w:tcPr>
            <w:tcW w:type="dxa" w:w="10080"/>
            <w:shd w:fill="EAF3F8"/>
            <w:tcMar>
              <w:top w:w="120" w:type="dxa"/>
              <w:start w:w="140" w:type="dxa"/>
              <w:bottom w:w="120" w:type="dxa"/>
              <w:end w:w="140" w:type="dxa"/>
            </w:tcMar>
          </w:tcPr>
          <w:p>
            <w:r>
              <w:rPr>
                <w:b/>
                <w:color w:val="1F4E79"/>
                <w:sz w:val="21"/>
              </w:rPr>
              <w:t>Why one apparently significant result was rejected</w:t>
              <w:br/>
            </w:r>
            <w:r>
              <w:rPr>
                <w:sz w:val="19"/>
              </w:rPr>
              <w:t>The issuer-fixed-effect Green × Investment Grade interaction produced p = 0.0234, but only 8 observations were simultaneously Green and High Yield (versus 408 Green Investment Grade). The result was treated as sparse-cell instability and was explicitly not claimed.</w:t>
            </w:r>
          </w:p>
        </w:tc>
      </w:tr>
    </w:tbl>
    <w:p>
      <w:pPr>
        <w:spacing w:after="40"/>
      </w:pPr>
    </w:p>
    <w:p>
      <w:pPr>
        <w:pStyle w:val="Heading2"/>
        <w:keepNext/>
      </w:pPr>
      <w:r>
        <w:t>6.5 Quality-control correction</w:t>
      </w:r>
    </w:p>
    <w:p>
      <w:r>
        <w:t>During iterative checking, one intermediate audit run was discarded after detecting that the YTM validity filter had not been reapplied before robust estimation. The analysis was rerun with the project's validity rule (-100 ≤ YTM ≤ 100), and only the corrected results are carried forward in this document.</w:t>
      </w:r>
    </w:p>
    <w:p>
      <w:pPr>
        <w:pStyle w:val="Heading1"/>
        <w:keepNext/>
      </w:pPr>
      <w:r>
        <w:t>7. Final preferred model</w:t>
      </w:r>
    </w:p>
    <w:p>
      <w:pPr>
        <w:pStyle w:val="Heading2"/>
        <w:keepNext/>
      </w:pPr>
      <w:r>
        <w:t>7.1 Model specification</w:t>
      </w:r>
    </w:p>
    <w:p>
      <w:pPr>
        <w:jc w:val="center"/>
      </w:pPr>
      <w:r>
        <w:rPr>
          <w:b/>
          <w:sz w:val="21"/>
        </w:rPr>
        <w:t>YTM = Green + Certified + log(Issue Size) + Tenor + Coupon + ESG_z + InvestmentGrade + Currency×IssueYear FE + Seniority FE + Instrument FE + error</w:t>
      </w:r>
    </w:p>
    <w:p>
      <w:pPr>
        <w:pStyle w:val="ListBullet"/>
      </w:pPr>
      <w:r>
        <w:t>ESG_z is standardized; its coefficient is interpreted per one standard-deviation increase in ESG.</w:t>
      </w:r>
    </w:p>
    <w:p>
      <w:pPr>
        <w:pStyle w:val="ListBullet"/>
      </w:pPr>
      <w:r>
        <w:t>Investment Grade is a binary credit-quality class rather than an arbitrary linear rating score.</w:t>
      </w:r>
    </w:p>
    <w:p>
      <w:pPr>
        <w:pStyle w:val="ListBullet"/>
      </w:pPr>
      <w:r>
        <w:t>Huber robust weights reduce undue influence from extreme YTM observations.</w:t>
      </w:r>
    </w:p>
    <w:p>
      <w:pPr>
        <w:pStyle w:val="ListBullet"/>
      </w:pPr>
      <w:r>
        <w:t>Standard errors are clustered by issuer; two-way clustering by issuer and Currency × IssueYear is used as a conservative confirmation.</w:t>
      </w:r>
    </w:p>
    <w:p>
      <w:pPr>
        <w:pStyle w:val="ListBullet"/>
      </w:pPr>
      <w:r>
        <w:t>The final complete-case sample contains 6,600 bonds, including 416 green bonds from 477 issuers.</w:t>
      </w:r>
    </w:p>
    <w:p>
      <w:pPr>
        <w:pStyle w:val="Heading2"/>
        <w:keepNext/>
      </w:pPr>
      <w:r>
        <w:t>7.2 Main robustness specifications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shd w:fill="D9EAF7"/>
            <w:vAlign w:val="center"/>
          </w:tcPr>
          <w:p>
            <w:pPr>
              <w:jc w:val="center"/>
            </w:pPr>
            <w:r>
              <w:rPr>
                <w:b/>
                <w:sz w:val="14"/>
              </w:rPr>
              <w:t>Model</w:t>
            </w:r>
          </w:p>
        </w:tc>
        <w:tc>
          <w:tcPr>
            <w:tcW w:type="dxa" w:w="4176"/>
            <w:shd w:fill="D9EAF7"/>
            <w:vAlign w:val="center"/>
          </w:tcPr>
          <w:p>
            <w:pPr>
              <w:jc w:val="center"/>
            </w:pPr>
            <w:r>
              <w:rPr>
                <w:b/>
                <w:sz w:val="14"/>
              </w:rPr>
              <w:t>Inference</w:t>
            </w:r>
          </w:p>
        </w:tc>
        <w:tc>
          <w:tcPr>
            <w:tcW w:type="dxa" w:w="1584"/>
            <w:shd w:fill="D9EAF7"/>
            <w:vAlign w:val="center"/>
          </w:tcPr>
          <w:p>
            <w:pPr>
              <w:jc w:val="center"/>
            </w:pPr>
            <w:r>
              <w:rPr>
                <w:b/>
                <w:sz w:val="14"/>
              </w:rPr>
              <w:t>Variable</w:t>
            </w:r>
          </w:p>
        </w:tc>
        <w:tc>
          <w:tcPr>
            <w:tcW w:type="dxa" w:w="1440"/>
            <w:shd w:fill="D9EAF7"/>
            <w:vAlign w:val="center"/>
          </w:tcPr>
          <w:p>
            <w:pPr>
              <w:jc w:val="center"/>
            </w:pPr>
            <w:r>
              <w:rPr>
                <w:b/>
                <w:sz w:val="14"/>
              </w:rPr>
              <w:t>Estimate (bps)</w:t>
            </w:r>
          </w:p>
        </w:tc>
        <w:tc>
          <w:tcPr>
            <w:tcW w:type="dxa" w:w="1152"/>
            <w:shd w:fill="D9EAF7"/>
            <w:vAlign w:val="center"/>
          </w:tcPr>
          <w:p>
            <w:pPr>
              <w:jc w:val="center"/>
            </w:pPr>
            <w:r>
              <w:rPr>
                <w:b/>
                <w:sz w:val="14"/>
              </w:rPr>
              <w:t>p</w:t>
            </w:r>
          </w:p>
        </w:tc>
      </w:tr>
      <w:tr>
        <w:trPr>
          <w:cantSplit/>
        </w:trPr>
        <w:tc>
          <w:tcPr>
            <w:tcW w:type="dxa" w:w="2016"/>
            <w:vAlign w:val="center"/>
            <w:tcMar>
              <w:top w:w="80" w:type="dxa"/>
              <w:start w:w="80" w:type="dxa"/>
              <w:bottom w:w="80" w:type="dxa"/>
              <w:end w:w="80" w:type="dxa"/>
            </w:tcMar>
          </w:tcPr>
          <w:p>
            <w:r>
              <w:rPr>
                <w:sz w:val="14"/>
              </w:rPr>
              <w:t>Raw OLS</w:t>
            </w:r>
          </w:p>
        </w:tc>
        <w:tc>
          <w:tcPr>
            <w:tcW w:type="dxa" w:w="4176"/>
            <w:vAlign w:val="center"/>
            <w:tcMar>
              <w:top w:w="80" w:type="dxa"/>
              <w:start w:w="80" w:type="dxa"/>
              <w:bottom w:w="80" w:type="dxa"/>
              <w:end w:w="80" w:type="dxa"/>
            </w:tcMar>
          </w:tcPr>
          <w:p>
            <w:r>
              <w:rPr>
                <w:sz w:val="14"/>
              </w:rPr>
              <w:t>OLS + issuer-clustered SE</w:t>
            </w:r>
          </w:p>
        </w:tc>
        <w:tc>
          <w:tcPr>
            <w:tcW w:type="dxa" w:w="1584"/>
            <w:vAlign w:val="center"/>
            <w:tcMar>
              <w:top w:w="80" w:type="dxa"/>
              <w:start w:w="80" w:type="dxa"/>
              <w:bottom w:w="80" w:type="dxa"/>
              <w:end w:w="80" w:type="dxa"/>
            </w:tcMar>
          </w:tcPr>
          <w:p>
            <w:r>
              <w:rPr>
                <w:sz w:val="14"/>
              </w:rPr>
              <w:t>Green</w:t>
            </w:r>
          </w:p>
        </w:tc>
        <w:tc>
          <w:tcPr>
            <w:tcW w:type="dxa" w:w="1440"/>
            <w:vAlign w:val="center"/>
            <w:tcMar>
              <w:top w:w="80" w:type="dxa"/>
              <w:start w:w="80" w:type="dxa"/>
              <w:bottom w:w="80" w:type="dxa"/>
              <w:end w:w="80" w:type="dxa"/>
            </w:tcMar>
          </w:tcPr>
          <w:p>
            <w:r>
              <w:rPr>
                <w:sz w:val="14"/>
              </w:rPr>
              <w:t>-8.47</w:t>
            </w:r>
          </w:p>
        </w:tc>
        <w:tc>
          <w:tcPr>
            <w:tcW w:type="dxa" w:w="1152"/>
            <w:vAlign w:val="center"/>
            <w:tcMar>
              <w:top w:w="80" w:type="dxa"/>
              <w:start w:w="80" w:type="dxa"/>
              <w:bottom w:w="80" w:type="dxa"/>
              <w:end w:w="80" w:type="dxa"/>
            </w:tcMar>
          </w:tcPr>
          <w:p>
            <w:r>
              <w:rPr>
                <w:sz w:val="14"/>
              </w:rPr>
              <w:t>0.4776</w:t>
            </w:r>
          </w:p>
        </w:tc>
      </w:tr>
      <w:tr>
        <w:trPr>
          <w:cantSplit/>
        </w:trPr>
        <w:tc>
          <w:tcPr>
            <w:tcW w:type="dxa" w:w="2016"/>
            <w:vAlign w:val="center"/>
            <w:tcMar>
              <w:top w:w="80" w:type="dxa"/>
              <w:start w:w="80" w:type="dxa"/>
              <w:bottom w:w="80" w:type="dxa"/>
              <w:end w:w="80" w:type="dxa"/>
            </w:tcMar>
          </w:tcPr>
          <w:p>
            <w:r>
              <w:rPr>
                <w:sz w:val="14"/>
              </w:rPr>
              <w:t>Raw OLS</w:t>
            </w:r>
          </w:p>
        </w:tc>
        <w:tc>
          <w:tcPr>
            <w:tcW w:type="dxa" w:w="4176"/>
            <w:vAlign w:val="center"/>
            <w:tcMar>
              <w:top w:w="80" w:type="dxa"/>
              <w:start w:w="80" w:type="dxa"/>
              <w:bottom w:w="80" w:type="dxa"/>
              <w:end w:w="80" w:type="dxa"/>
            </w:tcMar>
          </w:tcPr>
          <w:p>
            <w:r>
              <w:rPr>
                <w:sz w:val="14"/>
              </w:rPr>
              <w:t>OLS + issuer-clustered SE</w:t>
            </w:r>
          </w:p>
        </w:tc>
        <w:tc>
          <w:tcPr>
            <w:tcW w:type="dxa" w:w="1584"/>
            <w:vAlign w:val="center"/>
            <w:tcMar>
              <w:top w:w="80" w:type="dxa"/>
              <w:start w:w="80" w:type="dxa"/>
              <w:bottom w:w="80" w:type="dxa"/>
              <w:end w:w="80" w:type="dxa"/>
            </w:tcMar>
          </w:tcPr>
          <w:p>
            <w:r>
              <w:rPr>
                <w:sz w:val="14"/>
              </w:rPr>
              <w:t>ESG_z</w:t>
            </w:r>
          </w:p>
        </w:tc>
        <w:tc>
          <w:tcPr>
            <w:tcW w:type="dxa" w:w="1440"/>
            <w:vAlign w:val="center"/>
            <w:tcMar>
              <w:top w:w="80" w:type="dxa"/>
              <w:start w:w="80" w:type="dxa"/>
              <w:bottom w:w="80" w:type="dxa"/>
              <w:end w:w="80" w:type="dxa"/>
            </w:tcMar>
          </w:tcPr>
          <w:p>
            <w:r>
              <w:rPr>
                <w:sz w:val="14"/>
              </w:rPr>
              <w:t>-9.44</w:t>
            </w:r>
          </w:p>
        </w:tc>
        <w:tc>
          <w:tcPr>
            <w:tcW w:type="dxa" w:w="1152"/>
            <w:vAlign w:val="center"/>
            <w:tcMar>
              <w:top w:w="80" w:type="dxa"/>
              <w:start w:w="80" w:type="dxa"/>
              <w:bottom w:w="80" w:type="dxa"/>
              <w:end w:w="80" w:type="dxa"/>
            </w:tcMar>
          </w:tcPr>
          <w:p>
            <w:r>
              <w:rPr>
                <w:sz w:val="14"/>
              </w:rPr>
              <w:t>0.07455</w:t>
            </w:r>
          </w:p>
        </w:tc>
      </w:tr>
      <w:tr>
        <w:trPr>
          <w:cantSplit/>
        </w:trPr>
        <w:tc>
          <w:tcPr>
            <w:tcW w:type="dxa" w:w="2016"/>
            <w:vAlign w:val="center"/>
            <w:tcMar>
              <w:top w:w="80" w:type="dxa"/>
              <w:start w:w="80" w:type="dxa"/>
              <w:bottom w:w="80" w:type="dxa"/>
              <w:end w:w="80" w:type="dxa"/>
            </w:tcMar>
          </w:tcPr>
          <w:p>
            <w:r>
              <w:rPr>
                <w:sz w:val="14"/>
              </w:rPr>
              <w:t>Raw OLS</w:t>
            </w:r>
          </w:p>
        </w:tc>
        <w:tc>
          <w:tcPr>
            <w:tcW w:type="dxa" w:w="4176"/>
            <w:vAlign w:val="center"/>
            <w:tcMar>
              <w:top w:w="80" w:type="dxa"/>
              <w:start w:w="80" w:type="dxa"/>
              <w:bottom w:w="80" w:type="dxa"/>
              <w:end w:w="80" w:type="dxa"/>
            </w:tcMar>
          </w:tcPr>
          <w:p>
            <w:r>
              <w:rPr>
                <w:sz w:val="14"/>
              </w:rPr>
              <w:t>OLS + issuer-clustered SE</w:t>
            </w:r>
          </w:p>
        </w:tc>
        <w:tc>
          <w:tcPr>
            <w:tcW w:type="dxa" w:w="1584"/>
            <w:vAlign w:val="center"/>
            <w:tcMar>
              <w:top w:w="80" w:type="dxa"/>
              <w:start w:w="80" w:type="dxa"/>
              <w:bottom w:w="80" w:type="dxa"/>
              <w:end w:w="80" w:type="dxa"/>
            </w:tcMar>
          </w:tcPr>
          <w:p>
            <w:r>
              <w:rPr>
                <w:sz w:val="14"/>
              </w:rPr>
              <w:t>IG_status</w:t>
            </w:r>
          </w:p>
        </w:tc>
        <w:tc>
          <w:tcPr>
            <w:tcW w:type="dxa" w:w="1440"/>
            <w:vAlign w:val="center"/>
            <w:tcMar>
              <w:top w:w="80" w:type="dxa"/>
              <w:start w:w="80" w:type="dxa"/>
              <w:bottom w:w="80" w:type="dxa"/>
              <w:end w:w="80" w:type="dxa"/>
            </w:tcMar>
          </w:tcPr>
          <w:p>
            <w:r>
              <w:rPr>
                <w:sz w:val="14"/>
              </w:rPr>
              <w:t>-14.23</w:t>
            </w:r>
          </w:p>
        </w:tc>
        <w:tc>
          <w:tcPr>
            <w:tcW w:type="dxa" w:w="1152"/>
            <w:vAlign w:val="center"/>
            <w:tcMar>
              <w:top w:w="80" w:type="dxa"/>
              <w:start w:w="80" w:type="dxa"/>
              <w:bottom w:w="80" w:type="dxa"/>
              <w:end w:w="80" w:type="dxa"/>
            </w:tcMar>
          </w:tcPr>
          <w:p>
            <w:r>
              <w:rPr>
                <w:sz w:val="14"/>
              </w:rPr>
              <w:t>0.4896</w:t>
            </w:r>
          </w:p>
        </w:tc>
      </w:tr>
      <w:tr>
        <w:trPr>
          <w:cantSplit/>
        </w:trPr>
        <w:tc>
          <w:tcPr>
            <w:tcW w:type="dxa" w:w="2016"/>
            <w:vAlign w:val="center"/>
            <w:tcMar>
              <w:top w:w="80" w:type="dxa"/>
              <w:start w:w="80" w:type="dxa"/>
              <w:bottom w:w="80" w:type="dxa"/>
              <w:end w:w="80" w:type="dxa"/>
            </w:tcMar>
          </w:tcPr>
          <w:p>
            <w:r>
              <w:rPr>
                <w:sz w:val="14"/>
              </w:rPr>
              <w:t>Preferred robust model</w:t>
            </w:r>
          </w:p>
        </w:tc>
        <w:tc>
          <w:tcPr>
            <w:tcW w:type="dxa" w:w="4176"/>
            <w:vAlign w:val="center"/>
            <w:tcMar>
              <w:top w:w="80" w:type="dxa"/>
              <w:start w:w="80" w:type="dxa"/>
              <w:bottom w:w="80" w:type="dxa"/>
              <w:end w:w="80" w:type="dxa"/>
            </w:tcMar>
          </w:tcPr>
          <w:p>
            <w:r>
              <w:rPr>
                <w:sz w:val="14"/>
              </w:rPr>
              <w:t>Huber weights + issuer-clustered WLS inference</w:t>
            </w:r>
          </w:p>
        </w:tc>
        <w:tc>
          <w:tcPr>
            <w:tcW w:type="dxa" w:w="1584"/>
            <w:vAlign w:val="center"/>
            <w:tcMar>
              <w:top w:w="80" w:type="dxa"/>
              <w:start w:w="80" w:type="dxa"/>
              <w:bottom w:w="80" w:type="dxa"/>
              <w:end w:w="80" w:type="dxa"/>
            </w:tcMar>
          </w:tcPr>
          <w:p>
            <w:r>
              <w:rPr>
                <w:sz w:val="14"/>
              </w:rPr>
              <w:t>Green</w:t>
            </w:r>
          </w:p>
        </w:tc>
        <w:tc>
          <w:tcPr>
            <w:tcW w:type="dxa" w:w="1440"/>
            <w:vAlign w:val="center"/>
            <w:tcMar>
              <w:top w:w="80" w:type="dxa"/>
              <w:start w:w="80" w:type="dxa"/>
              <w:bottom w:w="80" w:type="dxa"/>
              <w:end w:w="80" w:type="dxa"/>
            </w:tcMar>
          </w:tcPr>
          <w:p>
            <w:r>
              <w:rPr>
                <w:sz w:val="14"/>
              </w:rPr>
              <w:t>1.81</w:t>
            </w:r>
          </w:p>
        </w:tc>
        <w:tc>
          <w:tcPr>
            <w:tcW w:type="dxa" w:w="1152"/>
            <w:vAlign w:val="center"/>
            <w:tcMar>
              <w:top w:w="80" w:type="dxa"/>
              <w:start w:w="80" w:type="dxa"/>
              <w:bottom w:w="80" w:type="dxa"/>
              <w:end w:w="80" w:type="dxa"/>
            </w:tcMar>
          </w:tcPr>
          <w:p>
            <w:r>
              <w:rPr>
                <w:sz w:val="14"/>
              </w:rPr>
              <w:t>0.6555</w:t>
            </w:r>
          </w:p>
        </w:tc>
      </w:tr>
      <w:tr>
        <w:trPr>
          <w:cantSplit/>
        </w:trPr>
        <w:tc>
          <w:tcPr>
            <w:tcW w:type="dxa" w:w="2016"/>
            <w:vAlign w:val="center"/>
            <w:tcMar>
              <w:top w:w="80" w:type="dxa"/>
              <w:start w:w="80" w:type="dxa"/>
              <w:bottom w:w="80" w:type="dxa"/>
              <w:end w:w="80" w:type="dxa"/>
            </w:tcMar>
          </w:tcPr>
          <w:p>
            <w:r>
              <w:rPr>
                <w:sz w:val="14"/>
              </w:rPr>
              <w:t>Preferred robust model</w:t>
            </w:r>
          </w:p>
        </w:tc>
        <w:tc>
          <w:tcPr>
            <w:tcW w:type="dxa" w:w="4176"/>
            <w:vAlign w:val="center"/>
            <w:tcMar>
              <w:top w:w="80" w:type="dxa"/>
              <w:start w:w="80" w:type="dxa"/>
              <w:bottom w:w="80" w:type="dxa"/>
              <w:end w:w="80" w:type="dxa"/>
            </w:tcMar>
          </w:tcPr>
          <w:p>
            <w:r>
              <w:rPr>
                <w:sz w:val="14"/>
              </w:rPr>
              <w:t>Huber weights + issuer-clustered WLS inference</w:t>
            </w:r>
          </w:p>
        </w:tc>
        <w:tc>
          <w:tcPr>
            <w:tcW w:type="dxa" w:w="1584"/>
            <w:vAlign w:val="center"/>
            <w:tcMar>
              <w:top w:w="80" w:type="dxa"/>
              <w:start w:w="80" w:type="dxa"/>
              <w:bottom w:w="80" w:type="dxa"/>
              <w:end w:w="80" w:type="dxa"/>
            </w:tcMar>
          </w:tcPr>
          <w:p>
            <w:r>
              <w:rPr>
                <w:sz w:val="14"/>
              </w:rPr>
              <w:t>ESG_z</w:t>
            </w:r>
          </w:p>
        </w:tc>
        <w:tc>
          <w:tcPr>
            <w:tcW w:type="dxa" w:w="1440"/>
            <w:vAlign w:val="center"/>
            <w:tcMar>
              <w:top w:w="80" w:type="dxa"/>
              <w:start w:w="80" w:type="dxa"/>
              <w:bottom w:w="80" w:type="dxa"/>
              <w:end w:w="80" w:type="dxa"/>
            </w:tcMar>
          </w:tcPr>
          <w:p>
            <w:r>
              <w:rPr>
                <w:sz w:val="14"/>
              </w:rPr>
              <w:t>-3.06</w:t>
            </w:r>
          </w:p>
        </w:tc>
        <w:tc>
          <w:tcPr>
            <w:tcW w:type="dxa" w:w="1152"/>
            <w:vAlign w:val="center"/>
            <w:tcMar>
              <w:top w:w="80" w:type="dxa"/>
              <w:start w:w="80" w:type="dxa"/>
              <w:bottom w:w="80" w:type="dxa"/>
              <w:end w:w="80" w:type="dxa"/>
            </w:tcMar>
          </w:tcPr>
          <w:p>
            <w:r>
              <w:rPr>
                <w:sz w:val="14"/>
              </w:rPr>
              <w:t>0.03301</w:t>
            </w:r>
          </w:p>
        </w:tc>
      </w:tr>
      <w:tr>
        <w:trPr>
          <w:cantSplit/>
        </w:trPr>
        <w:tc>
          <w:tcPr>
            <w:tcW w:type="dxa" w:w="2016"/>
            <w:vAlign w:val="center"/>
            <w:tcMar>
              <w:top w:w="80" w:type="dxa"/>
              <w:start w:w="80" w:type="dxa"/>
              <w:bottom w:w="80" w:type="dxa"/>
              <w:end w:w="80" w:type="dxa"/>
            </w:tcMar>
          </w:tcPr>
          <w:p>
            <w:r>
              <w:rPr>
                <w:sz w:val="14"/>
              </w:rPr>
              <w:t>Preferred robust model</w:t>
            </w:r>
          </w:p>
        </w:tc>
        <w:tc>
          <w:tcPr>
            <w:tcW w:type="dxa" w:w="4176"/>
            <w:vAlign w:val="center"/>
            <w:tcMar>
              <w:top w:w="80" w:type="dxa"/>
              <w:start w:w="80" w:type="dxa"/>
              <w:bottom w:w="80" w:type="dxa"/>
              <w:end w:w="80" w:type="dxa"/>
            </w:tcMar>
          </w:tcPr>
          <w:p>
            <w:r>
              <w:rPr>
                <w:sz w:val="14"/>
              </w:rPr>
              <w:t>Huber weights + issuer-clustered WLS inference</w:t>
            </w:r>
          </w:p>
        </w:tc>
        <w:tc>
          <w:tcPr>
            <w:tcW w:type="dxa" w:w="1584"/>
            <w:vAlign w:val="center"/>
            <w:tcMar>
              <w:top w:w="80" w:type="dxa"/>
              <w:start w:w="80" w:type="dxa"/>
              <w:bottom w:w="80" w:type="dxa"/>
              <w:end w:w="80" w:type="dxa"/>
            </w:tcMar>
          </w:tcPr>
          <w:p>
            <w:r>
              <w:rPr>
                <w:sz w:val="14"/>
              </w:rPr>
              <w:t>IG_status</w:t>
            </w:r>
          </w:p>
        </w:tc>
        <w:tc>
          <w:tcPr>
            <w:tcW w:type="dxa" w:w="1440"/>
            <w:vAlign w:val="center"/>
            <w:tcMar>
              <w:top w:w="80" w:type="dxa"/>
              <w:start w:w="80" w:type="dxa"/>
              <w:bottom w:w="80" w:type="dxa"/>
              <w:end w:w="80" w:type="dxa"/>
            </w:tcMar>
          </w:tcPr>
          <w:p>
            <w:r>
              <w:rPr>
                <w:sz w:val="14"/>
              </w:rPr>
              <w:t>-55.22</w:t>
            </w:r>
          </w:p>
        </w:tc>
        <w:tc>
          <w:tcPr>
            <w:tcW w:type="dxa" w:w="1152"/>
            <w:vAlign w:val="center"/>
            <w:tcMar>
              <w:top w:w="80" w:type="dxa"/>
              <w:start w:w="80" w:type="dxa"/>
              <w:bottom w:w="80" w:type="dxa"/>
              <w:end w:w="80" w:type="dxa"/>
            </w:tcMar>
          </w:tcPr>
          <w:p>
            <w:r>
              <w:rPr>
                <w:sz w:val="14"/>
              </w:rPr>
              <w:t>4.231e-07</w:t>
            </w:r>
          </w:p>
        </w:tc>
      </w:tr>
      <w:tr>
        <w:trPr>
          <w:cantSplit/>
        </w:trPr>
        <w:tc>
          <w:tcPr>
            <w:tcW w:type="dxa" w:w="2016"/>
            <w:vAlign w:val="center"/>
            <w:tcMar>
              <w:top w:w="80" w:type="dxa"/>
              <w:start w:w="80" w:type="dxa"/>
              <w:bottom w:w="80" w:type="dxa"/>
              <w:end w:w="80" w:type="dxa"/>
            </w:tcMar>
          </w:tcPr>
          <w:p>
            <w:r>
              <w:rPr>
                <w:sz w:val="14"/>
              </w:rPr>
              <w:t>Preferred robust model</w:t>
            </w:r>
          </w:p>
        </w:tc>
        <w:tc>
          <w:tcPr>
            <w:tcW w:type="dxa" w:w="4176"/>
            <w:vAlign w:val="center"/>
            <w:tcMar>
              <w:top w:w="80" w:type="dxa"/>
              <w:start w:w="80" w:type="dxa"/>
              <w:bottom w:w="80" w:type="dxa"/>
              <w:end w:w="80" w:type="dxa"/>
            </w:tcMar>
          </w:tcPr>
          <w:p>
            <w:r>
              <w:rPr>
                <w:sz w:val="14"/>
              </w:rPr>
              <w:t>Huber weights + two-way clustered SE (issuer, CurrencyYear)</w:t>
            </w:r>
          </w:p>
        </w:tc>
        <w:tc>
          <w:tcPr>
            <w:tcW w:type="dxa" w:w="1584"/>
            <w:vAlign w:val="center"/>
            <w:tcMar>
              <w:top w:w="80" w:type="dxa"/>
              <w:start w:w="80" w:type="dxa"/>
              <w:bottom w:w="80" w:type="dxa"/>
              <w:end w:w="80" w:type="dxa"/>
            </w:tcMar>
          </w:tcPr>
          <w:p>
            <w:r>
              <w:rPr>
                <w:sz w:val="14"/>
              </w:rPr>
              <w:t>Green</w:t>
            </w:r>
          </w:p>
        </w:tc>
        <w:tc>
          <w:tcPr>
            <w:tcW w:type="dxa" w:w="1440"/>
            <w:vAlign w:val="center"/>
            <w:tcMar>
              <w:top w:w="80" w:type="dxa"/>
              <w:start w:w="80" w:type="dxa"/>
              <w:bottom w:w="80" w:type="dxa"/>
              <w:end w:w="80" w:type="dxa"/>
            </w:tcMar>
          </w:tcPr>
          <w:p>
            <w:r>
              <w:rPr>
                <w:sz w:val="14"/>
              </w:rPr>
              <w:t>1.81</w:t>
            </w:r>
          </w:p>
        </w:tc>
        <w:tc>
          <w:tcPr>
            <w:tcW w:type="dxa" w:w="1152"/>
            <w:vAlign w:val="center"/>
            <w:tcMar>
              <w:top w:w="80" w:type="dxa"/>
              <w:start w:w="80" w:type="dxa"/>
              <w:bottom w:w="80" w:type="dxa"/>
              <w:end w:w="80" w:type="dxa"/>
            </w:tcMar>
          </w:tcPr>
          <w:p>
            <w:r>
              <w:rPr>
                <w:sz w:val="14"/>
              </w:rPr>
              <w:t>0.6966</w:t>
            </w:r>
          </w:p>
        </w:tc>
      </w:tr>
      <w:tr>
        <w:trPr>
          <w:cantSplit/>
        </w:trPr>
        <w:tc>
          <w:tcPr>
            <w:tcW w:type="dxa" w:w="2016"/>
            <w:vAlign w:val="center"/>
            <w:tcMar>
              <w:top w:w="80" w:type="dxa"/>
              <w:start w:w="80" w:type="dxa"/>
              <w:bottom w:w="80" w:type="dxa"/>
              <w:end w:w="80" w:type="dxa"/>
            </w:tcMar>
          </w:tcPr>
          <w:p>
            <w:r>
              <w:rPr>
                <w:sz w:val="14"/>
              </w:rPr>
              <w:t>Preferred robust model</w:t>
            </w:r>
          </w:p>
        </w:tc>
        <w:tc>
          <w:tcPr>
            <w:tcW w:type="dxa" w:w="4176"/>
            <w:vAlign w:val="center"/>
            <w:tcMar>
              <w:top w:w="80" w:type="dxa"/>
              <w:start w:w="80" w:type="dxa"/>
              <w:bottom w:w="80" w:type="dxa"/>
              <w:end w:w="80" w:type="dxa"/>
            </w:tcMar>
          </w:tcPr>
          <w:p>
            <w:r>
              <w:rPr>
                <w:sz w:val="14"/>
              </w:rPr>
              <w:t>Huber weights + two-way clustered SE (issuer, CurrencyYear)</w:t>
            </w:r>
          </w:p>
        </w:tc>
        <w:tc>
          <w:tcPr>
            <w:tcW w:type="dxa" w:w="1584"/>
            <w:vAlign w:val="center"/>
            <w:tcMar>
              <w:top w:w="80" w:type="dxa"/>
              <w:start w:w="80" w:type="dxa"/>
              <w:bottom w:w="80" w:type="dxa"/>
              <w:end w:w="80" w:type="dxa"/>
            </w:tcMar>
          </w:tcPr>
          <w:p>
            <w:r>
              <w:rPr>
                <w:sz w:val="14"/>
              </w:rPr>
              <w:t>ESG_z</w:t>
            </w:r>
          </w:p>
        </w:tc>
        <w:tc>
          <w:tcPr>
            <w:tcW w:type="dxa" w:w="1440"/>
            <w:vAlign w:val="center"/>
            <w:tcMar>
              <w:top w:w="80" w:type="dxa"/>
              <w:start w:w="80" w:type="dxa"/>
              <w:bottom w:w="80" w:type="dxa"/>
              <w:end w:w="80" w:type="dxa"/>
            </w:tcMar>
          </w:tcPr>
          <w:p>
            <w:r>
              <w:rPr>
                <w:sz w:val="14"/>
              </w:rPr>
              <w:t>-3.06</w:t>
            </w:r>
          </w:p>
        </w:tc>
        <w:tc>
          <w:tcPr>
            <w:tcW w:type="dxa" w:w="1152"/>
            <w:vAlign w:val="center"/>
            <w:tcMar>
              <w:top w:w="80" w:type="dxa"/>
              <w:start w:w="80" w:type="dxa"/>
              <w:bottom w:w="80" w:type="dxa"/>
              <w:end w:w="80" w:type="dxa"/>
            </w:tcMar>
          </w:tcPr>
          <w:p>
            <w:r>
              <w:rPr>
                <w:sz w:val="14"/>
              </w:rPr>
              <w:t>0.04796</w:t>
            </w:r>
          </w:p>
        </w:tc>
      </w:tr>
      <w:tr>
        <w:trPr>
          <w:cantSplit/>
        </w:trPr>
        <w:tc>
          <w:tcPr>
            <w:tcW w:type="dxa" w:w="2016"/>
            <w:vAlign w:val="center"/>
            <w:tcMar>
              <w:top w:w="80" w:type="dxa"/>
              <w:start w:w="80" w:type="dxa"/>
              <w:bottom w:w="80" w:type="dxa"/>
              <w:end w:w="80" w:type="dxa"/>
            </w:tcMar>
          </w:tcPr>
          <w:p>
            <w:r>
              <w:rPr>
                <w:sz w:val="14"/>
              </w:rPr>
              <w:t>Preferred robust model</w:t>
            </w:r>
          </w:p>
        </w:tc>
        <w:tc>
          <w:tcPr>
            <w:tcW w:type="dxa" w:w="4176"/>
            <w:vAlign w:val="center"/>
            <w:tcMar>
              <w:top w:w="80" w:type="dxa"/>
              <w:start w:w="80" w:type="dxa"/>
              <w:bottom w:w="80" w:type="dxa"/>
              <w:end w:w="80" w:type="dxa"/>
            </w:tcMar>
          </w:tcPr>
          <w:p>
            <w:r>
              <w:rPr>
                <w:sz w:val="14"/>
              </w:rPr>
              <w:t>Huber weights + two-way clustered SE (issuer, CurrencyYear)</w:t>
            </w:r>
          </w:p>
        </w:tc>
        <w:tc>
          <w:tcPr>
            <w:tcW w:type="dxa" w:w="1584"/>
            <w:vAlign w:val="center"/>
            <w:tcMar>
              <w:top w:w="80" w:type="dxa"/>
              <w:start w:w="80" w:type="dxa"/>
              <w:bottom w:w="80" w:type="dxa"/>
              <w:end w:w="80" w:type="dxa"/>
            </w:tcMar>
          </w:tcPr>
          <w:p>
            <w:r>
              <w:rPr>
                <w:sz w:val="14"/>
              </w:rPr>
              <w:t>IG_status</w:t>
            </w:r>
          </w:p>
        </w:tc>
        <w:tc>
          <w:tcPr>
            <w:tcW w:type="dxa" w:w="1440"/>
            <w:vAlign w:val="center"/>
            <w:tcMar>
              <w:top w:w="80" w:type="dxa"/>
              <w:start w:w="80" w:type="dxa"/>
              <w:bottom w:w="80" w:type="dxa"/>
              <w:end w:w="80" w:type="dxa"/>
            </w:tcMar>
          </w:tcPr>
          <w:p>
            <w:r>
              <w:rPr>
                <w:sz w:val="14"/>
              </w:rPr>
              <w:t>-55.22</w:t>
            </w:r>
          </w:p>
        </w:tc>
        <w:tc>
          <w:tcPr>
            <w:tcW w:type="dxa" w:w="1152"/>
            <w:vAlign w:val="center"/>
            <w:tcMar>
              <w:top w:w="80" w:type="dxa"/>
              <w:start w:w="80" w:type="dxa"/>
              <w:bottom w:w="80" w:type="dxa"/>
              <w:end w:w="80" w:type="dxa"/>
            </w:tcMar>
          </w:tcPr>
          <w:p>
            <w:r>
              <w:rPr>
                <w:sz w:val="14"/>
              </w:rPr>
              <w:t>4.728e-07</w:t>
            </w:r>
          </w:p>
        </w:tc>
      </w:tr>
      <w:tr>
        <w:trPr>
          <w:cantSplit/>
        </w:trPr>
        <w:tc>
          <w:tcPr>
            <w:tcW w:type="dxa" w:w="2016"/>
            <w:vAlign w:val="center"/>
            <w:tcMar>
              <w:top w:w="80" w:type="dxa"/>
              <w:start w:w="80" w:type="dxa"/>
              <w:bottom w:w="80" w:type="dxa"/>
              <w:end w:w="80" w:type="dxa"/>
            </w:tcMar>
          </w:tcPr>
          <w:p>
            <w:r>
              <w:rPr>
                <w:sz w:val="14"/>
              </w:rPr>
              <w:t>TukeyBiweight</w:t>
            </w:r>
          </w:p>
        </w:tc>
        <w:tc>
          <w:tcPr>
            <w:tcW w:type="dxa" w:w="4176"/>
            <w:vAlign w:val="center"/>
            <w:tcMar>
              <w:top w:w="80" w:type="dxa"/>
              <w:start w:w="80" w:type="dxa"/>
              <w:bottom w:w="80" w:type="dxa"/>
              <w:end w:w="80" w:type="dxa"/>
            </w:tcMar>
          </w:tcPr>
          <w:p>
            <w:r>
              <w:rPr>
                <w:sz w:val="14"/>
              </w:rPr>
              <w:t>TukeyBiweight weights + issuer-clustered WLS</w:t>
            </w:r>
          </w:p>
        </w:tc>
        <w:tc>
          <w:tcPr>
            <w:tcW w:type="dxa" w:w="1584"/>
            <w:vAlign w:val="center"/>
            <w:tcMar>
              <w:top w:w="80" w:type="dxa"/>
              <w:start w:w="80" w:type="dxa"/>
              <w:bottom w:w="80" w:type="dxa"/>
              <w:end w:w="80" w:type="dxa"/>
            </w:tcMar>
          </w:tcPr>
          <w:p>
            <w:r>
              <w:rPr>
                <w:sz w:val="14"/>
              </w:rPr>
              <w:t>Green</w:t>
            </w:r>
          </w:p>
        </w:tc>
        <w:tc>
          <w:tcPr>
            <w:tcW w:type="dxa" w:w="1440"/>
            <w:vAlign w:val="center"/>
            <w:tcMar>
              <w:top w:w="80" w:type="dxa"/>
              <w:start w:w="80" w:type="dxa"/>
              <w:bottom w:w="80" w:type="dxa"/>
              <w:end w:w="80" w:type="dxa"/>
            </w:tcMar>
          </w:tcPr>
          <w:p>
            <w:r>
              <w:rPr>
                <w:sz w:val="14"/>
              </w:rPr>
              <w:t>3.26</w:t>
            </w:r>
          </w:p>
        </w:tc>
        <w:tc>
          <w:tcPr>
            <w:tcW w:type="dxa" w:w="1152"/>
            <w:vAlign w:val="center"/>
            <w:tcMar>
              <w:top w:w="80" w:type="dxa"/>
              <w:start w:w="80" w:type="dxa"/>
              <w:bottom w:w="80" w:type="dxa"/>
              <w:end w:w="80" w:type="dxa"/>
            </w:tcMar>
          </w:tcPr>
          <w:p>
            <w:r>
              <w:rPr>
                <w:sz w:val="14"/>
              </w:rPr>
              <w:t>0.384</w:t>
            </w:r>
          </w:p>
        </w:tc>
      </w:tr>
      <w:tr>
        <w:trPr>
          <w:cantSplit/>
        </w:trPr>
        <w:tc>
          <w:tcPr>
            <w:tcW w:type="dxa" w:w="2016"/>
            <w:vAlign w:val="center"/>
            <w:tcMar>
              <w:top w:w="80" w:type="dxa"/>
              <w:start w:w="80" w:type="dxa"/>
              <w:bottom w:w="80" w:type="dxa"/>
              <w:end w:w="80" w:type="dxa"/>
            </w:tcMar>
          </w:tcPr>
          <w:p>
            <w:r>
              <w:rPr>
                <w:sz w:val="14"/>
              </w:rPr>
              <w:t>TukeyBiweight</w:t>
            </w:r>
          </w:p>
        </w:tc>
        <w:tc>
          <w:tcPr>
            <w:tcW w:type="dxa" w:w="4176"/>
            <w:vAlign w:val="center"/>
            <w:tcMar>
              <w:top w:w="80" w:type="dxa"/>
              <w:start w:w="80" w:type="dxa"/>
              <w:bottom w:w="80" w:type="dxa"/>
              <w:end w:w="80" w:type="dxa"/>
            </w:tcMar>
          </w:tcPr>
          <w:p>
            <w:r>
              <w:rPr>
                <w:sz w:val="14"/>
              </w:rPr>
              <w:t>TukeyBiweight weights + issuer-clustered WLS</w:t>
            </w:r>
          </w:p>
        </w:tc>
        <w:tc>
          <w:tcPr>
            <w:tcW w:type="dxa" w:w="1584"/>
            <w:vAlign w:val="center"/>
            <w:tcMar>
              <w:top w:w="80" w:type="dxa"/>
              <w:start w:w="80" w:type="dxa"/>
              <w:bottom w:w="80" w:type="dxa"/>
              <w:end w:w="80" w:type="dxa"/>
            </w:tcMar>
          </w:tcPr>
          <w:p>
            <w:r>
              <w:rPr>
                <w:sz w:val="14"/>
              </w:rPr>
              <w:t>ESG_z</w:t>
            </w:r>
          </w:p>
        </w:tc>
        <w:tc>
          <w:tcPr>
            <w:tcW w:type="dxa" w:w="1440"/>
            <w:vAlign w:val="center"/>
            <w:tcMar>
              <w:top w:w="80" w:type="dxa"/>
              <w:start w:w="80" w:type="dxa"/>
              <w:bottom w:w="80" w:type="dxa"/>
              <w:end w:w="80" w:type="dxa"/>
            </w:tcMar>
          </w:tcPr>
          <w:p>
            <w:r>
              <w:rPr>
                <w:sz w:val="14"/>
              </w:rPr>
              <w:t>-2.93</w:t>
            </w:r>
          </w:p>
        </w:tc>
        <w:tc>
          <w:tcPr>
            <w:tcW w:type="dxa" w:w="1152"/>
            <w:vAlign w:val="center"/>
            <w:tcMar>
              <w:top w:w="80" w:type="dxa"/>
              <w:start w:w="80" w:type="dxa"/>
              <w:bottom w:w="80" w:type="dxa"/>
              <w:end w:w="80" w:type="dxa"/>
            </w:tcMar>
          </w:tcPr>
          <w:p>
            <w:r>
              <w:rPr>
                <w:sz w:val="14"/>
              </w:rPr>
              <w:t>0.02879</w:t>
            </w:r>
          </w:p>
        </w:tc>
      </w:tr>
      <w:tr>
        <w:trPr>
          <w:cantSplit/>
        </w:trPr>
        <w:tc>
          <w:tcPr>
            <w:tcW w:type="dxa" w:w="2016"/>
            <w:vAlign w:val="center"/>
            <w:tcMar>
              <w:top w:w="80" w:type="dxa"/>
              <w:start w:w="80" w:type="dxa"/>
              <w:bottom w:w="80" w:type="dxa"/>
              <w:end w:w="80" w:type="dxa"/>
            </w:tcMar>
          </w:tcPr>
          <w:p>
            <w:r>
              <w:rPr>
                <w:sz w:val="14"/>
              </w:rPr>
              <w:t>TukeyBiweight</w:t>
            </w:r>
          </w:p>
        </w:tc>
        <w:tc>
          <w:tcPr>
            <w:tcW w:type="dxa" w:w="4176"/>
            <w:vAlign w:val="center"/>
            <w:tcMar>
              <w:top w:w="80" w:type="dxa"/>
              <w:start w:w="80" w:type="dxa"/>
              <w:bottom w:w="80" w:type="dxa"/>
              <w:end w:w="80" w:type="dxa"/>
            </w:tcMar>
          </w:tcPr>
          <w:p>
            <w:r>
              <w:rPr>
                <w:sz w:val="14"/>
              </w:rPr>
              <w:t>TukeyBiweight weights + issuer-clustered WLS</w:t>
            </w:r>
          </w:p>
        </w:tc>
        <w:tc>
          <w:tcPr>
            <w:tcW w:type="dxa" w:w="1584"/>
            <w:vAlign w:val="center"/>
            <w:tcMar>
              <w:top w:w="80" w:type="dxa"/>
              <w:start w:w="80" w:type="dxa"/>
              <w:bottom w:w="80" w:type="dxa"/>
              <w:end w:w="80" w:type="dxa"/>
            </w:tcMar>
          </w:tcPr>
          <w:p>
            <w:r>
              <w:rPr>
                <w:sz w:val="14"/>
              </w:rPr>
              <w:t>IG_status</w:t>
            </w:r>
          </w:p>
        </w:tc>
        <w:tc>
          <w:tcPr>
            <w:tcW w:type="dxa" w:w="1440"/>
            <w:vAlign w:val="center"/>
            <w:tcMar>
              <w:top w:w="80" w:type="dxa"/>
              <w:start w:w="80" w:type="dxa"/>
              <w:bottom w:w="80" w:type="dxa"/>
              <w:end w:w="80" w:type="dxa"/>
            </w:tcMar>
          </w:tcPr>
          <w:p>
            <w:r>
              <w:rPr>
                <w:sz w:val="14"/>
              </w:rPr>
              <w:t>-60.83</w:t>
            </w:r>
          </w:p>
        </w:tc>
        <w:tc>
          <w:tcPr>
            <w:tcW w:type="dxa" w:w="1152"/>
            <w:vAlign w:val="center"/>
            <w:tcMar>
              <w:top w:w="80" w:type="dxa"/>
              <w:start w:w="80" w:type="dxa"/>
              <w:bottom w:w="80" w:type="dxa"/>
              <w:end w:w="80" w:type="dxa"/>
            </w:tcMar>
          </w:tcPr>
          <w:p>
            <w:r>
              <w:rPr>
                <w:sz w:val="14"/>
              </w:rPr>
              <w:t>3.016e-09</w:t>
            </w:r>
          </w:p>
        </w:tc>
      </w:tr>
      <w:tr>
        <w:trPr>
          <w:cantSplit/>
        </w:trPr>
        <w:tc>
          <w:tcPr>
            <w:tcW w:type="dxa" w:w="2016"/>
            <w:vAlign w:val="center"/>
            <w:tcMar>
              <w:top w:w="80" w:type="dxa"/>
              <w:start w:w="80" w:type="dxa"/>
              <w:bottom w:w="80" w:type="dxa"/>
              <w:end w:w="80" w:type="dxa"/>
            </w:tcMar>
          </w:tcPr>
          <w:p>
            <w:r>
              <w:rPr>
                <w:sz w:val="14"/>
              </w:rPr>
              <w:t>Hampel</w:t>
            </w:r>
          </w:p>
        </w:tc>
        <w:tc>
          <w:tcPr>
            <w:tcW w:type="dxa" w:w="4176"/>
            <w:vAlign w:val="center"/>
            <w:tcMar>
              <w:top w:w="80" w:type="dxa"/>
              <w:start w:w="80" w:type="dxa"/>
              <w:bottom w:w="80" w:type="dxa"/>
              <w:end w:w="80" w:type="dxa"/>
            </w:tcMar>
          </w:tcPr>
          <w:p>
            <w:r>
              <w:rPr>
                <w:sz w:val="14"/>
              </w:rPr>
              <w:t>Hampel weights + issuer-clustered WLS</w:t>
            </w:r>
          </w:p>
        </w:tc>
        <w:tc>
          <w:tcPr>
            <w:tcW w:type="dxa" w:w="1584"/>
            <w:vAlign w:val="center"/>
            <w:tcMar>
              <w:top w:w="80" w:type="dxa"/>
              <w:start w:w="80" w:type="dxa"/>
              <w:bottom w:w="80" w:type="dxa"/>
              <w:end w:w="80" w:type="dxa"/>
            </w:tcMar>
          </w:tcPr>
          <w:p>
            <w:r>
              <w:rPr>
                <w:sz w:val="14"/>
              </w:rPr>
              <w:t>Green</w:t>
            </w:r>
          </w:p>
        </w:tc>
        <w:tc>
          <w:tcPr>
            <w:tcW w:type="dxa" w:w="1440"/>
            <w:vAlign w:val="center"/>
            <w:tcMar>
              <w:top w:w="80" w:type="dxa"/>
              <w:start w:w="80" w:type="dxa"/>
              <w:bottom w:w="80" w:type="dxa"/>
              <w:end w:w="80" w:type="dxa"/>
            </w:tcMar>
          </w:tcPr>
          <w:p>
            <w:r>
              <w:rPr>
                <w:sz w:val="14"/>
              </w:rPr>
              <w:t>0.98</w:t>
            </w:r>
          </w:p>
        </w:tc>
        <w:tc>
          <w:tcPr>
            <w:tcW w:type="dxa" w:w="1152"/>
            <w:vAlign w:val="center"/>
            <w:tcMar>
              <w:top w:w="80" w:type="dxa"/>
              <w:start w:w="80" w:type="dxa"/>
              <w:bottom w:w="80" w:type="dxa"/>
              <w:end w:w="80" w:type="dxa"/>
            </w:tcMar>
          </w:tcPr>
          <w:p>
            <w:r>
              <w:rPr>
                <w:sz w:val="14"/>
              </w:rPr>
              <w:t>0.8324</w:t>
            </w:r>
          </w:p>
        </w:tc>
      </w:tr>
      <w:tr>
        <w:trPr>
          <w:cantSplit/>
        </w:trPr>
        <w:tc>
          <w:tcPr>
            <w:tcW w:type="dxa" w:w="2016"/>
            <w:vAlign w:val="center"/>
            <w:tcMar>
              <w:top w:w="80" w:type="dxa"/>
              <w:start w:w="80" w:type="dxa"/>
              <w:bottom w:w="80" w:type="dxa"/>
              <w:end w:w="80" w:type="dxa"/>
            </w:tcMar>
          </w:tcPr>
          <w:p>
            <w:r>
              <w:rPr>
                <w:sz w:val="14"/>
              </w:rPr>
              <w:t>Hampel</w:t>
            </w:r>
          </w:p>
        </w:tc>
        <w:tc>
          <w:tcPr>
            <w:tcW w:type="dxa" w:w="4176"/>
            <w:vAlign w:val="center"/>
            <w:tcMar>
              <w:top w:w="80" w:type="dxa"/>
              <w:start w:w="80" w:type="dxa"/>
              <w:bottom w:w="80" w:type="dxa"/>
              <w:end w:w="80" w:type="dxa"/>
            </w:tcMar>
          </w:tcPr>
          <w:p>
            <w:r>
              <w:rPr>
                <w:sz w:val="14"/>
              </w:rPr>
              <w:t>Hampel weights + issuer-clustered WLS</w:t>
            </w:r>
          </w:p>
        </w:tc>
        <w:tc>
          <w:tcPr>
            <w:tcW w:type="dxa" w:w="1584"/>
            <w:vAlign w:val="center"/>
            <w:tcMar>
              <w:top w:w="80" w:type="dxa"/>
              <w:start w:w="80" w:type="dxa"/>
              <w:bottom w:w="80" w:type="dxa"/>
              <w:end w:w="80" w:type="dxa"/>
            </w:tcMar>
          </w:tcPr>
          <w:p>
            <w:r>
              <w:rPr>
                <w:sz w:val="14"/>
              </w:rPr>
              <w:t>ESG_z</w:t>
            </w:r>
          </w:p>
        </w:tc>
        <w:tc>
          <w:tcPr>
            <w:tcW w:type="dxa" w:w="1440"/>
            <w:vAlign w:val="center"/>
            <w:tcMar>
              <w:top w:w="80" w:type="dxa"/>
              <w:start w:w="80" w:type="dxa"/>
              <w:bottom w:w="80" w:type="dxa"/>
              <w:end w:w="80" w:type="dxa"/>
            </w:tcMar>
          </w:tcPr>
          <w:p>
            <w:r>
              <w:rPr>
                <w:sz w:val="14"/>
              </w:rPr>
              <w:t>-3.12</w:t>
            </w:r>
          </w:p>
        </w:tc>
        <w:tc>
          <w:tcPr>
            <w:tcW w:type="dxa" w:w="1152"/>
            <w:vAlign w:val="center"/>
            <w:tcMar>
              <w:top w:w="80" w:type="dxa"/>
              <w:start w:w="80" w:type="dxa"/>
              <w:bottom w:w="80" w:type="dxa"/>
              <w:end w:w="80" w:type="dxa"/>
            </w:tcMar>
          </w:tcPr>
          <w:p>
            <w:r>
              <w:rPr>
                <w:sz w:val="14"/>
              </w:rPr>
              <w:t>0.05233</w:t>
            </w:r>
          </w:p>
        </w:tc>
      </w:tr>
      <w:tr>
        <w:trPr>
          <w:cantSplit/>
        </w:trPr>
        <w:tc>
          <w:tcPr>
            <w:tcW w:type="dxa" w:w="2016"/>
            <w:vAlign w:val="center"/>
            <w:tcMar>
              <w:top w:w="80" w:type="dxa"/>
              <w:start w:w="80" w:type="dxa"/>
              <w:bottom w:w="80" w:type="dxa"/>
              <w:end w:w="80" w:type="dxa"/>
            </w:tcMar>
          </w:tcPr>
          <w:p>
            <w:r>
              <w:rPr>
                <w:sz w:val="14"/>
              </w:rPr>
              <w:t>Hampel</w:t>
            </w:r>
          </w:p>
        </w:tc>
        <w:tc>
          <w:tcPr>
            <w:tcW w:type="dxa" w:w="4176"/>
            <w:vAlign w:val="center"/>
            <w:tcMar>
              <w:top w:w="80" w:type="dxa"/>
              <w:start w:w="80" w:type="dxa"/>
              <w:bottom w:w="80" w:type="dxa"/>
              <w:end w:w="80" w:type="dxa"/>
            </w:tcMar>
          </w:tcPr>
          <w:p>
            <w:r>
              <w:rPr>
                <w:sz w:val="14"/>
              </w:rPr>
              <w:t>Hampel weights + issuer-clustered WLS</w:t>
            </w:r>
          </w:p>
        </w:tc>
        <w:tc>
          <w:tcPr>
            <w:tcW w:type="dxa" w:w="1584"/>
            <w:vAlign w:val="center"/>
            <w:tcMar>
              <w:top w:w="80" w:type="dxa"/>
              <w:start w:w="80" w:type="dxa"/>
              <w:bottom w:w="80" w:type="dxa"/>
              <w:end w:w="80" w:type="dxa"/>
            </w:tcMar>
          </w:tcPr>
          <w:p>
            <w:r>
              <w:rPr>
                <w:sz w:val="14"/>
              </w:rPr>
              <w:t>IG_status</w:t>
            </w:r>
          </w:p>
        </w:tc>
        <w:tc>
          <w:tcPr>
            <w:tcW w:type="dxa" w:w="1440"/>
            <w:vAlign w:val="center"/>
            <w:tcMar>
              <w:top w:w="80" w:type="dxa"/>
              <w:start w:w="80" w:type="dxa"/>
              <w:bottom w:w="80" w:type="dxa"/>
              <w:end w:w="80" w:type="dxa"/>
            </w:tcMar>
          </w:tcPr>
          <w:p>
            <w:r>
              <w:rPr>
                <w:sz w:val="14"/>
              </w:rPr>
              <w:t>-53.39</w:t>
            </w:r>
          </w:p>
        </w:tc>
        <w:tc>
          <w:tcPr>
            <w:tcW w:type="dxa" w:w="1152"/>
            <w:vAlign w:val="center"/>
            <w:tcMar>
              <w:top w:w="80" w:type="dxa"/>
              <w:start w:w="80" w:type="dxa"/>
              <w:bottom w:w="80" w:type="dxa"/>
              <w:end w:w="80" w:type="dxa"/>
            </w:tcMar>
          </w:tcPr>
          <w:p>
            <w:r>
              <w:rPr>
                <w:sz w:val="14"/>
              </w:rPr>
              <w:t>8.473e-06</w:t>
            </w:r>
          </w:p>
        </w:tc>
      </w:tr>
    </w:tbl>
    <w:p>
      <w:pPr>
        <w:spacing w:after="40"/>
      </w:pPr>
    </w:p>
    <w:p>
      <w:pPr>
        <w:pStyle w:val="Heading1"/>
        <w:keepNext/>
      </w:pPr>
      <w:r>
        <w:t>8. Final reliability and validity assessment</w:t>
      </w:r>
    </w:p>
    <w:p>
      <w:pPr>
        <w:pStyle w:val="Heading2"/>
        <w:keepNext/>
      </w:pPr>
      <w:r>
        <w:t>8.1 Internal-consistency tests: why they are not used</w:t>
      </w:r>
    </w:p>
    <w:p>
      <w:r>
        <w:t>Cronbach's alpha, McDonald's omega, Composite Reliability, AVE and CFA-based convergent validity are not valid for the current measures because ESG, Green, Certification and Investment Grade are single observed archival variables rather than multi-item reflective constructs. Reporting fabricated alpha/CR/AVE values would be methodologically incorrect.</w:t>
      </w:r>
    </w:p>
    <w:p>
      <w:r>
        <w:br w:type="page"/>
      </w:r>
    </w:p>
    <w:p>
      <w:pPr>
        <w:pStyle w:val="Heading2"/>
        <w:keepNext/>
      </w:pPr>
      <w:r>
        <w:t>8.2 Temporal-stability diagnostics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160"/>
            <w:shd w:fill="D9EAF7"/>
            <w:vAlign w:val="center"/>
          </w:tcPr>
          <w:p>
            <w:pPr>
              <w:jc w:val="center"/>
            </w:pPr>
            <w:r>
              <w:rPr>
                <w:b/>
                <w:sz w:val="16"/>
              </w:rPr>
              <w:t>Measure</w:t>
            </w:r>
          </w:p>
        </w:tc>
        <w:tc>
          <w:tcPr>
            <w:tcW w:type="dxa" w:w="3168"/>
            <w:shd w:fill="D9EAF7"/>
            <w:vAlign w:val="center"/>
          </w:tcPr>
          <w:p>
            <w:pPr>
              <w:jc w:val="center"/>
            </w:pPr>
            <w:r>
              <w:rPr>
                <w:b/>
                <w:sz w:val="16"/>
              </w:rPr>
              <w:t>Test</w:t>
            </w:r>
          </w:p>
        </w:tc>
        <w:tc>
          <w:tcPr>
            <w:tcW w:type="dxa" w:w="1296"/>
            <w:shd w:fill="D9EAF7"/>
            <w:vAlign w:val="center"/>
          </w:tcPr>
          <w:p>
            <w:pPr>
              <w:jc w:val="center"/>
            </w:pPr>
            <w:r>
              <w:rPr>
                <w:b/>
                <w:sz w:val="16"/>
              </w:rPr>
              <w:t>Pairs</w:t>
            </w:r>
          </w:p>
        </w:tc>
        <w:tc>
          <w:tcPr>
            <w:tcW w:type="dxa" w:w="1584"/>
            <w:shd w:fill="D9EAF7"/>
            <w:vAlign w:val="center"/>
          </w:tcPr>
          <w:p>
            <w:pPr>
              <w:jc w:val="center"/>
            </w:pPr>
            <w:r>
              <w:rPr>
                <w:b/>
                <w:sz w:val="16"/>
              </w:rPr>
              <w:t>Statistic</w:t>
            </w:r>
          </w:p>
        </w:tc>
        <w:tc>
          <w:tcPr>
            <w:tcW w:type="dxa" w:w="1296"/>
            <w:shd w:fill="D9EAF7"/>
            <w:vAlign w:val="center"/>
          </w:tcPr>
          <w:p>
            <w:pPr>
              <w:jc w:val="center"/>
            </w:pPr>
            <w:r>
              <w:rPr>
                <w:b/>
                <w:sz w:val="16"/>
              </w:rPr>
              <w:t>p</w:t>
            </w:r>
          </w:p>
        </w:tc>
      </w:tr>
      <w:tr>
        <w:trPr>
          <w:cantSplit/>
        </w:trPr>
        <w:tc>
          <w:tcPr>
            <w:tcW w:type="dxa" w:w="2160"/>
            <w:vAlign w:val="center"/>
            <w:tcMar>
              <w:top w:w="80" w:type="dxa"/>
              <w:start w:w="80" w:type="dxa"/>
              <w:bottom w:w="80" w:type="dxa"/>
              <w:end w:w="80" w:type="dxa"/>
            </w:tcMar>
          </w:tcPr>
          <w:p>
            <w:r>
              <w:rPr>
                <w:sz w:val="16"/>
              </w:rPr>
              <w:t>ESG</w:t>
            </w:r>
          </w:p>
        </w:tc>
        <w:tc>
          <w:tcPr>
            <w:tcW w:type="dxa" w:w="3168"/>
            <w:vAlign w:val="center"/>
            <w:tcMar>
              <w:top w:w="80" w:type="dxa"/>
              <w:start w:w="80" w:type="dxa"/>
              <w:bottom w:w="80" w:type="dxa"/>
              <w:end w:w="80" w:type="dxa"/>
            </w:tcMar>
          </w:tcPr>
          <w:p>
            <w:r>
              <w:rPr>
                <w:sz w:val="16"/>
              </w:rPr>
              <w:t>Lag-1 Pearson</w:t>
            </w:r>
          </w:p>
        </w:tc>
        <w:tc>
          <w:tcPr>
            <w:tcW w:type="dxa" w:w="1296"/>
            <w:vAlign w:val="center"/>
            <w:tcMar>
              <w:top w:w="80" w:type="dxa"/>
              <w:start w:w="80" w:type="dxa"/>
              <w:bottom w:w="80" w:type="dxa"/>
              <w:end w:w="80" w:type="dxa"/>
            </w:tcMar>
          </w:tcPr>
          <w:p>
            <w:r>
              <w:rPr>
                <w:sz w:val="16"/>
              </w:rPr>
              <w:t>5,427</w:t>
            </w:r>
          </w:p>
        </w:tc>
        <w:tc>
          <w:tcPr>
            <w:tcW w:type="dxa" w:w="1584"/>
            <w:vAlign w:val="center"/>
            <w:tcMar>
              <w:top w:w="80" w:type="dxa"/>
              <w:start w:w="80" w:type="dxa"/>
              <w:bottom w:w="80" w:type="dxa"/>
              <w:end w:w="80" w:type="dxa"/>
            </w:tcMar>
          </w:tcPr>
          <w:p>
            <w:r>
              <w:rPr>
                <w:sz w:val="16"/>
              </w:rPr>
              <w:t>0.9995</w:t>
            </w:r>
          </w:p>
        </w:tc>
        <w:tc>
          <w:tcPr>
            <w:tcW w:type="dxa" w:w="1296"/>
            <w:vAlign w:val="center"/>
            <w:tcMar>
              <w:top w:w="80" w:type="dxa"/>
              <w:start w:w="80" w:type="dxa"/>
              <w:bottom w:w="80" w:type="dxa"/>
              <w:end w:w="80" w:type="dxa"/>
            </w:tcMar>
          </w:tcPr>
          <w:p>
            <w:r>
              <w:rPr>
                <w:sz w:val="16"/>
              </w:rPr>
              <w:t>&lt;0.0001</w:t>
            </w:r>
          </w:p>
        </w:tc>
      </w:tr>
      <w:tr>
        <w:trPr>
          <w:cantSplit/>
        </w:trPr>
        <w:tc>
          <w:tcPr>
            <w:tcW w:type="dxa" w:w="2160"/>
            <w:vAlign w:val="center"/>
            <w:tcMar>
              <w:top w:w="80" w:type="dxa"/>
              <w:start w:w="80" w:type="dxa"/>
              <w:bottom w:w="80" w:type="dxa"/>
              <w:end w:w="80" w:type="dxa"/>
            </w:tcMar>
          </w:tcPr>
          <w:p>
            <w:r>
              <w:rPr>
                <w:sz w:val="16"/>
              </w:rPr>
              <w:t>ESG</w:t>
            </w:r>
          </w:p>
        </w:tc>
        <w:tc>
          <w:tcPr>
            <w:tcW w:type="dxa" w:w="3168"/>
            <w:vAlign w:val="center"/>
            <w:tcMar>
              <w:top w:w="80" w:type="dxa"/>
              <w:start w:w="80" w:type="dxa"/>
              <w:bottom w:w="80" w:type="dxa"/>
              <w:end w:w="80" w:type="dxa"/>
            </w:tcMar>
          </w:tcPr>
          <w:p>
            <w:r>
              <w:rPr>
                <w:sz w:val="16"/>
              </w:rPr>
              <w:t>Lag-1 Spearman</w:t>
            </w:r>
          </w:p>
        </w:tc>
        <w:tc>
          <w:tcPr>
            <w:tcW w:type="dxa" w:w="1296"/>
            <w:vAlign w:val="center"/>
            <w:tcMar>
              <w:top w:w="80" w:type="dxa"/>
              <w:start w:w="80" w:type="dxa"/>
              <w:bottom w:w="80" w:type="dxa"/>
              <w:end w:w="80" w:type="dxa"/>
            </w:tcMar>
          </w:tcPr>
          <w:p>
            <w:r>
              <w:rPr>
                <w:sz w:val="16"/>
              </w:rPr>
              <w:t>5,427</w:t>
            </w:r>
          </w:p>
        </w:tc>
        <w:tc>
          <w:tcPr>
            <w:tcW w:type="dxa" w:w="1584"/>
            <w:vAlign w:val="center"/>
            <w:tcMar>
              <w:top w:w="80" w:type="dxa"/>
              <w:start w:w="80" w:type="dxa"/>
              <w:bottom w:w="80" w:type="dxa"/>
              <w:end w:w="80" w:type="dxa"/>
            </w:tcMar>
          </w:tcPr>
          <w:p>
            <w:r>
              <w:rPr>
                <w:sz w:val="16"/>
              </w:rPr>
              <w:t>0.9997</w:t>
            </w:r>
          </w:p>
        </w:tc>
        <w:tc>
          <w:tcPr>
            <w:tcW w:type="dxa" w:w="1296"/>
            <w:vAlign w:val="center"/>
            <w:tcMar>
              <w:top w:w="80" w:type="dxa"/>
              <w:start w:w="80" w:type="dxa"/>
              <w:bottom w:w="80" w:type="dxa"/>
              <w:end w:w="80" w:type="dxa"/>
            </w:tcMar>
          </w:tcPr>
          <w:p>
            <w:r>
              <w:rPr>
                <w:sz w:val="16"/>
              </w:rPr>
              <w:t>&lt;0.0001</w:t>
            </w:r>
          </w:p>
        </w:tc>
      </w:tr>
      <w:tr>
        <w:trPr>
          <w:cantSplit/>
        </w:trPr>
        <w:tc>
          <w:tcPr>
            <w:tcW w:type="dxa" w:w="2160"/>
            <w:vAlign w:val="center"/>
            <w:tcMar>
              <w:top w:w="80" w:type="dxa"/>
              <w:start w:w="80" w:type="dxa"/>
              <w:bottom w:w="80" w:type="dxa"/>
              <w:end w:w="80" w:type="dxa"/>
            </w:tcMar>
          </w:tcPr>
          <w:p>
            <w:r>
              <w:rPr>
                <w:sz w:val="16"/>
              </w:rPr>
              <w:t>ESG</w:t>
            </w:r>
          </w:p>
        </w:tc>
        <w:tc>
          <w:tcPr>
            <w:tcW w:type="dxa" w:w="3168"/>
            <w:vAlign w:val="center"/>
            <w:tcMar>
              <w:top w:w="80" w:type="dxa"/>
              <w:start w:w="80" w:type="dxa"/>
              <w:bottom w:w="80" w:type="dxa"/>
              <w:end w:w="80" w:type="dxa"/>
            </w:tcMar>
          </w:tcPr>
          <w:p>
            <w:r>
              <w:rPr>
                <w:sz w:val="16"/>
              </w:rPr>
              <w:t>Exact repeat share</w:t>
            </w:r>
          </w:p>
        </w:tc>
        <w:tc>
          <w:tcPr>
            <w:tcW w:type="dxa" w:w="1296"/>
            <w:vAlign w:val="center"/>
            <w:tcMar>
              <w:top w:w="80" w:type="dxa"/>
              <w:start w:w="80" w:type="dxa"/>
              <w:bottom w:w="80" w:type="dxa"/>
              <w:end w:w="80" w:type="dxa"/>
            </w:tcMar>
          </w:tcPr>
          <w:p>
            <w:r>
              <w:rPr>
                <w:sz w:val="16"/>
              </w:rPr>
              <w:t>5,427</w:t>
            </w:r>
          </w:p>
        </w:tc>
        <w:tc>
          <w:tcPr>
            <w:tcW w:type="dxa" w:w="1584"/>
            <w:vAlign w:val="center"/>
            <w:tcMar>
              <w:top w:w="80" w:type="dxa"/>
              <w:start w:w="80" w:type="dxa"/>
              <w:bottom w:w="80" w:type="dxa"/>
              <w:end w:w="80" w:type="dxa"/>
            </w:tcMar>
          </w:tcPr>
          <w:p>
            <w:r>
              <w:rPr>
                <w:sz w:val="16"/>
              </w:rPr>
              <w:t>0.9722</w:t>
            </w:r>
          </w:p>
        </w:tc>
        <w:tc>
          <w:tcPr>
            <w:tcW w:type="dxa" w:w="1296"/>
            <w:vAlign w:val="center"/>
            <w:tcMar>
              <w:top w:w="80" w:type="dxa"/>
              <w:start w:w="80" w:type="dxa"/>
              <w:bottom w:w="80" w:type="dxa"/>
              <w:end w:w="80" w:type="dxa"/>
            </w:tcMar>
          </w:tcPr>
          <w:p>
            <w:r>
              <w:rPr>
                <w:sz w:val="16"/>
              </w:rPr>
            </w:r>
          </w:p>
        </w:tc>
      </w:tr>
      <w:tr>
        <w:trPr>
          <w:cantSplit/>
        </w:trPr>
        <w:tc>
          <w:tcPr>
            <w:tcW w:type="dxa" w:w="2160"/>
            <w:vAlign w:val="center"/>
            <w:tcMar>
              <w:top w:w="80" w:type="dxa"/>
              <w:start w:w="80" w:type="dxa"/>
              <w:bottom w:w="80" w:type="dxa"/>
              <w:end w:w="80" w:type="dxa"/>
            </w:tcMar>
          </w:tcPr>
          <w:p>
            <w:r>
              <w:rPr>
                <w:sz w:val="16"/>
              </w:rPr>
              <w:t>Investment Grade</w:t>
            </w:r>
          </w:p>
        </w:tc>
        <w:tc>
          <w:tcPr>
            <w:tcW w:type="dxa" w:w="3168"/>
            <w:vAlign w:val="center"/>
            <w:tcMar>
              <w:top w:w="80" w:type="dxa"/>
              <w:start w:w="80" w:type="dxa"/>
              <w:bottom w:w="80" w:type="dxa"/>
              <w:end w:w="80" w:type="dxa"/>
            </w:tcMar>
          </w:tcPr>
          <w:p>
            <w:r>
              <w:rPr>
                <w:sz w:val="16"/>
              </w:rPr>
              <w:t>Cohen's kappa</w:t>
            </w:r>
          </w:p>
        </w:tc>
        <w:tc>
          <w:tcPr>
            <w:tcW w:type="dxa" w:w="1296"/>
            <w:vAlign w:val="center"/>
            <w:tcMar>
              <w:top w:w="80" w:type="dxa"/>
              <w:start w:w="80" w:type="dxa"/>
              <w:bottom w:w="80" w:type="dxa"/>
              <w:end w:w="80" w:type="dxa"/>
            </w:tcMar>
          </w:tcPr>
          <w:p>
            <w:r>
              <w:rPr>
                <w:sz w:val="16"/>
              </w:rPr>
              <w:t>2,993</w:t>
            </w:r>
          </w:p>
        </w:tc>
        <w:tc>
          <w:tcPr>
            <w:tcW w:type="dxa" w:w="1584"/>
            <w:vAlign w:val="center"/>
            <w:tcMar>
              <w:top w:w="80" w:type="dxa"/>
              <w:start w:w="80" w:type="dxa"/>
              <w:bottom w:w="80" w:type="dxa"/>
              <w:end w:w="80" w:type="dxa"/>
            </w:tcMar>
          </w:tcPr>
          <w:p>
            <w:r>
              <w:rPr>
                <w:sz w:val="16"/>
              </w:rPr>
              <w:t>0.9528</w:t>
            </w:r>
          </w:p>
        </w:tc>
        <w:tc>
          <w:tcPr>
            <w:tcW w:type="dxa" w:w="1296"/>
            <w:vAlign w:val="center"/>
            <w:tcMar>
              <w:top w:w="80" w:type="dxa"/>
              <w:start w:w="80" w:type="dxa"/>
              <w:bottom w:w="80" w:type="dxa"/>
              <w:end w:w="80" w:type="dxa"/>
            </w:tcMar>
          </w:tcPr>
          <w:p>
            <w:r>
              <w:rPr>
                <w:sz w:val="16"/>
              </w:rPr>
            </w:r>
          </w:p>
        </w:tc>
      </w:tr>
      <w:tr>
        <w:trPr>
          <w:cantSplit/>
        </w:trPr>
        <w:tc>
          <w:tcPr>
            <w:tcW w:type="dxa" w:w="2160"/>
            <w:vAlign w:val="center"/>
            <w:tcMar>
              <w:top w:w="80" w:type="dxa"/>
              <w:start w:w="80" w:type="dxa"/>
              <w:bottom w:w="80" w:type="dxa"/>
              <w:end w:w="80" w:type="dxa"/>
            </w:tcMar>
          </w:tcPr>
          <w:p>
            <w:r>
              <w:rPr>
                <w:sz w:val="16"/>
              </w:rPr>
              <w:t>Investment Grade</w:t>
            </w:r>
          </w:p>
        </w:tc>
        <w:tc>
          <w:tcPr>
            <w:tcW w:type="dxa" w:w="3168"/>
            <w:vAlign w:val="center"/>
            <w:tcMar>
              <w:top w:w="80" w:type="dxa"/>
              <w:start w:w="80" w:type="dxa"/>
              <w:bottom w:w="80" w:type="dxa"/>
              <w:end w:w="80" w:type="dxa"/>
            </w:tcMar>
          </w:tcPr>
          <w:p>
            <w:r>
              <w:rPr>
                <w:sz w:val="16"/>
              </w:rPr>
              <w:t>Exact agreement share</w:t>
            </w:r>
          </w:p>
        </w:tc>
        <w:tc>
          <w:tcPr>
            <w:tcW w:type="dxa" w:w="1296"/>
            <w:vAlign w:val="center"/>
            <w:tcMar>
              <w:top w:w="80" w:type="dxa"/>
              <w:start w:w="80" w:type="dxa"/>
              <w:bottom w:w="80" w:type="dxa"/>
              <w:end w:w="80" w:type="dxa"/>
            </w:tcMar>
          </w:tcPr>
          <w:p>
            <w:r>
              <w:rPr>
                <w:sz w:val="16"/>
              </w:rPr>
              <w:t>2,993</w:t>
            </w:r>
          </w:p>
        </w:tc>
        <w:tc>
          <w:tcPr>
            <w:tcW w:type="dxa" w:w="1584"/>
            <w:vAlign w:val="center"/>
            <w:tcMar>
              <w:top w:w="80" w:type="dxa"/>
              <w:start w:w="80" w:type="dxa"/>
              <w:bottom w:w="80" w:type="dxa"/>
              <w:end w:w="80" w:type="dxa"/>
            </w:tcMar>
          </w:tcPr>
          <w:p>
            <w:r>
              <w:rPr>
                <w:sz w:val="16"/>
              </w:rPr>
              <w:t>0.9963</w:t>
            </w:r>
          </w:p>
        </w:tc>
        <w:tc>
          <w:tcPr>
            <w:tcW w:type="dxa" w:w="1296"/>
            <w:vAlign w:val="center"/>
            <w:tcMar>
              <w:top w:w="80" w:type="dxa"/>
              <w:start w:w="80" w:type="dxa"/>
              <w:bottom w:w="80" w:type="dxa"/>
              <w:end w:w="80" w:type="dxa"/>
            </w:tcMar>
          </w:tcPr>
          <w:p>
            <w:r>
              <w:rPr>
                <w:sz w:val="16"/>
              </w:rPr>
            </w:r>
          </w:p>
        </w:tc>
      </w:tr>
    </w:tbl>
    <w:p>
      <w:pPr>
        <w:spacing w:after="40"/>
      </w:pPr>
    </w:p>
    <w:tbl>
      <w:tblPr>
        <w:tblStyle w:val="TableGrid"/>
        <w:tblW w:type="auto" w:w="0"/>
        <w:jc w:val="center"/>
        <w:tblLook w:firstColumn="1" w:firstRow="1" w:lastColumn="0" w:lastRow="0" w:noHBand="0" w:noVBand="1" w:val="04A0"/>
      </w:tblPr>
      <w:tblGrid>
        <w:gridCol w:w="10080"/>
      </w:tblGrid>
      <w:tr>
        <w:trPr>
          <w:cantSplit/>
        </w:trPr>
        <w:tc>
          <w:tcPr>
            <w:tcW w:type="dxa" w:w="10080"/>
            <w:shd w:fill="EAF3F8"/>
            <w:tcMar>
              <w:top w:w="120" w:type="dxa"/>
              <w:start w:w="140" w:type="dxa"/>
              <w:bottom w:w="120" w:type="dxa"/>
              <w:end w:w="140" w:type="dxa"/>
            </w:tcMar>
          </w:tcPr>
          <w:p>
            <w:r>
              <w:rPr>
                <w:b/>
                <w:color w:val="1F4E79"/>
                <w:sz w:val="21"/>
              </w:rPr>
              <w:t>Interpretation</w:t>
              <w:br/>
            </w:r>
            <w:r>
              <w:rPr>
                <w:sz w:val="19"/>
              </w:rPr>
              <w:t>Investment Grade shows very high temporal agreement (κ = 0.953; 99.63% exact agreement). ESG shows extremely high temporal stability, but its 97.22% exact-repeat rate is also evidence that the source ESG field is nearly static. This supports using ESG level, not a pseudo-time-series delta, in the primary model.</w:t>
            </w:r>
          </w:p>
        </w:tc>
      </w:tr>
    </w:tbl>
    <w:p>
      <w:pPr>
        <w:spacing w:after="40"/>
      </w:pPr>
    </w:p>
    <w:p>
      <w:pPr>
        <w:pStyle w:val="Heading2"/>
        <w:keepNext/>
      </w:pPr>
      <w:r>
        <w:t>8.3 Empirical distinctness</w:t>
      </w:r>
    </w:p>
    <w:p>
      <w:r>
        <w:t>The final Pearson correlation between standardized ESG and Investment Grade is 0.0438. This is small, so the two constructs are empirically distinct rather than redundant.</w:t>
      </w:r>
    </w:p>
    <w:p>
      <w:pPr>
        <w:pStyle w:val="Heading2"/>
        <w:keepNext/>
      </w:pPr>
      <w:r>
        <w:t>8.4 Incremental criterion validity</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3168"/>
            <w:shd w:fill="D9EAF7"/>
            <w:vAlign w:val="center"/>
          </w:tcPr>
          <w:p>
            <w:pPr>
              <w:jc w:val="center"/>
            </w:pPr>
            <w:r>
              <w:rPr>
                <w:b/>
                <w:sz w:val="16"/>
              </w:rPr>
              <w:t>Model</w:t>
            </w:r>
          </w:p>
        </w:tc>
        <w:tc>
          <w:tcPr>
            <w:tcW w:type="dxa" w:w="1584"/>
            <w:shd w:fill="D9EAF7"/>
            <w:vAlign w:val="center"/>
          </w:tcPr>
          <w:p>
            <w:pPr>
              <w:jc w:val="center"/>
            </w:pPr>
            <w:r>
              <w:rPr>
                <w:b/>
                <w:sz w:val="16"/>
              </w:rPr>
              <w:t>Weighted R²</w:t>
            </w:r>
          </w:p>
        </w:tc>
        <w:tc>
          <w:tcPr>
            <w:tcW w:type="dxa" w:w="1584"/>
            <w:shd w:fill="D9EAF7"/>
            <w:vAlign w:val="center"/>
          </w:tcPr>
          <w:p>
            <w:pPr>
              <w:jc w:val="center"/>
            </w:pPr>
            <w:r>
              <w:rPr>
                <w:b/>
                <w:sz w:val="16"/>
              </w:rPr>
              <w:t>Adj. R²</w:t>
            </w:r>
          </w:p>
        </w:tc>
        <w:tc>
          <w:tcPr>
            <w:tcW w:type="dxa" w:w="1728"/>
            <w:shd w:fill="D9EAF7"/>
            <w:vAlign w:val="center"/>
          </w:tcPr>
          <w:p>
            <w:pPr>
              <w:jc w:val="center"/>
            </w:pPr>
            <w:r>
              <w:rPr>
                <w:b/>
                <w:sz w:val="16"/>
              </w:rPr>
              <w:t>AIC</w:t>
            </w:r>
          </w:p>
        </w:tc>
        <w:tc>
          <w:tcPr>
            <w:tcW w:type="dxa" w:w="1728"/>
            <w:shd w:fill="D9EAF7"/>
            <w:vAlign w:val="center"/>
          </w:tcPr>
          <w:p>
            <w:pPr>
              <w:jc w:val="center"/>
            </w:pPr>
            <w:r>
              <w:rPr>
                <w:b/>
                <w:sz w:val="16"/>
              </w:rPr>
              <w:t>BIC</w:t>
            </w:r>
          </w:p>
        </w:tc>
      </w:tr>
      <w:tr>
        <w:trPr>
          <w:cantSplit/>
        </w:trPr>
        <w:tc>
          <w:tcPr>
            <w:tcW w:type="dxa" w:w="3168"/>
            <w:vAlign w:val="center"/>
            <w:tcMar>
              <w:top w:w="80" w:type="dxa"/>
              <w:start w:w="80" w:type="dxa"/>
              <w:bottom w:w="80" w:type="dxa"/>
              <w:end w:w="80" w:type="dxa"/>
            </w:tcMar>
          </w:tcPr>
          <w:p>
            <w:r>
              <w:rPr>
                <w:sz w:val="16"/>
              </w:rPr>
              <w:t>Hygiene only</w:t>
            </w:r>
          </w:p>
        </w:tc>
        <w:tc>
          <w:tcPr>
            <w:tcW w:type="dxa" w:w="1584"/>
            <w:vAlign w:val="center"/>
            <w:tcMar>
              <w:top w:w="80" w:type="dxa"/>
              <w:start w:w="80" w:type="dxa"/>
              <w:bottom w:w="80" w:type="dxa"/>
              <w:end w:w="80" w:type="dxa"/>
            </w:tcMar>
          </w:tcPr>
          <w:p>
            <w:r>
              <w:rPr>
                <w:sz w:val="16"/>
              </w:rPr>
              <w:t>0.912589</w:t>
            </w:r>
          </w:p>
        </w:tc>
        <w:tc>
          <w:tcPr>
            <w:tcW w:type="dxa" w:w="1584"/>
            <w:vAlign w:val="center"/>
            <w:tcMar>
              <w:top w:w="80" w:type="dxa"/>
              <w:start w:w="80" w:type="dxa"/>
              <w:bottom w:w="80" w:type="dxa"/>
              <w:end w:w="80" w:type="dxa"/>
            </w:tcMar>
          </w:tcPr>
          <w:p>
            <w:r>
              <w:rPr>
                <w:sz w:val="16"/>
              </w:rPr>
              <w:t>0.909560</w:t>
            </w:r>
          </w:p>
        </w:tc>
        <w:tc>
          <w:tcPr>
            <w:tcW w:type="dxa" w:w="1728"/>
            <w:vAlign w:val="center"/>
            <w:tcMar>
              <w:top w:w="80" w:type="dxa"/>
              <w:start w:w="80" w:type="dxa"/>
              <w:bottom w:w="80" w:type="dxa"/>
              <w:end w:w="80" w:type="dxa"/>
            </w:tcMar>
          </w:tcPr>
          <w:p>
            <w:r>
              <w:rPr>
                <w:sz w:val="16"/>
              </w:rPr>
              <w:t>11876.01</w:t>
            </w:r>
          </w:p>
        </w:tc>
        <w:tc>
          <w:tcPr>
            <w:tcW w:type="dxa" w:w="1728"/>
            <w:vAlign w:val="center"/>
            <w:tcMar>
              <w:top w:w="80" w:type="dxa"/>
              <w:start w:w="80" w:type="dxa"/>
              <w:bottom w:w="80" w:type="dxa"/>
              <w:end w:w="80" w:type="dxa"/>
            </w:tcMar>
          </w:tcPr>
          <w:p>
            <w:r>
              <w:rPr>
                <w:sz w:val="16"/>
              </w:rPr>
              <w:t>13384.46</w:t>
            </w:r>
          </w:p>
        </w:tc>
      </w:tr>
      <w:tr>
        <w:trPr>
          <w:cantSplit/>
        </w:trPr>
        <w:tc>
          <w:tcPr>
            <w:tcW w:type="dxa" w:w="3168"/>
            <w:vAlign w:val="center"/>
            <w:tcMar>
              <w:top w:w="80" w:type="dxa"/>
              <w:start w:w="80" w:type="dxa"/>
              <w:bottom w:w="80" w:type="dxa"/>
              <w:end w:w="80" w:type="dxa"/>
            </w:tcMar>
          </w:tcPr>
          <w:p>
            <w:r>
              <w:rPr>
                <w:sz w:val="16"/>
              </w:rPr>
              <w:t>Hygiene + ESG</w:t>
            </w:r>
          </w:p>
        </w:tc>
        <w:tc>
          <w:tcPr>
            <w:tcW w:type="dxa" w:w="1584"/>
            <w:vAlign w:val="center"/>
            <w:tcMar>
              <w:top w:w="80" w:type="dxa"/>
              <w:start w:w="80" w:type="dxa"/>
              <w:bottom w:w="80" w:type="dxa"/>
              <w:end w:w="80" w:type="dxa"/>
            </w:tcMar>
          </w:tcPr>
          <w:p>
            <w:r>
              <w:rPr>
                <w:sz w:val="16"/>
              </w:rPr>
              <w:t>0.912726</w:t>
            </w:r>
          </w:p>
        </w:tc>
        <w:tc>
          <w:tcPr>
            <w:tcW w:type="dxa" w:w="1584"/>
            <w:vAlign w:val="center"/>
            <w:tcMar>
              <w:top w:w="80" w:type="dxa"/>
              <w:start w:w="80" w:type="dxa"/>
              <w:bottom w:w="80" w:type="dxa"/>
              <w:end w:w="80" w:type="dxa"/>
            </w:tcMar>
          </w:tcPr>
          <w:p>
            <w:r>
              <w:rPr>
                <w:sz w:val="16"/>
              </w:rPr>
              <w:t>0.909688</w:t>
            </w:r>
          </w:p>
        </w:tc>
        <w:tc>
          <w:tcPr>
            <w:tcW w:type="dxa" w:w="1728"/>
            <w:vAlign w:val="center"/>
            <w:tcMar>
              <w:top w:w="80" w:type="dxa"/>
              <w:start w:w="80" w:type="dxa"/>
              <w:bottom w:w="80" w:type="dxa"/>
              <w:end w:w="80" w:type="dxa"/>
            </w:tcMar>
          </w:tcPr>
          <w:p>
            <w:r>
              <w:rPr>
                <w:sz w:val="16"/>
              </w:rPr>
              <w:t>11867.66</w:t>
            </w:r>
          </w:p>
        </w:tc>
        <w:tc>
          <w:tcPr>
            <w:tcW w:type="dxa" w:w="1728"/>
            <w:vAlign w:val="center"/>
            <w:tcMar>
              <w:top w:w="80" w:type="dxa"/>
              <w:start w:w="80" w:type="dxa"/>
              <w:bottom w:w="80" w:type="dxa"/>
              <w:end w:w="80" w:type="dxa"/>
            </w:tcMar>
          </w:tcPr>
          <w:p>
            <w:r>
              <w:rPr>
                <w:sz w:val="16"/>
              </w:rPr>
              <w:t>13382.91</w:t>
            </w:r>
          </w:p>
        </w:tc>
      </w:tr>
      <w:tr>
        <w:trPr>
          <w:cantSplit/>
        </w:trPr>
        <w:tc>
          <w:tcPr>
            <w:tcW w:type="dxa" w:w="3168"/>
            <w:vAlign w:val="center"/>
            <w:tcMar>
              <w:top w:w="80" w:type="dxa"/>
              <w:start w:w="80" w:type="dxa"/>
              <w:bottom w:w="80" w:type="dxa"/>
              <w:end w:w="80" w:type="dxa"/>
            </w:tcMar>
          </w:tcPr>
          <w:p>
            <w:r>
              <w:rPr>
                <w:sz w:val="16"/>
              </w:rPr>
              <w:t>Hygiene + Credit Grade</w:t>
            </w:r>
          </w:p>
        </w:tc>
        <w:tc>
          <w:tcPr>
            <w:tcW w:type="dxa" w:w="1584"/>
            <w:vAlign w:val="center"/>
            <w:tcMar>
              <w:top w:w="80" w:type="dxa"/>
              <w:start w:w="80" w:type="dxa"/>
              <w:bottom w:w="80" w:type="dxa"/>
              <w:end w:w="80" w:type="dxa"/>
            </w:tcMar>
          </w:tcPr>
          <w:p>
            <w:r>
              <w:rPr>
                <w:sz w:val="16"/>
              </w:rPr>
              <w:t>0.913639</w:t>
            </w:r>
          </w:p>
        </w:tc>
        <w:tc>
          <w:tcPr>
            <w:tcW w:type="dxa" w:w="1584"/>
            <w:vAlign w:val="center"/>
            <w:tcMar>
              <w:top w:w="80" w:type="dxa"/>
              <w:start w:w="80" w:type="dxa"/>
              <w:bottom w:w="80" w:type="dxa"/>
              <w:end w:w="80" w:type="dxa"/>
            </w:tcMar>
          </w:tcPr>
          <w:p>
            <w:r>
              <w:rPr>
                <w:sz w:val="16"/>
              </w:rPr>
              <w:t>0.910632</w:t>
            </w:r>
          </w:p>
        </w:tc>
        <w:tc>
          <w:tcPr>
            <w:tcW w:type="dxa" w:w="1728"/>
            <w:vAlign w:val="center"/>
            <w:tcMar>
              <w:top w:w="80" w:type="dxa"/>
              <w:start w:w="80" w:type="dxa"/>
              <w:bottom w:w="80" w:type="dxa"/>
              <w:end w:w="80" w:type="dxa"/>
            </w:tcMar>
          </w:tcPr>
          <w:p>
            <w:r>
              <w:rPr>
                <w:sz w:val="16"/>
              </w:rPr>
              <w:t>11798.24</w:t>
            </w:r>
          </w:p>
        </w:tc>
        <w:tc>
          <w:tcPr>
            <w:tcW w:type="dxa" w:w="1728"/>
            <w:vAlign w:val="center"/>
            <w:tcMar>
              <w:top w:w="80" w:type="dxa"/>
              <w:start w:w="80" w:type="dxa"/>
              <w:bottom w:w="80" w:type="dxa"/>
              <w:end w:w="80" w:type="dxa"/>
            </w:tcMar>
          </w:tcPr>
          <w:p>
            <w:r>
              <w:rPr>
                <w:sz w:val="16"/>
              </w:rPr>
              <w:t>13313.49</w:t>
            </w:r>
          </w:p>
        </w:tc>
      </w:tr>
      <w:tr>
        <w:trPr>
          <w:cantSplit/>
        </w:trPr>
        <w:tc>
          <w:tcPr>
            <w:tcW w:type="dxa" w:w="3168"/>
            <w:vAlign w:val="center"/>
            <w:tcMar>
              <w:top w:w="80" w:type="dxa"/>
              <w:start w:w="80" w:type="dxa"/>
              <w:bottom w:w="80" w:type="dxa"/>
              <w:end w:w="80" w:type="dxa"/>
            </w:tcMar>
          </w:tcPr>
          <w:p>
            <w:r>
              <w:rPr>
                <w:sz w:val="16"/>
              </w:rPr>
              <w:t>Full preferred</w:t>
            </w:r>
          </w:p>
        </w:tc>
        <w:tc>
          <w:tcPr>
            <w:tcW w:type="dxa" w:w="1584"/>
            <w:vAlign w:val="center"/>
            <w:tcMar>
              <w:top w:w="80" w:type="dxa"/>
              <w:start w:w="80" w:type="dxa"/>
              <w:bottom w:w="80" w:type="dxa"/>
              <w:end w:w="80" w:type="dxa"/>
            </w:tcMar>
          </w:tcPr>
          <w:p>
            <w:r>
              <w:rPr>
                <w:sz w:val="16"/>
              </w:rPr>
              <w:t>0.913770</w:t>
            </w:r>
          </w:p>
        </w:tc>
        <w:tc>
          <w:tcPr>
            <w:tcW w:type="dxa" w:w="1584"/>
            <w:vAlign w:val="center"/>
            <w:tcMar>
              <w:top w:w="80" w:type="dxa"/>
              <w:start w:w="80" w:type="dxa"/>
              <w:bottom w:w="80" w:type="dxa"/>
              <w:end w:w="80" w:type="dxa"/>
            </w:tcMar>
          </w:tcPr>
          <w:p>
            <w:r>
              <w:rPr>
                <w:sz w:val="16"/>
              </w:rPr>
              <w:t>0.910754</w:t>
            </w:r>
          </w:p>
        </w:tc>
        <w:tc>
          <w:tcPr>
            <w:tcW w:type="dxa" w:w="1728"/>
            <w:vAlign w:val="center"/>
            <w:tcMar>
              <w:top w:w="80" w:type="dxa"/>
              <w:start w:w="80" w:type="dxa"/>
              <w:bottom w:w="80" w:type="dxa"/>
              <w:end w:w="80" w:type="dxa"/>
            </w:tcMar>
          </w:tcPr>
          <w:p>
            <w:r>
              <w:rPr>
                <w:sz w:val="16"/>
              </w:rPr>
              <w:t>11790.20</w:t>
            </w:r>
          </w:p>
        </w:tc>
        <w:tc>
          <w:tcPr>
            <w:tcW w:type="dxa" w:w="1728"/>
            <w:vAlign w:val="center"/>
            <w:tcMar>
              <w:top w:w="80" w:type="dxa"/>
              <w:start w:w="80" w:type="dxa"/>
              <w:bottom w:w="80" w:type="dxa"/>
              <w:end w:w="80" w:type="dxa"/>
            </w:tcMar>
          </w:tcPr>
          <w:p>
            <w:r>
              <w:rPr>
                <w:sz w:val="16"/>
              </w:rPr>
              <w:t>13312.24</w:t>
            </w:r>
          </w:p>
        </w:tc>
      </w:tr>
    </w:tbl>
    <w:p>
      <w:pPr>
        <w:spacing w:after="40"/>
      </w:pPr>
    </w:p>
    <w:p>
      <w:r>
        <w:t>Adding ESG and especially Investment Grade improves weighted model fit on the same sample. The full model has the highest weighted R² and the lowest AIC among the compared specifications.</w:t>
      </w:r>
    </w:p>
    <w:p>
      <w:pPr>
        <w:pStyle w:val="Heading1"/>
        <w:keepNext/>
      </w:pPr>
      <w:r>
        <w:t>9. Collinearity diagnostics</w:t>
      </w:r>
    </w:p>
    <w:p>
      <w:pPr>
        <w:pStyle w:val="Heading2"/>
        <w:keepNext/>
      </w:pPr>
      <w:r>
        <w:t>9.1 Pairwise correlations</w:t>
      </w:r>
    </w:p>
    <w:p>
      <w:r>
        <w:t>The largest absolute pairwise Pearson correlation is Green vs Certified: r = 0.8349. This is substantively expected because certification is closely related to green-bond status. Other pairwise correlations are much smaller.</w:t>
      </w:r>
    </w:p>
    <w:p>
      <w:pPr>
        <w:pStyle w:val="Heading2"/>
        <w:keepNext/>
      </w:pPr>
      <w:r>
        <w:t>9.2 VIF, tolerance and condition indices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880"/>
            <w:shd w:fill="D9EAF7"/>
            <w:vAlign w:val="center"/>
          </w:tcPr>
          <w:p>
            <w:pPr>
              <w:jc w:val="center"/>
            </w:pPr>
            <w:r>
              <w:rPr>
                <w:b/>
                <w:sz w:val="16"/>
              </w:rPr>
              <w:t>Variable</w:t>
            </w:r>
          </w:p>
        </w:tc>
        <w:tc>
          <w:tcPr>
            <w:tcW w:type="dxa" w:w="1584"/>
            <w:shd w:fill="D9EAF7"/>
            <w:vAlign w:val="center"/>
          </w:tcPr>
          <w:p>
            <w:pPr>
              <w:jc w:val="center"/>
            </w:pPr>
            <w:r>
              <w:rPr>
                <w:b/>
                <w:sz w:val="16"/>
              </w:rPr>
              <w:t>VIF</w:t>
            </w:r>
          </w:p>
        </w:tc>
        <w:tc>
          <w:tcPr>
            <w:tcW w:type="dxa" w:w="1728"/>
            <w:shd w:fill="D9EAF7"/>
            <w:vAlign w:val="center"/>
          </w:tcPr>
          <w:p>
            <w:pPr>
              <w:jc w:val="center"/>
            </w:pPr>
            <w:r>
              <w:rPr>
                <w:b/>
                <w:sz w:val="16"/>
              </w:rPr>
              <w:t>Tolerance</w:t>
            </w:r>
          </w:p>
        </w:tc>
        <w:tc>
          <w:tcPr>
            <w:tcW w:type="dxa" w:w="1872"/>
            <w:shd w:fill="D9EAF7"/>
            <w:vAlign w:val="center"/>
          </w:tcPr>
          <w:p>
            <w:pPr>
              <w:jc w:val="center"/>
            </w:pPr>
            <w:r>
              <w:rPr>
                <w:b/>
                <w:sz w:val="16"/>
              </w:rPr>
              <w:t>Auxiliary R²</w:t>
            </w:r>
          </w:p>
        </w:tc>
      </w:tr>
      <w:tr>
        <w:trPr>
          <w:cantSplit/>
        </w:trPr>
        <w:tc>
          <w:tcPr>
            <w:tcW w:type="dxa" w:w="2880"/>
            <w:vAlign w:val="center"/>
            <w:tcMar>
              <w:top w:w="80" w:type="dxa"/>
              <w:start w:w="80" w:type="dxa"/>
              <w:bottom w:w="80" w:type="dxa"/>
              <w:end w:w="80" w:type="dxa"/>
            </w:tcMar>
          </w:tcPr>
          <w:p>
            <w:r>
              <w:rPr>
                <w:sz w:val="16"/>
              </w:rPr>
              <w:t>Green</w:t>
            </w:r>
          </w:p>
        </w:tc>
        <w:tc>
          <w:tcPr>
            <w:tcW w:type="dxa" w:w="1584"/>
            <w:vAlign w:val="center"/>
            <w:tcMar>
              <w:top w:w="80" w:type="dxa"/>
              <w:start w:w="80" w:type="dxa"/>
              <w:bottom w:w="80" w:type="dxa"/>
              <w:end w:w="80" w:type="dxa"/>
            </w:tcMar>
          </w:tcPr>
          <w:p>
            <w:r>
              <w:rPr>
                <w:sz w:val="16"/>
              </w:rPr>
              <w:t>3.317</w:t>
            </w:r>
          </w:p>
        </w:tc>
        <w:tc>
          <w:tcPr>
            <w:tcW w:type="dxa" w:w="1728"/>
            <w:vAlign w:val="center"/>
            <w:tcMar>
              <w:top w:w="80" w:type="dxa"/>
              <w:start w:w="80" w:type="dxa"/>
              <w:bottom w:w="80" w:type="dxa"/>
              <w:end w:w="80" w:type="dxa"/>
            </w:tcMar>
          </w:tcPr>
          <w:p>
            <w:r>
              <w:rPr>
                <w:sz w:val="16"/>
              </w:rPr>
              <w:t>0.301</w:t>
            </w:r>
          </w:p>
        </w:tc>
        <w:tc>
          <w:tcPr>
            <w:tcW w:type="dxa" w:w="1872"/>
            <w:vAlign w:val="center"/>
            <w:tcMar>
              <w:top w:w="80" w:type="dxa"/>
              <w:start w:w="80" w:type="dxa"/>
              <w:bottom w:w="80" w:type="dxa"/>
              <w:end w:w="80" w:type="dxa"/>
            </w:tcMar>
          </w:tcPr>
          <w:p>
            <w:r>
              <w:rPr>
                <w:sz w:val="16"/>
              </w:rPr>
              <w:t>0.699</w:t>
            </w:r>
          </w:p>
        </w:tc>
      </w:tr>
      <w:tr>
        <w:trPr>
          <w:cantSplit/>
        </w:trPr>
        <w:tc>
          <w:tcPr>
            <w:tcW w:type="dxa" w:w="2880"/>
            <w:vAlign w:val="center"/>
            <w:tcMar>
              <w:top w:w="80" w:type="dxa"/>
              <w:start w:w="80" w:type="dxa"/>
              <w:bottom w:w="80" w:type="dxa"/>
              <w:end w:w="80" w:type="dxa"/>
            </w:tcMar>
          </w:tcPr>
          <w:p>
            <w:r>
              <w:rPr>
                <w:sz w:val="16"/>
              </w:rPr>
              <w:t>Certified</w:t>
            </w:r>
          </w:p>
        </w:tc>
        <w:tc>
          <w:tcPr>
            <w:tcW w:type="dxa" w:w="1584"/>
            <w:vAlign w:val="center"/>
            <w:tcMar>
              <w:top w:w="80" w:type="dxa"/>
              <w:start w:w="80" w:type="dxa"/>
              <w:bottom w:w="80" w:type="dxa"/>
              <w:end w:w="80" w:type="dxa"/>
            </w:tcMar>
          </w:tcPr>
          <w:p>
            <w:r>
              <w:rPr>
                <w:sz w:val="16"/>
              </w:rPr>
              <w:t>3.333</w:t>
            </w:r>
          </w:p>
        </w:tc>
        <w:tc>
          <w:tcPr>
            <w:tcW w:type="dxa" w:w="1728"/>
            <w:vAlign w:val="center"/>
            <w:tcMar>
              <w:top w:w="80" w:type="dxa"/>
              <w:start w:w="80" w:type="dxa"/>
              <w:bottom w:w="80" w:type="dxa"/>
              <w:end w:w="80" w:type="dxa"/>
            </w:tcMar>
          </w:tcPr>
          <w:p>
            <w:r>
              <w:rPr>
                <w:sz w:val="16"/>
              </w:rPr>
              <w:t>0.300</w:t>
            </w:r>
          </w:p>
        </w:tc>
        <w:tc>
          <w:tcPr>
            <w:tcW w:type="dxa" w:w="1872"/>
            <w:vAlign w:val="center"/>
            <w:tcMar>
              <w:top w:w="80" w:type="dxa"/>
              <w:start w:w="80" w:type="dxa"/>
              <w:bottom w:w="80" w:type="dxa"/>
              <w:end w:w="80" w:type="dxa"/>
            </w:tcMar>
          </w:tcPr>
          <w:p>
            <w:r>
              <w:rPr>
                <w:sz w:val="16"/>
              </w:rPr>
              <w:t>0.700</w:t>
            </w:r>
          </w:p>
        </w:tc>
      </w:tr>
      <w:tr>
        <w:trPr>
          <w:cantSplit/>
        </w:trPr>
        <w:tc>
          <w:tcPr>
            <w:tcW w:type="dxa" w:w="2880"/>
            <w:vAlign w:val="center"/>
            <w:tcMar>
              <w:top w:w="80" w:type="dxa"/>
              <w:start w:w="80" w:type="dxa"/>
              <w:bottom w:w="80" w:type="dxa"/>
              <w:end w:w="80" w:type="dxa"/>
            </w:tcMar>
          </w:tcPr>
          <w:p>
            <w:r>
              <w:rPr>
                <w:sz w:val="16"/>
              </w:rPr>
              <w:t>IssueSize_log</w:t>
            </w:r>
          </w:p>
        </w:tc>
        <w:tc>
          <w:tcPr>
            <w:tcW w:type="dxa" w:w="1584"/>
            <w:vAlign w:val="center"/>
            <w:tcMar>
              <w:top w:w="80" w:type="dxa"/>
              <w:start w:w="80" w:type="dxa"/>
              <w:bottom w:w="80" w:type="dxa"/>
              <w:end w:w="80" w:type="dxa"/>
            </w:tcMar>
          </w:tcPr>
          <w:p>
            <w:r>
              <w:rPr>
                <w:sz w:val="16"/>
              </w:rPr>
              <w:t>1.014</w:t>
            </w:r>
          </w:p>
        </w:tc>
        <w:tc>
          <w:tcPr>
            <w:tcW w:type="dxa" w:w="1728"/>
            <w:vAlign w:val="center"/>
            <w:tcMar>
              <w:top w:w="80" w:type="dxa"/>
              <w:start w:w="80" w:type="dxa"/>
              <w:bottom w:w="80" w:type="dxa"/>
              <w:end w:w="80" w:type="dxa"/>
            </w:tcMar>
          </w:tcPr>
          <w:p>
            <w:r>
              <w:rPr>
                <w:sz w:val="16"/>
              </w:rPr>
              <w:t>0.986</w:t>
            </w:r>
          </w:p>
        </w:tc>
        <w:tc>
          <w:tcPr>
            <w:tcW w:type="dxa" w:w="1872"/>
            <w:vAlign w:val="center"/>
            <w:tcMar>
              <w:top w:w="80" w:type="dxa"/>
              <w:start w:w="80" w:type="dxa"/>
              <w:bottom w:w="80" w:type="dxa"/>
              <w:end w:w="80" w:type="dxa"/>
            </w:tcMar>
          </w:tcPr>
          <w:p>
            <w:r>
              <w:rPr>
                <w:sz w:val="16"/>
              </w:rPr>
              <w:t>0.014</w:t>
            </w:r>
          </w:p>
        </w:tc>
      </w:tr>
      <w:tr>
        <w:trPr>
          <w:cantSplit/>
        </w:trPr>
        <w:tc>
          <w:tcPr>
            <w:tcW w:type="dxa" w:w="2880"/>
            <w:vAlign w:val="center"/>
            <w:tcMar>
              <w:top w:w="80" w:type="dxa"/>
              <w:start w:w="80" w:type="dxa"/>
              <w:bottom w:w="80" w:type="dxa"/>
              <w:end w:w="80" w:type="dxa"/>
            </w:tcMar>
          </w:tcPr>
          <w:p>
            <w:r>
              <w:rPr>
                <w:sz w:val="16"/>
              </w:rPr>
              <w:t>Tenor_years</w:t>
            </w:r>
          </w:p>
        </w:tc>
        <w:tc>
          <w:tcPr>
            <w:tcW w:type="dxa" w:w="1584"/>
            <w:vAlign w:val="center"/>
            <w:tcMar>
              <w:top w:w="80" w:type="dxa"/>
              <w:start w:w="80" w:type="dxa"/>
              <w:bottom w:w="80" w:type="dxa"/>
              <w:end w:w="80" w:type="dxa"/>
            </w:tcMar>
          </w:tcPr>
          <w:p>
            <w:r>
              <w:rPr>
                <w:sz w:val="16"/>
              </w:rPr>
              <w:t>1.032</w:t>
            </w:r>
          </w:p>
        </w:tc>
        <w:tc>
          <w:tcPr>
            <w:tcW w:type="dxa" w:w="1728"/>
            <w:vAlign w:val="center"/>
            <w:tcMar>
              <w:top w:w="80" w:type="dxa"/>
              <w:start w:w="80" w:type="dxa"/>
              <w:bottom w:w="80" w:type="dxa"/>
              <w:end w:w="80" w:type="dxa"/>
            </w:tcMar>
          </w:tcPr>
          <w:p>
            <w:r>
              <w:rPr>
                <w:sz w:val="16"/>
              </w:rPr>
              <w:t>0.969</w:t>
            </w:r>
          </w:p>
        </w:tc>
        <w:tc>
          <w:tcPr>
            <w:tcW w:type="dxa" w:w="1872"/>
            <w:vAlign w:val="center"/>
            <w:tcMar>
              <w:top w:w="80" w:type="dxa"/>
              <w:start w:w="80" w:type="dxa"/>
              <w:bottom w:w="80" w:type="dxa"/>
              <w:end w:w="80" w:type="dxa"/>
            </w:tcMar>
          </w:tcPr>
          <w:p>
            <w:r>
              <w:rPr>
                <w:sz w:val="16"/>
              </w:rPr>
              <w:t>0.031</w:t>
            </w:r>
          </w:p>
        </w:tc>
      </w:tr>
      <w:tr>
        <w:trPr>
          <w:cantSplit/>
        </w:trPr>
        <w:tc>
          <w:tcPr>
            <w:tcW w:type="dxa" w:w="2880"/>
            <w:vAlign w:val="center"/>
            <w:tcMar>
              <w:top w:w="80" w:type="dxa"/>
              <w:start w:w="80" w:type="dxa"/>
              <w:bottom w:w="80" w:type="dxa"/>
              <w:end w:w="80" w:type="dxa"/>
            </w:tcMar>
          </w:tcPr>
          <w:p>
            <w:r>
              <w:rPr>
                <w:sz w:val="16"/>
              </w:rPr>
              <w:t>Coupon</w:t>
            </w:r>
          </w:p>
        </w:tc>
        <w:tc>
          <w:tcPr>
            <w:tcW w:type="dxa" w:w="1584"/>
            <w:vAlign w:val="center"/>
            <w:tcMar>
              <w:top w:w="80" w:type="dxa"/>
              <w:start w:w="80" w:type="dxa"/>
              <w:bottom w:w="80" w:type="dxa"/>
              <w:end w:w="80" w:type="dxa"/>
            </w:tcMar>
          </w:tcPr>
          <w:p>
            <w:r>
              <w:rPr>
                <w:sz w:val="16"/>
              </w:rPr>
              <w:t>1.067</w:t>
            </w:r>
          </w:p>
        </w:tc>
        <w:tc>
          <w:tcPr>
            <w:tcW w:type="dxa" w:w="1728"/>
            <w:vAlign w:val="center"/>
            <w:tcMar>
              <w:top w:w="80" w:type="dxa"/>
              <w:start w:w="80" w:type="dxa"/>
              <w:bottom w:w="80" w:type="dxa"/>
              <w:end w:w="80" w:type="dxa"/>
            </w:tcMar>
          </w:tcPr>
          <w:p>
            <w:r>
              <w:rPr>
                <w:sz w:val="16"/>
              </w:rPr>
              <w:t>0.938</w:t>
            </w:r>
          </w:p>
        </w:tc>
        <w:tc>
          <w:tcPr>
            <w:tcW w:type="dxa" w:w="1872"/>
            <w:vAlign w:val="center"/>
            <w:tcMar>
              <w:top w:w="80" w:type="dxa"/>
              <w:start w:w="80" w:type="dxa"/>
              <w:bottom w:w="80" w:type="dxa"/>
              <w:end w:w="80" w:type="dxa"/>
            </w:tcMar>
          </w:tcPr>
          <w:p>
            <w:r>
              <w:rPr>
                <w:sz w:val="16"/>
              </w:rPr>
              <w:t>0.062</w:t>
            </w:r>
          </w:p>
        </w:tc>
      </w:tr>
      <w:tr>
        <w:trPr>
          <w:cantSplit/>
        </w:trPr>
        <w:tc>
          <w:tcPr>
            <w:tcW w:type="dxa" w:w="2880"/>
            <w:vAlign w:val="center"/>
            <w:tcMar>
              <w:top w:w="80" w:type="dxa"/>
              <w:start w:w="80" w:type="dxa"/>
              <w:bottom w:w="80" w:type="dxa"/>
              <w:end w:w="80" w:type="dxa"/>
            </w:tcMar>
          </w:tcPr>
          <w:p>
            <w:r>
              <w:rPr>
                <w:sz w:val="16"/>
              </w:rPr>
              <w:t>ESG_z</w:t>
            </w:r>
          </w:p>
        </w:tc>
        <w:tc>
          <w:tcPr>
            <w:tcW w:type="dxa" w:w="1584"/>
            <w:vAlign w:val="center"/>
            <w:tcMar>
              <w:top w:w="80" w:type="dxa"/>
              <w:start w:w="80" w:type="dxa"/>
              <w:bottom w:w="80" w:type="dxa"/>
              <w:end w:w="80" w:type="dxa"/>
            </w:tcMar>
          </w:tcPr>
          <w:p>
            <w:r>
              <w:rPr>
                <w:sz w:val="16"/>
              </w:rPr>
              <w:t>1.060</w:t>
            </w:r>
          </w:p>
        </w:tc>
        <w:tc>
          <w:tcPr>
            <w:tcW w:type="dxa" w:w="1728"/>
            <w:vAlign w:val="center"/>
            <w:tcMar>
              <w:top w:w="80" w:type="dxa"/>
              <w:start w:w="80" w:type="dxa"/>
              <w:bottom w:w="80" w:type="dxa"/>
              <w:end w:w="80" w:type="dxa"/>
            </w:tcMar>
          </w:tcPr>
          <w:p>
            <w:r>
              <w:rPr>
                <w:sz w:val="16"/>
              </w:rPr>
              <w:t>0.944</w:t>
            </w:r>
          </w:p>
        </w:tc>
        <w:tc>
          <w:tcPr>
            <w:tcW w:type="dxa" w:w="1872"/>
            <w:vAlign w:val="center"/>
            <w:tcMar>
              <w:top w:w="80" w:type="dxa"/>
              <w:start w:w="80" w:type="dxa"/>
              <w:bottom w:w="80" w:type="dxa"/>
              <w:end w:w="80" w:type="dxa"/>
            </w:tcMar>
          </w:tcPr>
          <w:p>
            <w:r>
              <w:rPr>
                <w:sz w:val="16"/>
              </w:rPr>
              <w:t>0.056</w:t>
            </w:r>
          </w:p>
        </w:tc>
      </w:tr>
      <w:tr>
        <w:trPr>
          <w:cantSplit/>
        </w:trPr>
        <w:tc>
          <w:tcPr>
            <w:tcW w:type="dxa" w:w="2880"/>
            <w:vAlign w:val="center"/>
            <w:tcMar>
              <w:top w:w="80" w:type="dxa"/>
              <w:start w:w="80" w:type="dxa"/>
              <w:bottom w:w="80" w:type="dxa"/>
              <w:end w:w="80" w:type="dxa"/>
            </w:tcMar>
          </w:tcPr>
          <w:p>
            <w:r>
              <w:rPr>
                <w:sz w:val="16"/>
              </w:rPr>
              <w:t>IG_status</w:t>
            </w:r>
          </w:p>
        </w:tc>
        <w:tc>
          <w:tcPr>
            <w:tcW w:type="dxa" w:w="1584"/>
            <w:vAlign w:val="center"/>
            <w:tcMar>
              <w:top w:w="80" w:type="dxa"/>
              <w:start w:w="80" w:type="dxa"/>
              <w:bottom w:w="80" w:type="dxa"/>
              <w:end w:w="80" w:type="dxa"/>
            </w:tcMar>
          </w:tcPr>
          <w:p>
            <w:r>
              <w:rPr>
                <w:sz w:val="16"/>
              </w:rPr>
              <w:t>1.043</w:t>
            </w:r>
          </w:p>
        </w:tc>
        <w:tc>
          <w:tcPr>
            <w:tcW w:type="dxa" w:w="1728"/>
            <w:vAlign w:val="center"/>
            <w:tcMar>
              <w:top w:w="80" w:type="dxa"/>
              <w:start w:w="80" w:type="dxa"/>
              <w:bottom w:w="80" w:type="dxa"/>
              <w:end w:w="80" w:type="dxa"/>
            </w:tcMar>
          </w:tcPr>
          <w:p>
            <w:r>
              <w:rPr>
                <w:sz w:val="16"/>
              </w:rPr>
              <w:t>0.959</w:t>
            </w:r>
          </w:p>
        </w:tc>
        <w:tc>
          <w:tcPr>
            <w:tcW w:type="dxa" w:w="1872"/>
            <w:vAlign w:val="center"/>
            <w:tcMar>
              <w:top w:w="80" w:type="dxa"/>
              <w:start w:w="80" w:type="dxa"/>
              <w:bottom w:w="80" w:type="dxa"/>
              <w:end w:w="80" w:type="dxa"/>
            </w:tcMar>
          </w:tcPr>
          <w:p>
            <w:r>
              <w:rPr>
                <w:sz w:val="16"/>
              </w:rPr>
              <w:t>0.041</w:t>
            </w:r>
          </w:p>
        </w:tc>
      </w:tr>
    </w:tbl>
    <w:p>
      <w:pPr>
        <w:spacing w:after="40"/>
      </w:pPr>
    </w:p>
    <w:tbl>
      <w:tblPr>
        <w:tblStyle w:val="TableGrid"/>
        <w:tblW w:type="auto" w:w="0"/>
        <w:jc w:val="center"/>
        <w:tblLook w:firstColumn="1" w:firstRow="1" w:lastColumn="0" w:lastRow="0" w:noHBand="0" w:noVBand="1" w:val="04A0"/>
      </w:tblPr>
      <w:tblGrid>
        <w:gridCol w:w="5040"/>
        <w:gridCol w:w="5040"/>
      </w:tblGrid>
      <w:tr>
        <w:trPr>
          <w:cantSplit/>
        </w:trPr>
        <w:tc>
          <w:tcPr>
            <w:tcW w:type="dxa" w:w="6192"/>
            <w:shd w:fill="D9EAF7"/>
            <w:vAlign w:val="center"/>
          </w:tcPr>
          <w:p>
            <w:pPr>
              <w:jc w:val="center"/>
            </w:pPr>
            <w:r>
              <w:rPr>
                <w:b/>
                <w:sz w:val="16"/>
              </w:rPr>
              <w:t>Overall diagnostic</w:t>
            </w:r>
          </w:p>
        </w:tc>
        <w:tc>
          <w:tcPr>
            <w:tcW w:type="dxa" w:w="2016"/>
            <w:shd w:fill="D9EAF7"/>
            <w:vAlign w:val="center"/>
          </w:tcPr>
          <w:p>
            <w:pPr>
              <w:jc w:val="center"/>
            </w:pPr>
            <w:r>
              <w:rPr>
                <w:b/>
                <w:sz w:val="16"/>
              </w:rPr>
              <w:t>Value</w:t>
            </w:r>
          </w:p>
        </w:tc>
      </w:tr>
      <w:tr>
        <w:trPr>
          <w:cantSplit/>
        </w:trPr>
        <w:tc>
          <w:tcPr>
            <w:tcW w:type="dxa" w:w="6192"/>
            <w:vAlign w:val="center"/>
            <w:tcMar>
              <w:top w:w="80" w:type="dxa"/>
              <w:start w:w="80" w:type="dxa"/>
              <w:bottom w:w="80" w:type="dxa"/>
              <w:end w:w="80" w:type="dxa"/>
            </w:tcMar>
          </w:tcPr>
          <w:p>
            <w:r>
              <w:rPr>
                <w:b/>
                <w:sz w:val="16"/>
              </w:rPr>
              <w:t>Max absolute pairwise Pearson</w:t>
            </w:r>
          </w:p>
        </w:tc>
        <w:tc>
          <w:tcPr>
            <w:tcW w:type="dxa" w:w="2016"/>
            <w:vAlign w:val="center"/>
            <w:tcMar>
              <w:top w:w="80" w:type="dxa"/>
              <w:start w:w="80" w:type="dxa"/>
              <w:bottom w:w="80" w:type="dxa"/>
              <w:end w:w="80" w:type="dxa"/>
            </w:tcMar>
          </w:tcPr>
          <w:p>
            <w:r>
              <w:rPr>
                <w:sz w:val="16"/>
              </w:rPr>
              <w:t>0.8349</w:t>
            </w:r>
          </w:p>
        </w:tc>
      </w:tr>
      <w:tr>
        <w:trPr>
          <w:cantSplit/>
        </w:trPr>
        <w:tc>
          <w:tcPr>
            <w:tcW w:type="dxa" w:w="6192"/>
            <w:vAlign w:val="center"/>
            <w:tcMar>
              <w:top w:w="80" w:type="dxa"/>
              <w:start w:w="80" w:type="dxa"/>
              <w:bottom w:w="80" w:type="dxa"/>
              <w:end w:w="80" w:type="dxa"/>
            </w:tcMar>
          </w:tcPr>
          <w:p>
            <w:r>
              <w:rPr>
                <w:b/>
                <w:sz w:val="16"/>
              </w:rPr>
              <w:t>Max VIF</w:t>
            </w:r>
          </w:p>
        </w:tc>
        <w:tc>
          <w:tcPr>
            <w:tcW w:type="dxa" w:w="2016"/>
            <w:vAlign w:val="center"/>
            <w:tcMar>
              <w:top w:w="80" w:type="dxa"/>
              <w:start w:w="80" w:type="dxa"/>
              <w:bottom w:w="80" w:type="dxa"/>
              <w:end w:w="80" w:type="dxa"/>
            </w:tcMar>
          </w:tcPr>
          <w:p>
            <w:r>
              <w:rPr>
                <w:sz w:val="16"/>
              </w:rPr>
              <w:t>3.3328</w:t>
            </w:r>
          </w:p>
        </w:tc>
      </w:tr>
      <w:tr>
        <w:trPr>
          <w:cantSplit/>
        </w:trPr>
        <w:tc>
          <w:tcPr>
            <w:tcW w:type="dxa" w:w="6192"/>
            <w:vAlign w:val="center"/>
            <w:tcMar>
              <w:top w:w="80" w:type="dxa"/>
              <w:start w:w="80" w:type="dxa"/>
              <w:bottom w:w="80" w:type="dxa"/>
              <w:end w:w="80" w:type="dxa"/>
            </w:tcMar>
          </w:tcPr>
          <w:p>
            <w:r>
              <w:rPr>
                <w:b/>
                <w:sz w:val="16"/>
              </w:rPr>
              <w:t>Min tolerance</w:t>
            </w:r>
          </w:p>
        </w:tc>
        <w:tc>
          <w:tcPr>
            <w:tcW w:type="dxa" w:w="2016"/>
            <w:vAlign w:val="center"/>
            <w:tcMar>
              <w:top w:w="80" w:type="dxa"/>
              <w:start w:w="80" w:type="dxa"/>
              <w:bottom w:w="80" w:type="dxa"/>
              <w:end w:w="80" w:type="dxa"/>
            </w:tcMar>
          </w:tcPr>
          <w:p>
            <w:r>
              <w:rPr>
                <w:sz w:val="16"/>
              </w:rPr>
              <w:t>0.3001</w:t>
            </w:r>
          </w:p>
        </w:tc>
      </w:tr>
      <w:tr>
        <w:trPr>
          <w:cantSplit/>
        </w:trPr>
        <w:tc>
          <w:tcPr>
            <w:tcW w:type="dxa" w:w="6192"/>
            <w:vAlign w:val="center"/>
            <w:tcMar>
              <w:top w:w="80" w:type="dxa"/>
              <w:start w:w="80" w:type="dxa"/>
              <w:bottom w:w="80" w:type="dxa"/>
              <w:end w:w="80" w:type="dxa"/>
            </w:tcMar>
          </w:tcPr>
          <w:p>
            <w:r>
              <w:rPr>
                <w:b/>
                <w:sz w:val="16"/>
              </w:rPr>
              <w:t>Max condition index</w:t>
            </w:r>
          </w:p>
        </w:tc>
        <w:tc>
          <w:tcPr>
            <w:tcW w:type="dxa" w:w="2016"/>
            <w:vAlign w:val="center"/>
            <w:tcMar>
              <w:top w:w="80" w:type="dxa"/>
              <w:start w:w="80" w:type="dxa"/>
              <w:bottom w:w="80" w:type="dxa"/>
              <w:end w:w="80" w:type="dxa"/>
            </w:tcMar>
          </w:tcPr>
          <w:p>
            <w:r>
              <w:rPr>
                <w:sz w:val="16"/>
              </w:rPr>
              <w:t>3.3728</w:t>
            </w:r>
          </w:p>
        </w:tc>
      </w:tr>
      <w:tr>
        <w:trPr>
          <w:cantSplit/>
        </w:trPr>
        <w:tc>
          <w:tcPr>
            <w:tcW w:type="dxa" w:w="6192"/>
            <w:vAlign w:val="center"/>
            <w:tcMar>
              <w:top w:w="80" w:type="dxa"/>
              <w:start w:w="80" w:type="dxa"/>
              <w:bottom w:w="80" w:type="dxa"/>
              <w:end w:w="80" w:type="dxa"/>
            </w:tcMar>
          </w:tcPr>
          <w:p>
            <w:r>
              <w:rPr>
                <w:b/>
                <w:sz w:val="16"/>
              </w:rPr>
              <w:t>Correlation matrix determinant</w:t>
            </w:r>
          </w:p>
        </w:tc>
        <w:tc>
          <w:tcPr>
            <w:tcW w:type="dxa" w:w="2016"/>
            <w:vAlign w:val="center"/>
            <w:tcMar>
              <w:top w:w="80" w:type="dxa"/>
              <w:start w:w="80" w:type="dxa"/>
              <w:bottom w:w="80" w:type="dxa"/>
              <w:end w:w="80" w:type="dxa"/>
            </w:tcMar>
          </w:tcPr>
          <w:p>
            <w:r>
              <w:rPr>
                <w:sz w:val="16"/>
              </w:rPr>
              <w:t>0.2697</w:t>
            </w:r>
          </w:p>
        </w:tc>
      </w:tr>
    </w:tbl>
    <w:p>
      <w:pPr>
        <w:spacing w:after="40"/>
      </w:pPr>
    </w:p>
    <w:tbl>
      <w:tblPr>
        <w:tblStyle w:val="TableGrid"/>
        <w:tblW w:type="auto" w:w="0"/>
        <w:jc w:val="center"/>
        <w:tblLook w:firstColumn="1" w:firstRow="1" w:lastColumn="0" w:lastRow="0" w:noHBand="0" w:noVBand="1" w:val="04A0"/>
      </w:tblPr>
      <w:tblGrid>
        <w:gridCol w:w="10080"/>
      </w:tblGrid>
      <w:tr>
        <w:trPr>
          <w:cantSplit/>
        </w:trPr>
        <w:tc>
          <w:tcPr>
            <w:tcW w:type="dxa" w:w="10080"/>
            <w:shd w:fill="EAF3F8"/>
            <w:tcMar>
              <w:top w:w="120" w:type="dxa"/>
              <w:start w:w="140" w:type="dxa"/>
              <w:bottom w:w="120" w:type="dxa"/>
              <w:end w:w="140" w:type="dxa"/>
            </w:tcMar>
          </w:tcPr>
          <w:p>
            <w:r>
              <w:rPr>
                <w:b/>
                <w:color w:val="1F4E79"/>
                <w:sz w:val="21"/>
              </w:rPr>
              <w:t>Collinearity conclusion</w:t>
              <w:br/>
            </w:r>
            <w:r>
              <w:rPr>
                <w:sz w:val="19"/>
              </w:rPr>
              <w:t>No serious multicollinearity is detected. Maximum VIF = 3.33, minimum tolerance = 0.300, and maximum condition index = 3.37. Green and Certified are strongly correlated, so their individual coefficients should be interpreted cautiously, but the diagnostics do not support dropping them purely for multicollinearity.</w:t>
            </w:r>
          </w:p>
        </w:tc>
      </w:tr>
    </w:tbl>
    <w:p>
      <w:pPr>
        <w:spacing w:after="40"/>
      </w:pPr>
    </w:p>
    <w:p>
      <w:pPr>
        <w:pStyle w:val="Heading1"/>
        <w:keepNext/>
      </w:pPr>
      <w:r>
        <w:t>10. Statistical-significance assessment</w:t>
      </w:r>
    </w:p>
    <w:p>
      <w:pPr>
        <w:pStyle w:val="Heading2"/>
        <w:keepNext/>
      </w:pPr>
      <w:r>
        <w:t>10.1 Substantive variables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cantSplit/>
        </w:trPr>
        <w:tc>
          <w:tcPr>
            <w:tcW w:type="dxa" w:w="2160"/>
            <w:shd w:fill="D9EAF7"/>
            <w:vAlign w:val="center"/>
          </w:tcPr>
          <w:p>
            <w:pPr>
              <w:jc w:val="center"/>
            </w:pPr>
            <w:r>
              <w:rPr>
                <w:b/>
                <w:sz w:val="15"/>
              </w:rPr>
              <w:t>Variable</w:t>
            </w:r>
          </w:p>
        </w:tc>
        <w:tc>
          <w:tcPr>
            <w:tcW w:type="dxa" w:w="1584"/>
            <w:shd w:fill="D9EAF7"/>
            <w:vAlign w:val="center"/>
          </w:tcPr>
          <w:p>
            <w:pPr>
              <w:jc w:val="center"/>
            </w:pPr>
            <w:r>
              <w:rPr>
                <w:b/>
                <w:sz w:val="15"/>
              </w:rPr>
              <w:t>Estimate (bps)</w:t>
            </w:r>
          </w:p>
        </w:tc>
        <w:tc>
          <w:tcPr>
            <w:tcW w:type="dxa" w:w="1440"/>
            <w:shd w:fill="D9EAF7"/>
            <w:vAlign w:val="center"/>
          </w:tcPr>
          <w:p>
            <w:pPr>
              <w:jc w:val="center"/>
            </w:pPr>
            <w:r>
              <w:rPr>
                <w:b/>
                <w:sz w:val="15"/>
              </w:rPr>
              <w:t>Issuer p</w:t>
            </w:r>
          </w:p>
        </w:tc>
        <w:tc>
          <w:tcPr>
            <w:tcW w:type="dxa" w:w="1440"/>
            <w:shd w:fill="D9EAF7"/>
            <w:vAlign w:val="center"/>
          </w:tcPr>
          <w:p>
            <w:pPr>
              <w:jc w:val="center"/>
            </w:pPr>
            <w:r>
              <w:rPr>
                <w:b/>
                <w:sz w:val="15"/>
              </w:rPr>
              <w:t>Two-way p</w:t>
            </w:r>
          </w:p>
        </w:tc>
        <w:tc>
          <w:tcPr>
            <w:tcW w:type="dxa" w:w="1440"/>
            <w:shd w:fill="D9EAF7"/>
            <w:vAlign w:val="center"/>
          </w:tcPr>
          <w:p>
            <w:pPr>
              <w:jc w:val="center"/>
            </w:pPr>
            <w:r>
              <w:rPr>
                <w:b/>
                <w:sz w:val="15"/>
              </w:rPr>
              <w:t>Holm p</w:t>
            </w:r>
          </w:p>
        </w:tc>
        <w:tc>
          <w:tcPr>
            <w:tcW w:type="dxa" w:w="1440"/>
            <w:shd w:fill="D9EAF7"/>
            <w:vAlign w:val="center"/>
          </w:tcPr>
          <w:p>
            <w:pPr>
              <w:jc w:val="center"/>
            </w:pPr>
            <w:r>
              <w:rPr>
                <w:b/>
                <w:sz w:val="15"/>
              </w:rPr>
              <w:t>BH-FDR p</w:t>
            </w:r>
          </w:p>
        </w:tc>
      </w:tr>
      <w:tr>
        <w:trPr>
          <w:cantSplit/>
        </w:trPr>
        <w:tc>
          <w:tcPr>
            <w:tcW w:type="dxa" w:w="2160"/>
            <w:vAlign w:val="center"/>
            <w:tcMar>
              <w:top w:w="80" w:type="dxa"/>
              <w:start w:w="80" w:type="dxa"/>
              <w:bottom w:w="80" w:type="dxa"/>
              <w:end w:w="80" w:type="dxa"/>
            </w:tcMar>
          </w:tcPr>
          <w:p>
            <w:r>
              <w:rPr>
                <w:sz w:val="15"/>
              </w:rPr>
              <w:t>Green</w:t>
            </w:r>
          </w:p>
        </w:tc>
        <w:tc>
          <w:tcPr>
            <w:tcW w:type="dxa" w:w="1584"/>
            <w:vAlign w:val="center"/>
            <w:tcMar>
              <w:top w:w="80" w:type="dxa"/>
              <w:start w:w="80" w:type="dxa"/>
              <w:bottom w:w="80" w:type="dxa"/>
              <w:end w:w="80" w:type="dxa"/>
            </w:tcMar>
          </w:tcPr>
          <w:p>
            <w:r>
              <w:rPr>
                <w:sz w:val="15"/>
              </w:rPr>
              <w:t>1.81</w:t>
            </w:r>
          </w:p>
        </w:tc>
        <w:tc>
          <w:tcPr>
            <w:tcW w:type="dxa" w:w="1440"/>
            <w:vAlign w:val="center"/>
            <w:tcMar>
              <w:top w:w="80" w:type="dxa"/>
              <w:start w:w="80" w:type="dxa"/>
              <w:bottom w:w="80" w:type="dxa"/>
              <w:end w:w="80" w:type="dxa"/>
            </w:tcMar>
          </w:tcPr>
          <w:p>
            <w:r>
              <w:rPr>
                <w:sz w:val="15"/>
              </w:rPr>
              <w:t>0.6555</w:t>
            </w:r>
          </w:p>
        </w:tc>
        <w:tc>
          <w:tcPr>
            <w:tcW w:type="dxa" w:w="1440"/>
            <w:vAlign w:val="center"/>
            <w:tcMar>
              <w:top w:w="80" w:type="dxa"/>
              <w:start w:w="80" w:type="dxa"/>
              <w:bottom w:w="80" w:type="dxa"/>
              <w:end w:w="80" w:type="dxa"/>
            </w:tcMar>
          </w:tcPr>
          <w:p>
            <w:r>
              <w:rPr>
                <w:sz w:val="15"/>
              </w:rPr>
              <w:t>0.6966</w:t>
            </w:r>
          </w:p>
        </w:tc>
        <w:tc>
          <w:tcPr>
            <w:tcW w:type="dxa" w:w="1440"/>
            <w:vAlign w:val="center"/>
            <w:tcMar>
              <w:top w:w="80" w:type="dxa"/>
              <w:start w:w="80" w:type="dxa"/>
              <w:bottom w:w="80" w:type="dxa"/>
              <w:end w:w="80" w:type="dxa"/>
            </w:tcMar>
          </w:tcPr>
          <w:p>
            <w:r>
              <w:rPr>
                <w:sz w:val="15"/>
              </w:rPr>
              <w:t>1</w:t>
            </w:r>
          </w:p>
        </w:tc>
        <w:tc>
          <w:tcPr>
            <w:tcW w:type="dxa" w:w="1440"/>
            <w:vAlign w:val="center"/>
            <w:tcMar>
              <w:top w:w="80" w:type="dxa"/>
              <w:start w:w="80" w:type="dxa"/>
              <w:bottom w:w="80" w:type="dxa"/>
              <w:end w:w="80" w:type="dxa"/>
            </w:tcMar>
          </w:tcPr>
          <w:p>
            <w:r>
              <w:rPr>
                <w:sz w:val="15"/>
              </w:rPr>
              <w:t>0.7648</w:t>
            </w:r>
          </w:p>
        </w:tc>
      </w:tr>
      <w:tr>
        <w:trPr>
          <w:cantSplit/>
        </w:trPr>
        <w:tc>
          <w:tcPr>
            <w:tcW w:type="dxa" w:w="2160"/>
            <w:vAlign w:val="center"/>
            <w:tcMar>
              <w:top w:w="80" w:type="dxa"/>
              <w:start w:w="80" w:type="dxa"/>
              <w:bottom w:w="80" w:type="dxa"/>
              <w:end w:w="80" w:type="dxa"/>
            </w:tcMar>
          </w:tcPr>
          <w:p>
            <w:r>
              <w:rPr>
                <w:sz w:val="15"/>
              </w:rPr>
              <w:t>Certified</w:t>
            </w:r>
          </w:p>
        </w:tc>
        <w:tc>
          <w:tcPr>
            <w:tcW w:type="dxa" w:w="1584"/>
            <w:vAlign w:val="center"/>
            <w:tcMar>
              <w:top w:w="80" w:type="dxa"/>
              <w:start w:w="80" w:type="dxa"/>
              <w:bottom w:w="80" w:type="dxa"/>
              <w:end w:w="80" w:type="dxa"/>
            </w:tcMar>
          </w:tcPr>
          <w:p>
            <w:r>
              <w:rPr>
                <w:sz w:val="15"/>
              </w:rPr>
              <w:t>-0.70</w:t>
            </w:r>
          </w:p>
        </w:tc>
        <w:tc>
          <w:tcPr>
            <w:tcW w:type="dxa" w:w="1440"/>
            <w:vAlign w:val="center"/>
            <w:tcMar>
              <w:top w:w="80" w:type="dxa"/>
              <w:start w:w="80" w:type="dxa"/>
              <w:bottom w:w="80" w:type="dxa"/>
              <w:end w:w="80" w:type="dxa"/>
            </w:tcMar>
          </w:tcPr>
          <w:p>
            <w:r>
              <w:rPr>
                <w:sz w:val="15"/>
              </w:rPr>
              <w:t>0.8546</w:t>
            </w:r>
          </w:p>
        </w:tc>
        <w:tc>
          <w:tcPr>
            <w:tcW w:type="dxa" w:w="1440"/>
            <w:vAlign w:val="center"/>
            <w:tcMar>
              <w:top w:w="80" w:type="dxa"/>
              <w:start w:w="80" w:type="dxa"/>
              <w:bottom w:w="80" w:type="dxa"/>
              <w:end w:w="80" w:type="dxa"/>
            </w:tcMar>
          </w:tcPr>
          <w:p>
            <w:r>
              <w:rPr>
                <w:sz w:val="15"/>
              </w:rPr>
              <w:t>0.8428</w:t>
            </w:r>
          </w:p>
        </w:tc>
        <w:tc>
          <w:tcPr>
            <w:tcW w:type="dxa" w:w="1440"/>
            <w:vAlign w:val="center"/>
            <w:tcMar>
              <w:top w:w="80" w:type="dxa"/>
              <w:start w:w="80" w:type="dxa"/>
              <w:bottom w:w="80" w:type="dxa"/>
              <w:end w:w="80" w:type="dxa"/>
            </w:tcMar>
          </w:tcPr>
          <w:p>
            <w:r>
              <w:rPr>
                <w:sz w:val="15"/>
              </w:rPr>
              <w:t>1</w:t>
            </w:r>
          </w:p>
        </w:tc>
        <w:tc>
          <w:tcPr>
            <w:tcW w:type="dxa" w:w="1440"/>
            <w:vAlign w:val="center"/>
            <w:tcMar>
              <w:top w:w="80" w:type="dxa"/>
              <w:start w:w="80" w:type="dxa"/>
              <w:bottom w:w="80" w:type="dxa"/>
              <w:end w:w="80" w:type="dxa"/>
            </w:tcMar>
          </w:tcPr>
          <w:p>
            <w:r>
              <w:rPr>
                <w:sz w:val="15"/>
              </w:rPr>
              <w:t>0.8546</w:t>
            </w:r>
          </w:p>
        </w:tc>
      </w:tr>
      <w:tr>
        <w:trPr>
          <w:cantSplit/>
        </w:trPr>
        <w:tc>
          <w:tcPr>
            <w:tcW w:type="dxa" w:w="2160"/>
            <w:vAlign w:val="center"/>
            <w:tcMar>
              <w:top w:w="80" w:type="dxa"/>
              <w:start w:w="80" w:type="dxa"/>
              <w:bottom w:w="80" w:type="dxa"/>
              <w:end w:w="80" w:type="dxa"/>
            </w:tcMar>
          </w:tcPr>
          <w:p>
            <w:r>
              <w:rPr>
                <w:sz w:val="15"/>
              </w:rPr>
              <w:t>IssueSize_log</w:t>
            </w:r>
          </w:p>
        </w:tc>
        <w:tc>
          <w:tcPr>
            <w:tcW w:type="dxa" w:w="1584"/>
            <w:vAlign w:val="center"/>
            <w:tcMar>
              <w:top w:w="80" w:type="dxa"/>
              <w:start w:w="80" w:type="dxa"/>
              <w:bottom w:w="80" w:type="dxa"/>
              <w:end w:w="80" w:type="dxa"/>
            </w:tcMar>
          </w:tcPr>
          <w:p>
            <w:r>
              <w:rPr>
                <w:sz w:val="15"/>
              </w:rPr>
              <w:t>-4.71</w:t>
            </w:r>
          </w:p>
        </w:tc>
        <w:tc>
          <w:tcPr>
            <w:tcW w:type="dxa" w:w="1440"/>
            <w:vAlign w:val="center"/>
            <w:tcMar>
              <w:top w:w="80" w:type="dxa"/>
              <w:start w:w="80" w:type="dxa"/>
              <w:bottom w:w="80" w:type="dxa"/>
              <w:end w:w="80" w:type="dxa"/>
            </w:tcMar>
          </w:tcPr>
          <w:p>
            <w:r>
              <w:rPr>
                <w:sz w:val="15"/>
              </w:rPr>
              <w:t>1.27e-06</w:t>
            </w:r>
          </w:p>
        </w:tc>
        <w:tc>
          <w:tcPr>
            <w:tcW w:type="dxa" w:w="1440"/>
            <w:vAlign w:val="center"/>
            <w:tcMar>
              <w:top w:w="80" w:type="dxa"/>
              <w:start w:w="80" w:type="dxa"/>
              <w:bottom w:w="80" w:type="dxa"/>
              <w:end w:w="80" w:type="dxa"/>
            </w:tcMar>
          </w:tcPr>
          <w:p>
            <w:r>
              <w:rPr>
                <w:sz w:val="15"/>
              </w:rPr>
              <w:t>3.332e-06</w:t>
            </w:r>
          </w:p>
        </w:tc>
        <w:tc>
          <w:tcPr>
            <w:tcW w:type="dxa" w:w="1440"/>
            <w:vAlign w:val="center"/>
            <w:tcMar>
              <w:top w:w="80" w:type="dxa"/>
              <w:start w:w="80" w:type="dxa"/>
              <w:bottom w:w="80" w:type="dxa"/>
              <w:end w:w="80" w:type="dxa"/>
            </w:tcMar>
          </w:tcPr>
          <w:p>
            <w:r>
              <w:rPr>
                <w:sz w:val="15"/>
              </w:rPr>
              <w:t>6.352e-06</w:t>
            </w:r>
          </w:p>
        </w:tc>
        <w:tc>
          <w:tcPr>
            <w:tcW w:type="dxa" w:w="1440"/>
            <w:vAlign w:val="center"/>
            <w:tcMar>
              <w:top w:w="80" w:type="dxa"/>
              <w:start w:w="80" w:type="dxa"/>
              <w:bottom w:w="80" w:type="dxa"/>
              <w:end w:w="80" w:type="dxa"/>
            </w:tcMar>
          </w:tcPr>
          <w:p>
            <w:r>
              <w:rPr>
                <w:sz w:val="15"/>
              </w:rPr>
              <w:t>2.964e-06</w:t>
            </w:r>
          </w:p>
        </w:tc>
      </w:tr>
      <w:tr>
        <w:trPr>
          <w:cantSplit/>
        </w:trPr>
        <w:tc>
          <w:tcPr>
            <w:tcW w:type="dxa" w:w="2160"/>
            <w:vAlign w:val="center"/>
            <w:tcMar>
              <w:top w:w="80" w:type="dxa"/>
              <w:start w:w="80" w:type="dxa"/>
              <w:bottom w:w="80" w:type="dxa"/>
              <w:end w:w="80" w:type="dxa"/>
            </w:tcMar>
          </w:tcPr>
          <w:p>
            <w:r>
              <w:rPr>
                <w:sz w:val="15"/>
              </w:rPr>
              <w:t>Tenor_years</w:t>
            </w:r>
          </w:p>
        </w:tc>
        <w:tc>
          <w:tcPr>
            <w:tcW w:type="dxa" w:w="1584"/>
            <w:vAlign w:val="center"/>
            <w:tcMar>
              <w:top w:w="80" w:type="dxa"/>
              <w:start w:w="80" w:type="dxa"/>
              <w:bottom w:w="80" w:type="dxa"/>
              <w:end w:w="80" w:type="dxa"/>
            </w:tcMar>
          </w:tcPr>
          <w:p>
            <w:r>
              <w:rPr>
                <w:sz w:val="15"/>
              </w:rPr>
              <w:t>7.05</w:t>
            </w:r>
          </w:p>
        </w:tc>
        <w:tc>
          <w:tcPr>
            <w:tcW w:type="dxa" w:w="1440"/>
            <w:vAlign w:val="center"/>
            <w:tcMar>
              <w:top w:w="80" w:type="dxa"/>
              <w:start w:w="80" w:type="dxa"/>
              <w:bottom w:w="80" w:type="dxa"/>
              <w:end w:w="80" w:type="dxa"/>
            </w:tcMar>
          </w:tcPr>
          <w:p>
            <w:r>
              <w:rPr>
                <w:sz w:val="15"/>
              </w:rPr>
              <w:t>1.025e-54</w:t>
            </w:r>
          </w:p>
        </w:tc>
        <w:tc>
          <w:tcPr>
            <w:tcW w:type="dxa" w:w="1440"/>
            <w:vAlign w:val="center"/>
            <w:tcMar>
              <w:top w:w="80" w:type="dxa"/>
              <w:start w:w="80" w:type="dxa"/>
              <w:bottom w:w="80" w:type="dxa"/>
              <w:end w:w="80" w:type="dxa"/>
            </w:tcMar>
          </w:tcPr>
          <w:p>
            <w:r>
              <w:rPr>
                <w:sz w:val="15"/>
              </w:rPr>
              <w:t>5.986e-44</w:t>
            </w:r>
          </w:p>
        </w:tc>
        <w:tc>
          <w:tcPr>
            <w:tcW w:type="dxa" w:w="1440"/>
            <w:vAlign w:val="center"/>
            <w:tcMar>
              <w:top w:w="80" w:type="dxa"/>
              <w:start w:w="80" w:type="dxa"/>
              <w:bottom w:w="80" w:type="dxa"/>
              <w:end w:w="80" w:type="dxa"/>
            </w:tcMar>
          </w:tcPr>
          <w:p>
            <w:r>
              <w:rPr>
                <w:sz w:val="15"/>
              </w:rPr>
              <w:t>7.172e-54</w:t>
            </w:r>
          </w:p>
        </w:tc>
        <w:tc>
          <w:tcPr>
            <w:tcW w:type="dxa" w:w="1440"/>
            <w:vAlign w:val="center"/>
            <w:tcMar>
              <w:top w:w="80" w:type="dxa"/>
              <w:start w:w="80" w:type="dxa"/>
              <w:bottom w:w="80" w:type="dxa"/>
              <w:end w:w="80" w:type="dxa"/>
            </w:tcMar>
          </w:tcPr>
          <w:p>
            <w:r>
              <w:rPr>
                <w:sz w:val="15"/>
              </w:rPr>
              <w:t>7.172e-54</w:t>
            </w:r>
          </w:p>
        </w:tc>
      </w:tr>
      <w:tr>
        <w:trPr>
          <w:cantSplit/>
        </w:trPr>
        <w:tc>
          <w:tcPr>
            <w:tcW w:type="dxa" w:w="2160"/>
            <w:vAlign w:val="center"/>
            <w:tcMar>
              <w:top w:w="80" w:type="dxa"/>
              <w:start w:w="80" w:type="dxa"/>
              <w:bottom w:w="80" w:type="dxa"/>
              <w:end w:w="80" w:type="dxa"/>
            </w:tcMar>
          </w:tcPr>
          <w:p>
            <w:r>
              <w:rPr>
                <w:sz w:val="15"/>
              </w:rPr>
              <w:t>Coupon</w:t>
            </w:r>
          </w:p>
        </w:tc>
        <w:tc>
          <w:tcPr>
            <w:tcW w:type="dxa" w:w="1584"/>
            <w:vAlign w:val="center"/>
            <w:tcMar>
              <w:top w:w="80" w:type="dxa"/>
              <w:start w:w="80" w:type="dxa"/>
              <w:bottom w:w="80" w:type="dxa"/>
              <w:end w:w="80" w:type="dxa"/>
            </w:tcMar>
          </w:tcPr>
          <w:p>
            <w:r>
              <w:rPr>
                <w:sz w:val="15"/>
              </w:rPr>
              <w:t>27.46</w:t>
            </w:r>
          </w:p>
        </w:tc>
        <w:tc>
          <w:tcPr>
            <w:tcW w:type="dxa" w:w="1440"/>
            <w:vAlign w:val="center"/>
            <w:tcMar>
              <w:top w:w="80" w:type="dxa"/>
              <w:start w:w="80" w:type="dxa"/>
              <w:bottom w:w="80" w:type="dxa"/>
              <w:end w:w="80" w:type="dxa"/>
            </w:tcMar>
          </w:tcPr>
          <w:p>
            <w:r>
              <w:rPr>
                <w:sz w:val="15"/>
              </w:rPr>
              <w:t>6.168e-06</w:t>
            </w:r>
          </w:p>
        </w:tc>
        <w:tc>
          <w:tcPr>
            <w:tcW w:type="dxa" w:w="1440"/>
            <w:vAlign w:val="center"/>
            <w:tcMar>
              <w:top w:w="80" w:type="dxa"/>
              <w:start w:w="80" w:type="dxa"/>
              <w:bottom w:w="80" w:type="dxa"/>
              <w:end w:w="80" w:type="dxa"/>
            </w:tcMar>
          </w:tcPr>
          <w:p>
            <w:r>
              <w:rPr>
                <w:sz w:val="15"/>
              </w:rPr>
              <w:t>2.041e-05</w:t>
            </w:r>
          </w:p>
        </w:tc>
        <w:tc>
          <w:tcPr>
            <w:tcW w:type="dxa" w:w="1440"/>
            <w:vAlign w:val="center"/>
            <w:tcMar>
              <w:top w:w="80" w:type="dxa"/>
              <w:start w:w="80" w:type="dxa"/>
              <w:bottom w:w="80" w:type="dxa"/>
              <w:end w:w="80" w:type="dxa"/>
            </w:tcMar>
          </w:tcPr>
          <w:p>
            <w:r>
              <w:rPr>
                <w:sz w:val="15"/>
              </w:rPr>
              <w:t>2.467e-05</w:t>
            </w:r>
          </w:p>
        </w:tc>
        <w:tc>
          <w:tcPr>
            <w:tcW w:type="dxa" w:w="1440"/>
            <w:vAlign w:val="center"/>
            <w:tcMar>
              <w:top w:w="80" w:type="dxa"/>
              <w:start w:w="80" w:type="dxa"/>
              <w:bottom w:w="80" w:type="dxa"/>
              <w:end w:w="80" w:type="dxa"/>
            </w:tcMar>
          </w:tcPr>
          <w:p>
            <w:r>
              <w:rPr>
                <w:sz w:val="15"/>
              </w:rPr>
              <w:t>1.079e-05</w:t>
            </w:r>
          </w:p>
        </w:tc>
      </w:tr>
      <w:tr>
        <w:trPr>
          <w:cantSplit/>
        </w:trPr>
        <w:tc>
          <w:tcPr>
            <w:tcW w:type="dxa" w:w="2160"/>
            <w:vAlign w:val="center"/>
            <w:tcMar>
              <w:top w:w="80" w:type="dxa"/>
              <w:start w:w="80" w:type="dxa"/>
              <w:bottom w:w="80" w:type="dxa"/>
              <w:end w:w="80" w:type="dxa"/>
            </w:tcMar>
          </w:tcPr>
          <w:p>
            <w:r>
              <w:rPr>
                <w:sz w:val="15"/>
              </w:rPr>
              <w:t>ESG_z</w:t>
            </w:r>
          </w:p>
        </w:tc>
        <w:tc>
          <w:tcPr>
            <w:tcW w:type="dxa" w:w="1584"/>
            <w:vAlign w:val="center"/>
            <w:tcMar>
              <w:top w:w="80" w:type="dxa"/>
              <w:start w:w="80" w:type="dxa"/>
              <w:bottom w:w="80" w:type="dxa"/>
              <w:end w:w="80" w:type="dxa"/>
            </w:tcMar>
          </w:tcPr>
          <w:p>
            <w:r>
              <w:rPr>
                <w:sz w:val="15"/>
              </w:rPr>
              <w:t>-3.06</w:t>
            </w:r>
          </w:p>
        </w:tc>
        <w:tc>
          <w:tcPr>
            <w:tcW w:type="dxa" w:w="1440"/>
            <w:vAlign w:val="center"/>
            <w:tcMar>
              <w:top w:w="80" w:type="dxa"/>
              <w:start w:w="80" w:type="dxa"/>
              <w:bottom w:w="80" w:type="dxa"/>
              <w:end w:w="80" w:type="dxa"/>
            </w:tcMar>
          </w:tcPr>
          <w:p>
            <w:r>
              <w:rPr>
                <w:sz w:val="15"/>
              </w:rPr>
              <w:t>0.03301</w:t>
            </w:r>
          </w:p>
        </w:tc>
        <w:tc>
          <w:tcPr>
            <w:tcW w:type="dxa" w:w="1440"/>
            <w:vAlign w:val="center"/>
            <w:tcMar>
              <w:top w:w="80" w:type="dxa"/>
              <w:start w:w="80" w:type="dxa"/>
              <w:bottom w:w="80" w:type="dxa"/>
              <w:end w:w="80" w:type="dxa"/>
            </w:tcMar>
          </w:tcPr>
          <w:p>
            <w:r>
              <w:rPr>
                <w:sz w:val="15"/>
              </w:rPr>
              <w:t>0.04796</w:t>
            </w:r>
          </w:p>
        </w:tc>
        <w:tc>
          <w:tcPr>
            <w:tcW w:type="dxa" w:w="1440"/>
            <w:vAlign w:val="center"/>
            <w:tcMar>
              <w:top w:w="80" w:type="dxa"/>
              <w:start w:w="80" w:type="dxa"/>
              <w:bottom w:w="80" w:type="dxa"/>
              <w:end w:w="80" w:type="dxa"/>
            </w:tcMar>
          </w:tcPr>
          <w:p>
            <w:r>
              <w:rPr>
                <w:sz w:val="15"/>
              </w:rPr>
              <w:t>0.09904</w:t>
            </w:r>
          </w:p>
        </w:tc>
        <w:tc>
          <w:tcPr>
            <w:tcW w:type="dxa" w:w="1440"/>
            <w:vAlign w:val="center"/>
            <w:tcMar>
              <w:top w:w="80" w:type="dxa"/>
              <w:start w:w="80" w:type="dxa"/>
              <w:bottom w:w="80" w:type="dxa"/>
              <w:end w:w="80" w:type="dxa"/>
            </w:tcMar>
          </w:tcPr>
          <w:p>
            <w:r>
              <w:rPr>
                <w:sz w:val="15"/>
              </w:rPr>
              <w:t>0.04622</w:t>
            </w:r>
          </w:p>
        </w:tc>
      </w:tr>
      <w:tr>
        <w:trPr>
          <w:cantSplit/>
        </w:trPr>
        <w:tc>
          <w:tcPr>
            <w:tcW w:type="dxa" w:w="2160"/>
            <w:vAlign w:val="center"/>
            <w:tcMar>
              <w:top w:w="80" w:type="dxa"/>
              <w:start w:w="80" w:type="dxa"/>
              <w:bottom w:w="80" w:type="dxa"/>
              <w:end w:w="80" w:type="dxa"/>
            </w:tcMar>
          </w:tcPr>
          <w:p>
            <w:r>
              <w:rPr>
                <w:sz w:val="15"/>
              </w:rPr>
              <w:t>IG_status</w:t>
            </w:r>
          </w:p>
        </w:tc>
        <w:tc>
          <w:tcPr>
            <w:tcW w:type="dxa" w:w="1584"/>
            <w:vAlign w:val="center"/>
            <w:tcMar>
              <w:top w:w="80" w:type="dxa"/>
              <w:start w:w="80" w:type="dxa"/>
              <w:bottom w:w="80" w:type="dxa"/>
              <w:end w:w="80" w:type="dxa"/>
            </w:tcMar>
          </w:tcPr>
          <w:p>
            <w:r>
              <w:rPr>
                <w:sz w:val="15"/>
              </w:rPr>
              <w:t>-55.22</w:t>
            </w:r>
          </w:p>
        </w:tc>
        <w:tc>
          <w:tcPr>
            <w:tcW w:type="dxa" w:w="1440"/>
            <w:vAlign w:val="center"/>
            <w:tcMar>
              <w:top w:w="80" w:type="dxa"/>
              <w:start w:w="80" w:type="dxa"/>
              <w:bottom w:w="80" w:type="dxa"/>
              <w:end w:w="80" w:type="dxa"/>
            </w:tcMar>
          </w:tcPr>
          <w:p>
            <w:r>
              <w:rPr>
                <w:sz w:val="15"/>
              </w:rPr>
              <w:t>4.231e-07</w:t>
            </w:r>
          </w:p>
        </w:tc>
        <w:tc>
          <w:tcPr>
            <w:tcW w:type="dxa" w:w="1440"/>
            <w:vAlign w:val="center"/>
            <w:tcMar>
              <w:top w:w="80" w:type="dxa"/>
              <w:start w:w="80" w:type="dxa"/>
              <w:bottom w:w="80" w:type="dxa"/>
              <w:end w:w="80" w:type="dxa"/>
            </w:tcMar>
          </w:tcPr>
          <w:p>
            <w:r>
              <w:rPr>
                <w:sz w:val="15"/>
              </w:rPr>
              <w:t>4.728e-07</w:t>
            </w:r>
          </w:p>
        </w:tc>
        <w:tc>
          <w:tcPr>
            <w:tcW w:type="dxa" w:w="1440"/>
            <w:vAlign w:val="center"/>
            <w:tcMar>
              <w:top w:w="80" w:type="dxa"/>
              <w:start w:w="80" w:type="dxa"/>
              <w:bottom w:w="80" w:type="dxa"/>
              <w:end w:w="80" w:type="dxa"/>
            </w:tcMar>
          </w:tcPr>
          <w:p>
            <w:r>
              <w:rPr>
                <w:sz w:val="15"/>
              </w:rPr>
              <w:t>2.538e-06</w:t>
            </w:r>
          </w:p>
        </w:tc>
        <w:tc>
          <w:tcPr>
            <w:tcW w:type="dxa" w:w="1440"/>
            <w:vAlign w:val="center"/>
            <w:tcMar>
              <w:top w:w="80" w:type="dxa"/>
              <w:start w:w="80" w:type="dxa"/>
              <w:bottom w:w="80" w:type="dxa"/>
              <w:end w:w="80" w:type="dxa"/>
            </w:tcMar>
          </w:tcPr>
          <w:p>
            <w:r>
              <w:rPr>
                <w:sz w:val="15"/>
              </w:rPr>
              <w:t>1.481e-06</w:t>
            </w:r>
          </w:p>
        </w:tc>
      </w:tr>
    </w:tbl>
    <w:p>
      <w:pPr>
        <w:spacing w:after="40"/>
      </w:pPr>
    </w:p>
    <w:tbl>
      <w:tblPr>
        <w:tblStyle w:val="TableGrid"/>
        <w:tblW w:type="auto" w:w="0"/>
        <w:jc w:val="center"/>
        <w:tblLook w:firstColumn="1" w:firstRow="1" w:lastColumn="0" w:lastRow="0" w:noHBand="0" w:noVBand="1" w:val="04A0"/>
      </w:tblPr>
      <w:tblGrid>
        <w:gridCol w:w="10080"/>
      </w:tblGrid>
      <w:tr>
        <w:trPr>
          <w:cantSplit/>
        </w:trPr>
        <w:tc>
          <w:tcPr>
            <w:tcW w:type="dxa" w:w="10080"/>
            <w:shd w:fill="FDE9E7"/>
            <w:tcMar>
              <w:top w:w="120" w:type="dxa"/>
              <w:start w:w="140" w:type="dxa"/>
              <w:bottom w:w="120" w:type="dxa"/>
              <w:end w:w="140" w:type="dxa"/>
            </w:tcMar>
          </w:tcPr>
          <w:p>
            <w:r>
              <w:rPr>
                <w:b/>
                <w:color w:val="1F4E79"/>
                <w:sz w:val="21"/>
              </w:rPr>
              <w:t>H1: Green</w:t>
              <w:br/>
            </w:r>
            <w:r>
              <w:rPr>
                <w:sz w:val="19"/>
              </w:rPr>
              <w:t>Green = +1.81 bps; issuer-clustered p = 0.6555; two-way p = 0.6966. The coefficient is not statistically distinguishable from zero. H1 is not supported in the corrected primary regression.</w:t>
            </w:r>
          </w:p>
        </w:tc>
      </w:tr>
    </w:tbl>
    <w:p>
      <w:pPr>
        <w:spacing w:after="40"/>
      </w:pPr>
    </w:p>
    <w:tbl>
      <w:tblPr>
        <w:tblStyle w:val="TableGrid"/>
        <w:tblW w:type="auto" w:w="0"/>
        <w:jc w:val="center"/>
        <w:tblLook w:firstColumn="1" w:firstRow="1" w:lastColumn="0" w:lastRow="0" w:noHBand="0" w:noVBand="1" w:val="04A0"/>
      </w:tblPr>
      <w:tblGrid>
        <w:gridCol w:w="10080"/>
      </w:tblGrid>
      <w:tr>
        <w:trPr>
          <w:cantSplit/>
        </w:trPr>
        <w:tc>
          <w:tcPr>
            <w:tcW w:type="dxa" w:w="10080"/>
            <w:shd w:fill="E2F0D9"/>
            <w:tcMar>
              <w:top w:w="120" w:type="dxa"/>
              <w:start w:w="140" w:type="dxa"/>
              <w:bottom w:w="120" w:type="dxa"/>
              <w:end w:w="140" w:type="dxa"/>
            </w:tcMar>
          </w:tcPr>
          <w:p>
            <w:r>
              <w:rPr>
                <w:b/>
                <w:color w:val="1F4E79"/>
                <w:sz w:val="21"/>
              </w:rPr>
              <w:t>H2: ESG</w:t>
              <w:br/>
            </w:r>
            <w:r>
              <w:rPr>
                <w:sz w:val="19"/>
              </w:rPr>
              <w:t>A 1 SD increase in ESG is associated with -3.06 bps in YTM. Issuer p = 0.0330; two-way p = 0.0480; BH-FDR p = 0.0462. The result does not survive the stricter Holm correction (p = 0.0990), so it should be described as moderate rather than overwhelming evidence.</w:t>
            </w:r>
          </w:p>
        </w:tc>
      </w:tr>
    </w:tbl>
    <w:p>
      <w:pPr>
        <w:spacing w:after="40"/>
      </w:pPr>
    </w:p>
    <w:tbl>
      <w:tblPr>
        <w:tblStyle w:val="TableGrid"/>
        <w:tblW w:type="auto" w:w="0"/>
        <w:jc w:val="center"/>
        <w:tblLook w:firstColumn="1" w:firstRow="1" w:lastColumn="0" w:lastRow="0" w:noHBand="0" w:noVBand="1" w:val="04A0"/>
      </w:tblPr>
      <w:tblGrid>
        <w:gridCol w:w="10080"/>
      </w:tblGrid>
      <w:tr>
        <w:trPr>
          <w:cantSplit/>
        </w:trPr>
        <w:tc>
          <w:tcPr>
            <w:tcW w:type="dxa" w:w="10080"/>
            <w:shd w:fill="E2F0D9"/>
            <w:tcMar>
              <w:top w:w="120" w:type="dxa"/>
              <w:start w:w="140" w:type="dxa"/>
              <w:bottom w:w="120" w:type="dxa"/>
              <w:end w:w="140" w:type="dxa"/>
            </w:tcMar>
          </w:tcPr>
          <w:p>
            <w:r>
              <w:rPr>
                <w:b/>
                <w:color w:val="1F4E79"/>
                <w:sz w:val="21"/>
              </w:rPr>
              <w:t>H3: Investment Grade</w:t>
              <w:br/>
            </w:r>
            <w:r>
              <w:rPr>
                <w:sz w:val="19"/>
              </w:rPr>
              <w:t>Investment Grade = -55.22 bps; p &lt; 0.000001 under both issuer and two-way clustering. The result survives both Holm and BH-FDR adjustments. H3 is strongly supported for broad credit-quality class.</w:t>
            </w:r>
          </w:p>
        </w:tc>
      </w:tr>
    </w:tbl>
    <w:p>
      <w:pPr>
        <w:spacing w:after="40"/>
      </w:pPr>
    </w:p>
    <w:p>
      <w:pPr>
        <w:pStyle w:val="Heading2"/>
        <w:keepNext/>
      </w:pPr>
      <w:r>
        <w:t>10.2 Joint significance of fixed-effect blocks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4032"/>
            <w:shd w:fill="D9EAF7"/>
            <w:vAlign w:val="center"/>
          </w:tcPr>
          <w:p>
            <w:pPr>
              <w:jc w:val="center"/>
            </w:pPr>
            <w:r>
              <w:rPr>
                <w:b/>
                <w:sz w:val="16"/>
              </w:rPr>
              <w:t>Block</w:t>
            </w:r>
          </w:p>
        </w:tc>
        <w:tc>
          <w:tcPr>
            <w:tcW w:type="dxa" w:w="1440"/>
            <w:shd w:fill="D9EAF7"/>
            <w:vAlign w:val="center"/>
          </w:tcPr>
          <w:p>
            <w:pPr>
              <w:jc w:val="center"/>
            </w:pPr>
            <w:r>
              <w:rPr>
                <w:b/>
                <w:sz w:val="16"/>
              </w:rPr>
              <w:t>Parameters</w:t>
            </w:r>
          </w:p>
        </w:tc>
        <w:tc>
          <w:tcPr>
            <w:tcW w:type="dxa" w:w="2016"/>
            <w:shd w:fill="D9EAF7"/>
            <w:vAlign w:val="center"/>
          </w:tcPr>
          <w:p>
            <w:pPr>
              <w:jc w:val="center"/>
            </w:pPr>
            <w:r>
              <w:rPr>
                <w:b/>
                <w:sz w:val="16"/>
              </w:rPr>
              <w:t>Wald statistic</w:t>
            </w:r>
          </w:p>
        </w:tc>
        <w:tc>
          <w:tcPr>
            <w:tcW w:type="dxa" w:w="1440"/>
            <w:shd w:fill="D9EAF7"/>
            <w:vAlign w:val="center"/>
          </w:tcPr>
          <w:p>
            <w:pPr>
              <w:jc w:val="center"/>
            </w:pPr>
            <w:r>
              <w:rPr>
                <w:b/>
                <w:sz w:val="16"/>
              </w:rPr>
              <w:t>p</w:t>
            </w:r>
          </w:p>
        </w:tc>
      </w:tr>
      <w:tr>
        <w:trPr>
          <w:cantSplit/>
        </w:trPr>
        <w:tc>
          <w:tcPr>
            <w:tcW w:type="dxa" w:w="4032"/>
            <w:vAlign w:val="center"/>
            <w:tcMar>
              <w:top w:w="80" w:type="dxa"/>
              <w:start w:w="80" w:type="dxa"/>
              <w:bottom w:w="80" w:type="dxa"/>
              <w:end w:w="80" w:type="dxa"/>
            </w:tcMar>
          </w:tcPr>
          <w:p>
            <w:r>
              <w:rPr>
                <w:sz w:val="16"/>
              </w:rPr>
              <w:t>CurrencyYear FE</w:t>
            </w:r>
          </w:p>
        </w:tc>
        <w:tc>
          <w:tcPr>
            <w:tcW w:type="dxa" w:w="1440"/>
            <w:vAlign w:val="center"/>
            <w:tcMar>
              <w:top w:w="80" w:type="dxa"/>
              <w:start w:w="80" w:type="dxa"/>
              <w:bottom w:w="80" w:type="dxa"/>
              <w:end w:w="80" w:type="dxa"/>
            </w:tcMar>
          </w:tcPr>
          <w:p>
            <w:r>
              <w:rPr>
                <w:sz w:val="16"/>
              </w:rPr>
              <w:t>177</w:t>
            </w:r>
          </w:p>
        </w:tc>
        <w:tc>
          <w:tcPr>
            <w:tcW w:type="dxa" w:w="2016"/>
            <w:vAlign w:val="center"/>
            <w:tcMar>
              <w:top w:w="80" w:type="dxa"/>
              <w:start w:w="80" w:type="dxa"/>
              <w:bottom w:w="80" w:type="dxa"/>
              <w:end w:w="80" w:type="dxa"/>
            </w:tcMar>
          </w:tcPr>
          <w:p>
            <w:r>
              <w:rPr>
                <w:sz w:val="16"/>
              </w:rPr>
              <w:t>906681.93</w:t>
            </w:r>
          </w:p>
        </w:tc>
        <w:tc>
          <w:tcPr>
            <w:tcW w:type="dxa" w:w="1440"/>
            <w:vAlign w:val="center"/>
            <w:tcMar>
              <w:top w:w="80" w:type="dxa"/>
              <w:start w:w="80" w:type="dxa"/>
              <w:bottom w:w="80" w:type="dxa"/>
              <w:end w:w="80" w:type="dxa"/>
            </w:tcMar>
          </w:tcPr>
          <w:p>
            <w:r>
              <w:rPr>
                <w:sz w:val="16"/>
              </w:rPr>
              <w:t>&lt;0.0001</w:t>
            </w:r>
          </w:p>
        </w:tc>
      </w:tr>
      <w:tr>
        <w:trPr>
          <w:cantSplit/>
        </w:trPr>
        <w:tc>
          <w:tcPr>
            <w:tcW w:type="dxa" w:w="4032"/>
            <w:vAlign w:val="center"/>
            <w:tcMar>
              <w:top w:w="80" w:type="dxa"/>
              <w:start w:w="80" w:type="dxa"/>
              <w:bottom w:w="80" w:type="dxa"/>
              <w:end w:w="80" w:type="dxa"/>
            </w:tcMar>
          </w:tcPr>
          <w:p>
            <w:r>
              <w:rPr>
                <w:sz w:val="16"/>
              </w:rPr>
              <w:t>Seniority FE</w:t>
            </w:r>
          </w:p>
        </w:tc>
        <w:tc>
          <w:tcPr>
            <w:tcW w:type="dxa" w:w="1440"/>
            <w:vAlign w:val="center"/>
            <w:tcMar>
              <w:top w:w="80" w:type="dxa"/>
              <w:start w:w="80" w:type="dxa"/>
              <w:bottom w:w="80" w:type="dxa"/>
              <w:end w:w="80" w:type="dxa"/>
            </w:tcMar>
          </w:tcPr>
          <w:p>
            <w:r>
              <w:rPr>
                <w:sz w:val="16"/>
              </w:rPr>
              <w:t>11</w:t>
            </w:r>
          </w:p>
        </w:tc>
        <w:tc>
          <w:tcPr>
            <w:tcW w:type="dxa" w:w="2016"/>
            <w:vAlign w:val="center"/>
            <w:tcMar>
              <w:top w:w="80" w:type="dxa"/>
              <w:start w:w="80" w:type="dxa"/>
              <w:bottom w:w="80" w:type="dxa"/>
              <w:end w:w="80" w:type="dxa"/>
            </w:tcMar>
          </w:tcPr>
          <w:p>
            <w:r>
              <w:rPr>
                <w:sz w:val="16"/>
              </w:rPr>
              <w:t>18.05</w:t>
            </w:r>
          </w:p>
        </w:tc>
        <w:tc>
          <w:tcPr>
            <w:tcW w:type="dxa" w:w="1440"/>
            <w:vAlign w:val="center"/>
            <w:tcMar>
              <w:top w:w="80" w:type="dxa"/>
              <w:start w:w="80" w:type="dxa"/>
              <w:bottom w:w="80" w:type="dxa"/>
              <w:end w:w="80" w:type="dxa"/>
            </w:tcMar>
          </w:tcPr>
          <w:p>
            <w:r>
              <w:rPr>
                <w:sz w:val="16"/>
              </w:rPr>
              <w:t>&lt;0.0001</w:t>
            </w:r>
          </w:p>
        </w:tc>
      </w:tr>
      <w:tr>
        <w:trPr>
          <w:cantSplit/>
        </w:trPr>
        <w:tc>
          <w:tcPr>
            <w:tcW w:type="dxa" w:w="4032"/>
            <w:vAlign w:val="center"/>
            <w:tcMar>
              <w:top w:w="80" w:type="dxa"/>
              <w:start w:w="80" w:type="dxa"/>
              <w:bottom w:w="80" w:type="dxa"/>
              <w:end w:w="80" w:type="dxa"/>
            </w:tcMar>
          </w:tcPr>
          <w:p>
            <w:r>
              <w:rPr>
                <w:sz w:val="16"/>
              </w:rPr>
              <w:t>Instrument FE</w:t>
            </w:r>
          </w:p>
        </w:tc>
        <w:tc>
          <w:tcPr>
            <w:tcW w:type="dxa" w:w="1440"/>
            <w:vAlign w:val="center"/>
            <w:tcMar>
              <w:top w:w="80" w:type="dxa"/>
              <w:start w:w="80" w:type="dxa"/>
              <w:bottom w:w="80" w:type="dxa"/>
              <w:end w:w="80" w:type="dxa"/>
            </w:tcMar>
          </w:tcPr>
          <w:p>
            <w:r>
              <w:rPr>
                <w:sz w:val="16"/>
              </w:rPr>
              <w:t>29</w:t>
            </w:r>
          </w:p>
        </w:tc>
        <w:tc>
          <w:tcPr>
            <w:tcW w:type="dxa" w:w="2016"/>
            <w:vAlign w:val="center"/>
            <w:tcMar>
              <w:top w:w="80" w:type="dxa"/>
              <w:start w:w="80" w:type="dxa"/>
              <w:bottom w:w="80" w:type="dxa"/>
              <w:end w:w="80" w:type="dxa"/>
            </w:tcMar>
          </w:tcPr>
          <w:p>
            <w:r>
              <w:rPr>
                <w:sz w:val="16"/>
              </w:rPr>
              <w:t>64.98</w:t>
            </w:r>
          </w:p>
        </w:tc>
        <w:tc>
          <w:tcPr>
            <w:tcW w:type="dxa" w:w="1440"/>
            <w:vAlign w:val="center"/>
            <w:tcMar>
              <w:top w:w="80" w:type="dxa"/>
              <w:start w:w="80" w:type="dxa"/>
              <w:bottom w:w="80" w:type="dxa"/>
              <w:end w:w="80" w:type="dxa"/>
            </w:tcMar>
          </w:tcPr>
          <w:p>
            <w:r>
              <w:rPr>
                <w:sz w:val="16"/>
              </w:rPr>
              <w:t>&lt;0.0001</w:t>
            </w:r>
          </w:p>
        </w:tc>
      </w:tr>
    </w:tbl>
    <w:p>
      <w:pPr>
        <w:spacing w:after="40"/>
      </w:pPr>
    </w:p>
    <w:p>
      <w:r>
        <w:t>All three fixed-effect blocks are jointly significant, supporting their retention in the model.</w:t>
      </w:r>
    </w:p>
    <w:p>
      <w:pPr>
        <w:pStyle w:val="Heading1"/>
        <w:keepNext/>
      </w:pPr>
      <w:r>
        <w:t>11. Final 5,000-replication bootstrap robustness check</w:t>
      </w:r>
    </w:p>
    <w:p>
      <w:pPr>
        <w:pStyle w:val="Heading2"/>
        <w:keepNext/>
      </w:pPr>
      <w:r>
        <w:t>11.1 Design</w:t>
      </w:r>
    </w:p>
    <w:p>
      <w:pPr>
        <w:pStyle w:val="ListBullet"/>
      </w:pPr>
      <w:r>
        <w:t>Issuer-cluster wild bootstrap.</w:t>
      </w:r>
    </w:p>
    <w:p>
      <w:pPr>
        <w:pStyle w:val="ListBullet"/>
      </w:pPr>
      <w:r>
        <w:t>5,000 Rademacher replications.</w:t>
      </w:r>
    </w:p>
    <w:p>
      <w:pPr>
        <w:pStyle w:val="ListBullet"/>
      </w:pPr>
      <w:r>
        <w:t>Applied to the preferred robust model.</w:t>
      </w:r>
    </w:p>
    <w:p>
      <w:pPr>
        <w:pStyle w:val="ListBullet"/>
      </w:pPr>
      <w:r>
        <w:t>Confidence intervals based on the bootstrap coefficient distribution.</w:t>
      </w:r>
    </w:p>
    <w:p>
      <w:pPr>
        <w:pStyle w:val="ListBullet"/>
      </w:pPr>
      <w:r>
        <w:t>Designed to preserve dependence among bonds belonging to the same issuer.</w:t>
      </w:r>
    </w:p>
    <w:p>
      <w:pPr>
        <w:pStyle w:val="Heading2"/>
        <w:keepNext/>
      </w:pPr>
      <w:r>
        <w:t>11.2 Final bootstrap results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cantSplit/>
        </w:trPr>
        <w:tc>
          <w:tcPr>
            <w:tcW w:type="dxa" w:w="2160"/>
            <w:shd w:fill="D9EAF7"/>
            <w:vAlign w:val="center"/>
          </w:tcPr>
          <w:p>
            <w:pPr>
              <w:jc w:val="center"/>
            </w:pPr>
            <w:r>
              <w:rPr>
                <w:b/>
                <w:sz w:val="15"/>
              </w:rPr>
              <w:t>Parameter</w:t>
            </w:r>
          </w:p>
        </w:tc>
        <w:tc>
          <w:tcPr>
            <w:tcW w:type="dxa" w:w="1728"/>
            <w:shd w:fill="D9EAF7"/>
            <w:vAlign w:val="center"/>
          </w:tcPr>
          <w:p>
            <w:pPr>
              <w:jc w:val="center"/>
            </w:pPr>
            <w:r>
              <w:rPr>
                <w:b/>
                <w:sz w:val="15"/>
              </w:rPr>
              <w:t>Estimate (bps)</w:t>
            </w:r>
          </w:p>
        </w:tc>
        <w:tc>
          <w:tcPr>
            <w:tcW w:type="dxa" w:w="1440"/>
            <w:shd w:fill="D9EAF7"/>
            <w:vAlign w:val="center"/>
          </w:tcPr>
          <w:p>
            <w:pPr>
              <w:jc w:val="center"/>
            </w:pPr>
            <w:r>
              <w:rPr>
                <w:b/>
                <w:sz w:val="15"/>
              </w:rPr>
              <w:t>Boot SE</w:t>
            </w:r>
          </w:p>
        </w:tc>
        <w:tc>
          <w:tcPr>
            <w:tcW w:type="dxa" w:w="2592"/>
            <w:shd w:fill="D9EAF7"/>
            <w:vAlign w:val="center"/>
          </w:tcPr>
          <w:p>
            <w:pPr>
              <w:jc w:val="center"/>
            </w:pPr>
            <w:r>
              <w:rPr>
                <w:b/>
                <w:sz w:val="15"/>
              </w:rPr>
              <w:t>95% CI</w:t>
            </w:r>
          </w:p>
        </w:tc>
        <w:tc>
          <w:tcPr>
            <w:tcW w:type="dxa" w:w="1440"/>
            <w:shd w:fill="D9EAF7"/>
            <w:vAlign w:val="center"/>
          </w:tcPr>
          <w:p>
            <w:pPr>
              <w:jc w:val="center"/>
            </w:pPr>
            <w:r>
              <w:rPr>
                <w:b/>
                <w:sz w:val="15"/>
              </w:rPr>
              <w:t>Boot p</w:t>
            </w:r>
          </w:p>
        </w:tc>
        <w:tc>
          <w:tcPr>
            <w:tcW w:type="dxa" w:w="1440"/>
            <w:shd w:fill="D9EAF7"/>
            <w:vAlign w:val="center"/>
          </w:tcPr>
          <w:p>
            <w:pPr>
              <w:jc w:val="center"/>
            </w:pPr>
            <w:r>
              <w:rPr>
                <w:b/>
                <w:sz w:val="15"/>
              </w:rPr>
              <w:t>CI excludes 0?</w:t>
            </w:r>
          </w:p>
        </w:tc>
      </w:tr>
      <w:tr>
        <w:trPr>
          <w:cantSplit/>
        </w:trPr>
        <w:tc>
          <w:tcPr>
            <w:tcW w:type="dxa" w:w="2160"/>
            <w:vAlign w:val="center"/>
            <w:tcMar>
              <w:top w:w="80" w:type="dxa"/>
              <w:start w:w="80" w:type="dxa"/>
              <w:bottom w:w="80" w:type="dxa"/>
              <w:end w:w="80" w:type="dxa"/>
            </w:tcMar>
          </w:tcPr>
          <w:p>
            <w:r>
              <w:rPr>
                <w:sz w:val="15"/>
              </w:rPr>
              <w:t>Green</w:t>
            </w:r>
          </w:p>
        </w:tc>
        <w:tc>
          <w:tcPr>
            <w:tcW w:type="dxa" w:w="1728"/>
            <w:vAlign w:val="center"/>
            <w:tcMar>
              <w:top w:w="80" w:type="dxa"/>
              <w:start w:w="80" w:type="dxa"/>
              <w:bottom w:w="80" w:type="dxa"/>
              <w:end w:w="80" w:type="dxa"/>
            </w:tcMar>
          </w:tcPr>
          <w:p>
            <w:r>
              <w:rPr>
                <w:sz w:val="15"/>
              </w:rPr>
              <w:t>1.81</w:t>
            </w:r>
          </w:p>
        </w:tc>
        <w:tc>
          <w:tcPr>
            <w:tcW w:type="dxa" w:w="1440"/>
            <w:vAlign w:val="center"/>
            <w:tcMar>
              <w:top w:w="80" w:type="dxa"/>
              <w:start w:w="80" w:type="dxa"/>
              <w:bottom w:w="80" w:type="dxa"/>
              <w:end w:w="80" w:type="dxa"/>
            </w:tcMar>
          </w:tcPr>
          <w:p>
            <w:r>
              <w:rPr>
                <w:sz w:val="15"/>
              </w:rPr>
              <w:t>3.99</w:t>
            </w:r>
          </w:p>
        </w:tc>
        <w:tc>
          <w:tcPr>
            <w:tcW w:type="dxa" w:w="2592"/>
            <w:vAlign w:val="center"/>
            <w:tcMar>
              <w:top w:w="80" w:type="dxa"/>
              <w:start w:w="80" w:type="dxa"/>
              <w:bottom w:w="80" w:type="dxa"/>
              <w:end w:w="80" w:type="dxa"/>
            </w:tcMar>
          </w:tcPr>
          <w:p>
            <w:r>
              <w:rPr>
                <w:sz w:val="15"/>
              </w:rPr>
              <w:t>[-5.93, 9.68]</w:t>
            </w:r>
          </w:p>
        </w:tc>
        <w:tc>
          <w:tcPr>
            <w:tcW w:type="dxa" w:w="1440"/>
            <w:vAlign w:val="center"/>
            <w:tcMar>
              <w:top w:w="80" w:type="dxa"/>
              <w:start w:w="80" w:type="dxa"/>
              <w:bottom w:w="80" w:type="dxa"/>
              <w:end w:w="80" w:type="dxa"/>
            </w:tcMar>
          </w:tcPr>
          <w:p>
            <w:r>
              <w:rPr>
                <w:sz w:val="15"/>
              </w:rPr>
              <w:t>0.6501</w:t>
            </w:r>
          </w:p>
        </w:tc>
        <w:tc>
          <w:tcPr>
            <w:tcW w:type="dxa" w:w="1440"/>
            <w:vAlign w:val="center"/>
            <w:tcMar>
              <w:top w:w="80" w:type="dxa"/>
              <w:start w:w="80" w:type="dxa"/>
              <w:bottom w:w="80" w:type="dxa"/>
              <w:end w:w="80" w:type="dxa"/>
            </w:tcMar>
          </w:tcPr>
          <w:p>
            <w:r>
              <w:rPr>
                <w:sz w:val="15"/>
              </w:rPr>
              <w:t>No</w:t>
            </w:r>
          </w:p>
        </w:tc>
      </w:tr>
      <w:tr>
        <w:trPr>
          <w:cantSplit/>
        </w:trPr>
        <w:tc>
          <w:tcPr>
            <w:tcW w:type="dxa" w:w="2160"/>
            <w:vAlign w:val="center"/>
            <w:tcMar>
              <w:top w:w="80" w:type="dxa"/>
              <w:start w:w="80" w:type="dxa"/>
              <w:bottom w:w="80" w:type="dxa"/>
              <w:end w:w="80" w:type="dxa"/>
            </w:tcMar>
          </w:tcPr>
          <w:p>
            <w:r>
              <w:rPr>
                <w:sz w:val="15"/>
              </w:rPr>
              <w:t>ESG_z</w:t>
            </w:r>
          </w:p>
        </w:tc>
        <w:tc>
          <w:tcPr>
            <w:tcW w:type="dxa" w:w="1728"/>
            <w:vAlign w:val="center"/>
            <w:tcMar>
              <w:top w:w="80" w:type="dxa"/>
              <w:start w:w="80" w:type="dxa"/>
              <w:bottom w:w="80" w:type="dxa"/>
              <w:end w:w="80" w:type="dxa"/>
            </w:tcMar>
          </w:tcPr>
          <w:p>
            <w:r>
              <w:rPr>
                <w:sz w:val="15"/>
              </w:rPr>
              <w:t>-3.06</w:t>
            </w:r>
          </w:p>
        </w:tc>
        <w:tc>
          <w:tcPr>
            <w:tcW w:type="dxa" w:w="1440"/>
            <w:vAlign w:val="center"/>
            <w:tcMar>
              <w:top w:w="80" w:type="dxa"/>
              <w:start w:w="80" w:type="dxa"/>
              <w:bottom w:w="80" w:type="dxa"/>
              <w:end w:w="80" w:type="dxa"/>
            </w:tcMar>
          </w:tcPr>
          <w:p>
            <w:r>
              <w:rPr>
                <w:sz w:val="15"/>
              </w:rPr>
              <w:t>1.42</w:t>
            </w:r>
          </w:p>
        </w:tc>
        <w:tc>
          <w:tcPr>
            <w:tcW w:type="dxa" w:w="2592"/>
            <w:vAlign w:val="center"/>
            <w:tcMar>
              <w:top w:w="80" w:type="dxa"/>
              <w:start w:w="80" w:type="dxa"/>
              <w:bottom w:w="80" w:type="dxa"/>
              <w:end w:w="80" w:type="dxa"/>
            </w:tcMar>
          </w:tcPr>
          <w:p>
            <w:r>
              <w:rPr>
                <w:sz w:val="15"/>
              </w:rPr>
              <w:t>[-5.81, -0.33]</w:t>
            </w:r>
          </w:p>
        </w:tc>
        <w:tc>
          <w:tcPr>
            <w:tcW w:type="dxa" w:w="1440"/>
            <w:vAlign w:val="center"/>
            <w:tcMar>
              <w:top w:w="80" w:type="dxa"/>
              <w:start w:w="80" w:type="dxa"/>
              <w:bottom w:w="80" w:type="dxa"/>
              <w:end w:w="80" w:type="dxa"/>
            </w:tcMar>
          </w:tcPr>
          <w:p>
            <w:r>
              <w:rPr>
                <w:sz w:val="15"/>
              </w:rPr>
              <w:t>0.03081</w:t>
            </w:r>
          </w:p>
        </w:tc>
        <w:tc>
          <w:tcPr>
            <w:tcW w:type="dxa" w:w="1440"/>
            <w:vAlign w:val="center"/>
            <w:tcMar>
              <w:top w:w="80" w:type="dxa"/>
              <w:start w:w="80" w:type="dxa"/>
              <w:bottom w:w="80" w:type="dxa"/>
              <w:end w:w="80" w:type="dxa"/>
            </w:tcMar>
          </w:tcPr>
          <w:p>
            <w:r>
              <w:rPr>
                <w:sz w:val="15"/>
              </w:rPr>
              <w:t>Yes</w:t>
            </w:r>
          </w:p>
        </w:tc>
      </w:tr>
      <w:tr>
        <w:trPr>
          <w:cantSplit/>
        </w:trPr>
        <w:tc>
          <w:tcPr>
            <w:tcW w:type="dxa" w:w="2160"/>
            <w:vAlign w:val="center"/>
            <w:tcMar>
              <w:top w:w="80" w:type="dxa"/>
              <w:start w:w="80" w:type="dxa"/>
              <w:bottom w:w="80" w:type="dxa"/>
              <w:end w:w="80" w:type="dxa"/>
            </w:tcMar>
          </w:tcPr>
          <w:p>
            <w:r>
              <w:rPr>
                <w:sz w:val="15"/>
              </w:rPr>
              <w:t>IG_status</w:t>
            </w:r>
          </w:p>
        </w:tc>
        <w:tc>
          <w:tcPr>
            <w:tcW w:type="dxa" w:w="1728"/>
            <w:vAlign w:val="center"/>
            <w:tcMar>
              <w:top w:w="80" w:type="dxa"/>
              <w:start w:w="80" w:type="dxa"/>
              <w:bottom w:w="80" w:type="dxa"/>
              <w:end w:w="80" w:type="dxa"/>
            </w:tcMar>
          </w:tcPr>
          <w:p>
            <w:r>
              <w:rPr>
                <w:sz w:val="15"/>
              </w:rPr>
              <w:t>-55.22</w:t>
            </w:r>
          </w:p>
        </w:tc>
        <w:tc>
          <w:tcPr>
            <w:tcW w:type="dxa" w:w="1440"/>
            <w:vAlign w:val="center"/>
            <w:tcMar>
              <w:top w:w="80" w:type="dxa"/>
              <w:start w:w="80" w:type="dxa"/>
              <w:bottom w:w="80" w:type="dxa"/>
              <w:end w:w="80" w:type="dxa"/>
            </w:tcMar>
          </w:tcPr>
          <w:p>
            <w:r>
              <w:rPr>
                <w:sz w:val="15"/>
              </w:rPr>
              <w:t>10.73</w:t>
            </w:r>
          </w:p>
        </w:tc>
        <w:tc>
          <w:tcPr>
            <w:tcW w:type="dxa" w:w="2592"/>
            <w:vAlign w:val="center"/>
            <w:tcMar>
              <w:top w:w="80" w:type="dxa"/>
              <w:start w:w="80" w:type="dxa"/>
              <w:bottom w:w="80" w:type="dxa"/>
              <w:end w:w="80" w:type="dxa"/>
            </w:tcMar>
          </w:tcPr>
          <w:p>
            <w:r>
              <w:rPr>
                <w:sz w:val="15"/>
              </w:rPr>
              <w:t>[-75.57, -34.19]</w:t>
            </w:r>
          </w:p>
        </w:tc>
        <w:tc>
          <w:tcPr>
            <w:tcW w:type="dxa" w:w="1440"/>
            <w:vAlign w:val="center"/>
            <w:tcMar>
              <w:top w:w="80" w:type="dxa"/>
              <w:start w:w="80" w:type="dxa"/>
              <w:bottom w:w="80" w:type="dxa"/>
              <w:end w:w="80" w:type="dxa"/>
            </w:tcMar>
          </w:tcPr>
          <w:p>
            <w:r>
              <w:rPr>
                <w:sz w:val="15"/>
              </w:rPr>
              <w:t>2.68e-07</w:t>
            </w:r>
          </w:p>
        </w:tc>
        <w:tc>
          <w:tcPr>
            <w:tcW w:type="dxa" w:w="1440"/>
            <w:vAlign w:val="center"/>
            <w:tcMar>
              <w:top w:w="80" w:type="dxa"/>
              <w:start w:w="80" w:type="dxa"/>
              <w:bottom w:w="80" w:type="dxa"/>
              <w:end w:w="80" w:type="dxa"/>
            </w:tcMar>
          </w:tcPr>
          <w:p>
            <w:r>
              <w:rPr>
                <w:sz w:val="15"/>
              </w:rPr>
              <w:t>Yes</w:t>
            </w:r>
          </w:p>
        </w:tc>
      </w:tr>
    </w:tbl>
    <w:p>
      <w:pPr>
        <w:spacing w:after="40"/>
      </w:pPr>
    </w:p>
    <w:p>
      <w:r>
        <w:t>The final bootstrap confirms the primary inference: Green remains non-significant; ESG has a negative confidence interval excluding zero; Investment Grade has a large negative interval excluding zero.</w:t>
      </w:r>
    </w:p>
    <w:p>
      <w:pPr>
        <w:pStyle w:val="Heading1"/>
        <w:keepNext/>
      </w:pPr>
      <w:r>
        <w:t>12. Common method bias assessment</w:t>
      </w:r>
    </w:p>
    <w:p>
      <w:pPr>
        <w:pStyle w:val="Heading2"/>
        <w:keepNext/>
      </w:pPr>
      <w:r>
        <w:t>12.1 Conceptual applicability</w:t>
      </w:r>
    </w:p>
    <w:p>
      <w:r>
        <w:t>Classical common method bias (CMB) is primarily a concern when independent and dependent variables are collected from the same respondent, using the same survey instrument, scale and collection context. The present project uses archival/objective bond-market fields rather than same-respondent survey responses. Therefore CMB is not a primary measurement threat in the conventional psychometric sense.</w:t>
      </w:r>
    </w:p>
    <w:p>
      <w:pPr>
        <w:pStyle w:val="Heading2"/>
        <w:keepNext/>
      </w:pPr>
      <w:r>
        <w:t>12.2 Supplementary diagnostics</w:t>
      </w:r>
    </w:p>
    <w:tbl>
      <w:tblPr>
        <w:tblStyle w:val="TableGrid"/>
        <w:tblW w:type="auto" w:w="0"/>
        <w:jc w:val="center"/>
        <w:tblLook w:firstColumn="1" w:firstRow="1" w:lastColumn="0" w:lastRow="0" w:noHBand="0" w:noVBand="1" w:val="04A0"/>
      </w:tblPr>
      <w:tblGrid>
        <w:gridCol w:w="5040"/>
        <w:gridCol w:w="5040"/>
      </w:tblGrid>
      <w:tr>
        <w:trPr>
          <w:cantSplit/>
        </w:trPr>
        <w:tc>
          <w:tcPr>
            <w:tcW w:type="dxa" w:w="5472"/>
            <w:shd w:fill="D9EAF7"/>
            <w:vAlign w:val="center"/>
          </w:tcPr>
          <w:p>
            <w:pPr>
              <w:jc w:val="center"/>
            </w:pPr>
            <w:r>
              <w:rPr>
                <w:b/>
                <w:sz w:val="16"/>
              </w:rPr>
              <w:t>Diagnostic</w:t>
            </w:r>
          </w:p>
        </w:tc>
        <w:tc>
          <w:tcPr>
            <w:tcW w:type="dxa" w:w="3744"/>
            <w:shd w:fill="D9EAF7"/>
            <w:vAlign w:val="center"/>
          </w:tcPr>
          <w:p>
            <w:pPr>
              <w:jc w:val="center"/>
            </w:pPr>
            <w:r>
              <w:rPr>
                <w:b/>
                <w:sz w:val="16"/>
              </w:rPr>
              <w:t>Result</w:t>
            </w:r>
          </w:p>
        </w:tc>
      </w:tr>
      <w:tr>
        <w:trPr>
          <w:cantSplit/>
        </w:trPr>
        <w:tc>
          <w:tcPr>
            <w:tcW w:type="dxa" w:w="5472"/>
            <w:vAlign w:val="center"/>
            <w:tcMar>
              <w:top w:w="80" w:type="dxa"/>
              <w:start w:w="80" w:type="dxa"/>
              <w:bottom w:w="80" w:type="dxa"/>
              <w:end w:w="80" w:type="dxa"/>
            </w:tcMar>
          </w:tcPr>
          <w:p>
            <w:r>
              <w:rPr>
                <w:b/>
                <w:sz w:val="16"/>
              </w:rPr>
              <w:t>Data type</w:t>
            </w:r>
          </w:p>
        </w:tc>
        <w:tc>
          <w:tcPr>
            <w:tcW w:type="dxa" w:w="3744"/>
            <w:vAlign w:val="center"/>
            <w:tcMar>
              <w:top w:w="80" w:type="dxa"/>
              <w:start w:w="80" w:type="dxa"/>
              <w:bottom w:w="80" w:type="dxa"/>
              <w:end w:w="80" w:type="dxa"/>
            </w:tcMar>
          </w:tcPr>
          <w:p>
            <w:r>
              <w:rPr>
                <w:sz w:val="16"/>
              </w:rPr>
              <w:t>Archival/objective bond-market data</w:t>
            </w:r>
          </w:p>
        </w:tc>
      </w:tr>
      <w:tr>
        <w:trPr>
          <w:cantSplit/>
        </w:trPr>
        <w:tc>
          <w:tcPr>
            <w:tcW w:type="dxa" w:w="5472"/>
            <w:vAlign w:val="center"/>
            <w:tcMar>
              <w:top w:w="80" w:type="dxa"/>
              <w:start w:w="80" w:type="dxa"/>
              <w:bottom w:w="80" w:type="dxa"/>
              <w:end w:w="80" w:type="dxa"/>
            </w:tcMar>
          </w:tcPr>
          <w:p>
            <w:r>
              <w:rPr>
                <w:b/>
                <w:sz w:val="16"/>
              </w:rPr>
              <w:t>Classical CMB relevance</w:t>
            </w:r>
          </w:p>
        </w:tc>
        <w:tc>
          <w:tcPr>
            <w:tcW w:type="dxa" w:w="3744"/>
            <w:vAlign w:val="center"/>
            <w:tcMar>
              <w:top w:w="80" w:type="dxa"/>
              <w:start w:w="80" w:type="dxa"/>
              <w:bottom w:w="80" w:type="dxa"/>
              <w:end w:w="80" w:type="dxa"/>
            </w:tcMar>
          </w:tcPr>
          <w:p>
            <w:r>
              <w:rPr>
                <w:sz w:val="16"/>
              </w:rPr>
              <w:t>Low / not directly applicable</w:t>
            </w:r>
          </w:p>
        </w:tc>
      </w:tr>
      <w:tr>
        <w:trPr>
          <w:cantSplit/>
        </w:trPr>
        <w:tc>
          <w:tcPr>
            <w:tcW w:type="dxa" w:w="5472"/>
            <w:vAlign w:val="center"/>
            <w:tcMar>
              <w:top w:w="80" w:type="dxa"/>
              <w:start w:w="80" w:type="dxa"/>
              <w:bottom w:w="80" w:type="dxa"/>
              <w:end w:w="80" w:type="dxa"/>
            </w:tcMar>
          </w:tcPr>
          <w:p>
            <w:r>
              <w:rPr>
                <w:b/>
                <w:sz w:val="16"/>
              </w:rPr>
              <w:t>Harman/PCA first component variance</w:t>
            </w:r>
          </w:p>
        </w:tc>
        <w:tc>
          <w:tcPr>
            <w:tcW w:type="dxa" w:w="3744"/>
            <w:vAlign w:val="center"/>
            <w:tcMar>
              <w:top w:w="80" w:type="dxa"/>
              <w:start w:w="80" w:type="dxa"/>
              <w:bottom w:w="80" w:type="dxa"/>
              <w:end w:w="80" w:type="dxa"/>
            </w:tcMar>
          </w:tcPr>
          <w:p>
            <w:r>
              <w:rPr>
                <w:sz w:val="16"/>
              </w:rPr>
              <w:t>0.233639973163015</w:t>
            </w:r>
          </w:p>
        </w:tc>
      </w:tr>
      <w:tr>
        <w:trPr>
          <w:cantSplit/>
        </w:trPr>
        <w:tc>
          <w:tcPr>
            <w:tcW w:type="dxa" w:w="5472"/>
            <w:vAlign w:val="center"/>
            <w:tcMar>
              <w:top w:w="80" w:type="dxa"/>
              <w:start w:w="80" w:type="dxa"/>
              <w:bottom w:w="80" w:type="dxa"/>
              <w:end w:w="80" w:type="dxa"/>
            </w:tcMar>
          </w:tcPr>
          <w:p>
            <w:r>
              <w:rPr>
                <w:b/>
                <w:sz w:val="16"/>
              </w:rPr>
              <w:t>First component &gt;50%</w:t>
            </w:r>
          </w:p>
        </w:tc>
        <w:tc>
          <w:tcPr>
            <w:tcW w:type="dxa" w:w="3744"/>
            <w:vAlign w:val="center"/>
            <w:tcMar>
              <w:top w:w="80" w:type="dxa"/>
              <w:start w:w="80" w:type="dxa"/>
              <w:bottom w:w="80" w:type="dxa"/>
              <w:end w:w="80" w:type="dxa"/>
            </w:tcMar>
          </w:tcPr>
          <w:p>
            <w:r>
              <w:rPr>
                <w:sz w:val="16"/>
              </w:rPr>
              <w:t>False</w:t>
            </w:r>
          </w:p>
        </w:tc>
      </w:tr>
      <w:tr>
        <w:trPr>
          <w:cantSplit/>
        </w:trPr>
        <w:tc>
          <w:tcPr>
            <w:tcW w:type="dxa" w:w="5472"/>
            <w:vAlign w:val="center"/>
            <w:tcMar>
              <w:top w:w="80" w:type="dxa"/>
              <w:start w:w="80" w:type="dxa"/>
              <w:bottom w:w="80" w:type="dxa"/>
              <w:end w:w="80" w:type="dxa"/>
            </w:tcMar>
          </w:tcPr>
          <w:p>
            <w:r>
              <w:rPr>
                <w:b/>
                <w:sz w:val="16"/>
              </w:rPr>
              <w:t>Maximum full-collinearity VIF</w:t>
            </w:r>
          </w:p>
        </w:tc>
        <w:tc>
          <w:tcPr>
            <w:tcW w:type="dxa" w:w="3744"/>
            <w:vAlign w:val="center"/>
            <w:tcMar>
              <w:top w:w="80" w:type="dxa"/>
              <w:start w:w="80" w:type="dxa"/>
              <w:bottom w:w="80" w:type="dxa"/>
              <w:end w:w="80" w:type="dxa"/>
            </w:tcMar>
          </w:tcPr>
          <w:p>
            <w:r>
              <w:rPr>
                <w:sz w:val="16"/>
              </w:rPr>
              <w:t>3.332955905962609</w:t>
            </w:r>
          </w:p>
        </w:tc>
      </w:tr>
      <w:tr>
        <w:trPr>
          <w:cantSplit/>
        </w:trPr>
        <w:tc>
          <w:tcPr>
            <w:tcW w:type="dxa" w:w="5472"/>
            <w:vAlign w:val="center"/>
            <w:tcMar>
              <w:top w:w="80" w:type="dxa"/>
              <w:start w:w="80" w:type="dxa"/>
              <w:bottom w:w="80" w:type="dxa"/>
              <w:end w:w="80" w:type="dxa"/>
            </w:tcMar>
          </w:tcPr>
          <w:p>
            <w:r>
              <w:rPr>
                <w:b/>
                <w:sz w:val="16"/>
              </w:rPr>
              <w:t>Any full-collinearity VIF &gt;3.3</w:t>
            </w:r>
          </w:p>
        </w:tc>
        <w:tc>
          <w:tcPr>
            <w:tcW w:type="dxa" w:w="3744"/>
            <w:vAlign w:val="center"/>
            <w:tcMar>
              <w:top w:w="80" w:type="dxa"/>
              <w:start w:w="80" w:type="dxa"/>
              <w:bottom w:w="80" w:type="dxa"/>
              <w:end w:w="80" w:type="dxa"/>
            </w:tcMar>
          </w:tcPr>
          <w:p>
            <w:r>
              <w:rPr>
                <w:sz w:val="16"/>
              </w:rPr>
              <w:t>True</w:t>
            </w:r>
          </w:p>
        </w:tc>
      </w:tr>
    </w:tbl>
    <w:p>
      <w:pPr>
        <w:spacing w:after="40"/>
      </w:pPr>
    </w:p>
    <w:tbl>
      <w:tblPr>
        <w:tblStyle w:val="TableGrid"/>
        <w:tblW w:type="auto" w:w="0"/>
        <w:jc w:val="center"/>
        <w:tblLook w:firstColumn="1" w:firstRow="1" w:lastColumn="0" w:lastRow="0" w:noHBand="0" w:noVBand="1" w:val="04A0"/>
      </w:tblPr>
      <w:tblGrid>
        <w:gridCol w:w="10080"/>
      </w:tblGrid>
      <w:tr>
        <w:trPr>
          <w:cantSplit/>
        </w:trPr>
        <w:tc>
          <w:tcPr>
            <w:tcW w:type="dxa" w:w="10080"/>
            <w:shd w:fill="EAF3F8"/>
            <w:tcMar>
              <w:top w:w="120" w:type="dxa"/>
              <w:start w:w="140" w:type="dxa"/>
              <w:bottom w:w="120" w:type="dxa"/>
              <w:end w:w="140" w:type="dxa"/>
            </w:tcMar>
          </w:tcPr>
          <w:p>
            <w:r>
              <w:rPr>
                <w:b/>
                <w:color w:val="1F4E79"/>
                <w:sz w:val="21"/>
              </w:rPr>
              <w:t>CMB interpretation</w:t>
              <w:br/>
            </w:r>
            <w:r>
              <w:rPr>
                <w:sz w:val="19"/>
              </w:rPr>
              <w:t>The first PCA component explains 23.36% of variance, below the common 50% heuristic. The maximum full-collinearity VIF is 3.333, only marginally above the strict 3.3 heuristic, driven mainly by the known Green-Certified relationship. This should not be interpreted as proof of common-method bias in archival data.</w:t>
            </w:r>
          </w:p>
        </w:tc>
      </w:tr>
    </w:tbl>
    <w:p>
      <w:pPr>
        <w:spacing w:after="40"/>
      </w:pPr>
    </w:p>
    <w:p>
      <w:pPr>
        <w:pStyle w:val="Heading1"/>
        <w:keepNext/>
      </w:pPr>
      <w:r>
        <w:t>13. Interaction and sensitivity analyses</w:t>
      </w:r>
    </w:p>
    <w:p>
      <w:pPr>
        <w:pStyle w:val="Heading2"/>
        <w:keepNext/>
      </w:pPr>
      <w:r>
        <w:t>13.1 Outlier treatment</w:t>
      </w:r>
    </w:p>
    <w:p>
      <w:r>
        <w:t>The main model was compared with winsorization and trimming at 0.25%, 0.5% and 1% in each tail, and with alternative robust M-estimators. ESG and credit-grade effects were directionally consistent in several outlier-robust variants, while the Green coefficient remained unstable/non-significant.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1728"/>
            <w:shd w:fill="D9EAF7"/>
            <w:vAlign w:val="center"/>
          </w:tcPr>
          <w:p>
            <w:pPr>
              <w:jc w:val="center"/>
            </w:pPr>
            <w:r>
              <w:rPr>
                <w:b/>
                <w:sz w:val="15"/>
              </w:rPr>
              <w:t>Treatment</w:t>
            </w:r>
          </w:p>
        </w:tc>
        <w:tc>
          <w:tcPr>
            <w:tcW w:type="dxa" w:w="1584"/>
            <w:shd w:fill="D9EAF7"/>
            <w:vAlign w:val="center"/>
          </w:tcPr>
          <w:p>
            <w:pPr>
              <w:jc w:val="center"/>
            </w:pPr>
            <w:r>
              <w:rPr>
                <w:b/>
                <w:sz w:val="15"/>
              </w:rPr>
              <w:t>Tail each side</w:t>
            </w:r>
          </w:p>
        </w:tc>
        <w:tc>
          <w:tcPr>
            <w:tcW w:type="dxa" w:w="2016"/>
            <w:shd w:fill="D9EAF7"/>
            <w:vAlign w:val="center"/>
          </w:tcPr>
          <w:p>
            <w:pPr>
              <w:jc w:val="center"/>
            </w:pPr>
            <w:r>
              <w:rPr>
                <w:b/>
                <w:sz w:val="15"/>
              </w:rPr>
              <w:t>Variable</w:t>
            </w:r>
          </w:p>
        </w:tc>
        <w:tc>
          <w:tcPr>
            <w:tcW w:type="dxa" w:w="1728"/>
            <w:shd w:fill="D9EAF7"/>
            <w:vAlign w:val="center"/>
          </w:tcPr>
          <w:p>
            <w:pPr>
              <w:jc w:val="center"/>
            </w:pPr>
            <w:r>
              <w:rPr>
                <w:b/>
                <w:sz w:val="15"/>
              </w:rPr>
              <w:t>Estimate (bps)</w:t>
            </w:r>
          </w:p>
        </w:tc>
        <w:tc>
          <w:tcPr>
            <w:tcW w:type="dxa" w:w="1440"/>
            <w:shd w:fill="D9EAF7"/>
            <w:vAlign w:val="center"/>
          </w:tcPr>
          <w:p>
            <w:pPr>
              <w:jc w:val="center"/>
            </w:pPr>
            <w:r>
              <w:rPr>
                <w:b/>
                <w:sz w:val="15"/>
              </w:rPr>
              <w:t>p</w:t>
            </w:r>
          </w:p>
        </w:tc>
      </w:tr>
      <w:tr>
        <w:trPr>
          <w:cantSplit/>
        </w:trPr>
        <w:tc>
          <w:tcPr>
            <w:tcW w:type="dxa" w:w="1728"/>
            <w:vAlign w:val="center"/>
            <w:tcMar>
              <w:top w:w="80" w:type="dxa"/>
              <w:start w:w="80" w:type="dxa"/>
              <w:bottom w:w="80" w:type="dxa"/>
              <w:end w:w="80" w:type="dxa"/>
            </w:tcMar>
          </w:tcPr>
          <w:p>
            <w:r>
              <w:rPr>
                <w:sz w:val="15"/>
              </w:rPr>
              <w:t>winsorize</w:t>
            </w:r>
          </w:p>
        </w:tc>
        <w:tc>
          <w:tcPr>
            <w:tcW w:type="dxa" w:w="1584"/>
            <w:vAlign w:val="center"/>
            <w:tcMar>
              <w:top w:w="80" w:type="dxa"/>
              <w:start w:w="80" w:type="dxa"/>
              <w:bottom w:w="80" w:type="dxa"/>
              <w:end w:w="80" w:type="dxa"/>
            </w:tcMar>
          </w:tcPr>
          <w:p>
            <w:r>
              <w:rPr>
                <w:sz w:val="15"/>
              </w:rPr>
              <w:t>0.50%</w:t>
            </w:r>
          </w:p>
        </w:tc>
        <w:tc>
          <w:tcPr>
            <w:tcW w:type="dxa" w:w="2016"/>
            <w:vAlign w:val="center"/>
            <w:tcMar>
              <w:top w:w="80" w:type="dxa"/>
              <w:start w:w="80" w:type="dxa"/>
              <w:bottom w:w="80" w:type="dxa"/>
              <w:end w:w="80" w:type="dxa"/>
            </w:tcMar>
          </w:tcPr>
          <w:p>
            <w:r>
              <w:rPr>
                <w:sz w:val="15"/>
              </w:rPr>
              <w:t>Green</w:t>
            </w:r>
          </w:p>
        </w:tc>
        <w:tc>
          <w:tcPr>
            <w:tcW w:type="dxa" w:w="1728"/>
            <w:vAlign w:val="center"/>
            <w:tcMar>
              <w:top w:w="80" w:type="dxa"/>
              <w:start w:w="80" w:type="dxa"/>
              <w:bottom w:w="80" w:type="dxa"/>
              <w:end w:w="80" w:type="dxa"/>
            </w:tcMar>
          </w:tcPr>
          <w:p>
            <w:r>
              <w:rPr>
                <w:sz w:val="15"/>
              </w:rPr>
              <w:t>-7.88</w:t>
            </w:r>
          </w:p>
        </w:tc>
        <w:tc>
          <w:tcPr>
            <w:tcW w:type="dxa" w:w="1440"/>
            <w:vAlign w:val="center"/>
            <w:tcMar>
              <w:top w:w="80" w:type="dxa"/>
              <w:start w:w="80" w:type="dxa"/>
              <w:bottom w:w="80" w:type="dxa"/>
              <w:end w:w="80" w:type="dxa"/>
            </w:tcMar>
          </w:tcPr>
          <w:p>
            <w:r>
              <w:rPr>
                <w:sz w:val="15"/>
              </w:rPr>
              <w:t>0.3572</w:t>
            </w:r>
          </w:p>
        </w:tc>
      </w:tr>
      <w:tr>
        <w:trPr>
          <w:cantSplit/>
        </w:trPr>
        <w:tc>
          <w:tcPr>
            <w:tcW w:type="dxa" w:w="1728"/>
            <w:vAlign w:val="center"/>
            <w:tcMar>
              <w:top w:w="80" w:type="dxa"/>
              <w:start w:w="80" w:type="dxa"/>
              <w:bottom w:w="80" w:type="dxa"/>
              <w:end w:w="80" w:type="dxa"/>
            </w:tcMar>
          </w:tcPr>
          <w:p>
            <w:r>
              <w:rPr>
                <w:sz w:val="15"/>
              </w:rPr>
              <w:t>winsorize</w:t>
            </w:r>
          </w:p>
        </w:tc>
        <w:tc>
          <w:tcPr>
            <w:tcW w:type="dxa" w:w="1584"/>
            <w:vAlign w:val="center"/>
            <w:tcMar>
              <w:top w:w="80" w:type="dxa"/>
              <w:start w:w="80" w:type="dxa"/>
              <w:bottom w:w="80" w:type="dxa"/>
              <w:end w:w="80" w:type="dxa"/>
            </w:tcMar>
          </w:tcPr>
          <w:p>
            <w:r>
              <w:rPr>
                <w:sz w:val="15"/>
              </w:rPr>
              <w:t>0.50%</w:t>
            </w:r>
          </w:p>
        </w:tc>
        <w:tc>
          <w:tcPr>
            <w:tcW w:type="dxa" w:w="2016"/>
            <w:vAlign w:val="center"/>
            <w:tcMar>
              <w:top w:w="80" w:type="dxa"/>
              <w:start w:w="80" w:type="dxa"/>
              <w:bottom w:w="80" w:type="dxa"/>
              <w:end w:w="80" w:type="dxa"/>
            </w:tcMar>
          </w:tcPr>
          <w:p>
            <w:r>
              <w:rPr>
                <w:sz w:val="15"/>
              </w:rPr>
              <w:t>ESG_z</w:t>
            </w:r>
          </w:p>
        </w:tc>
        <w:tc>
          <w:tcPr>
            <w:tcW w:type="dxa" w:w="1728"/>
            <w:vAlign w:val="center"/>
            <w:tcMar>
              <w:top w:w="80" w:type="dxa"/>
              <w:start w:w="80" w:type="dxa"/>
              <w:bottom w:w="80" w:type="dxa"/>
              <w:end w:w="80" w:type="dxa"/>
            </w:tcMar>
          </w:tcPr>
          <w:p>
            <w:r>
              <w:rPr>
                <w:sz w:val="15"/>
              </w:rPr>
              <w:t>-7.76</w:t>
            </w:r>
          </w:p>
        </w:tc>
        <w:tc>
          <w:tcPr>
            <w:tcW w:type="dxa" w:w="1440"/>
            <w:vAlign w:val="center"/>
            <w:tcMar>
              <w:top w:w="80" w:type="dxa"/>
              <w:start w:w="80" w:type="dxa"/>
              <w:bottom w:w="80" w:type="dxa"/>
              <w:end w:w="80" w:type="dxa"/>
            </w:tcMar>
          </w:tcPr>
          <w:p>
            <w:r>
              <w:rPr>
                <w:sz w:val="15"/>
              </w:rPr>
              <w:t>0.001331</w:t>
            </w:r>
          </w:p>
        </w:tc>
      </w:tr>
      <w:tr>
        <w:trPr>
          <w:cantSplit/>
        </w:trPr>
        <w:tc>
          <w:tcPr>
            <w:tcW w:type="dxa" w:w="1728"/>
            <w:vAlign w:val="center"/>
            <w:tcMar>
              <w:top w:w="80" w:type="dxa"/>
              <w:start w:w="80" w:type="dxa"/>
              <w:bottom w:w="80" w:type="dxa"/>
              <w:end w:w="80" w:type="dxa"/>
            </w:tcMar>
          </w:tcPr>
          <w:p>
            <w:r>
              <w:rPr>
                <w:sz w:val="15"/>
              </w:rPr>
              <w:t>winsorize</w:t>
            </w:r>
          </w:p>
        </w:tc>
        <w:tc>
          <w:tcPr>
            <w:tcW w:type="dxa" w:w="1584"/>
            <w:vAlign w:val="center"/>
            <w:tcMar>
              <w:top w:w="80" w:type="dxa"/>
              <w:start w:w="80" w:type="dxa"/>
              <w:bottom w:w="80" w:type="dxa"/>
              <w:end w:w="80" w:type="dxa"/>
            </w:tcMar>
          </w:tcPr>
          <w:p>
            <w:r>
              <w:rPr>
                <w:sz w:val="15"/>
              </w:rPr>
              <w:t>0.50%</w:t>
            </w:r>
          </w:p>
        </w:tc>
        <w:tc>
          <w:tcPr>
            <w:tcW w:type="dxa" w:w="2016"/>
            <w:vAlign w:val="center"/>
            <w:tcMar>
              <w:top w:w="80" w:type="dxa"/>
              <w:start w:w="80" w:type="dxa"/>
              <w:bottom w:w="80" w:type="dxa"/>
              <w:end w:w="80" w:type="dxa"/>
            </w:tcMar>
          </w:tcPr>
          <w:p>
            <w:r>
              <w:rPr>
                <w:sz w:val="15"/>
              </w:rPr>
              <w:t>IG_status</w:t>
            </w:r>
          </w:p>
        </w:tc>
        <w:tc>
          <w:tcPr>
            <w:tcW w:type="dxa" w:w="1728"/>
            <w:vAlign w:val="center"/>
            <w:tcMar>
              <w:top w:w="80" w:type="dxa"/>
              <w:start w:w="80" w:type="dxa"/>
              <w:bottom w:w="80" w:type="dxa"/>
              <w:end w:w="80" w:type="dxa"/>
            </w:tcMar>
          </w:tcPr>
          <w:p>
            <w:r>
              <w:rPr>
                <w:sz w:val="15"/>
              </w:rPr>
              <w:t>-79.09</w:t>
            </w:r>
          </w:p>
        </w:tc>
        <w:tc>
          <w:tcPr>
            <w:tcW w:type="dxa" w:w="1440"/>
            <w:vAlign w:val="center"/>
            <w:tcMar>
              <w:top w:w="80" w:type="dxa"/>
              <w:start w:w="80" w:type="dxa"/>
              <w:bottom w:w="80" w:type="dxa"/>
              <w:end w:w="80" w:type="dxa"/>
            </w:tcMar>
          </w:tcPr>
          <w:p>
            <w:r>
              <w:rPr>
                <w:sz w:val="15"/>
              </w:rPr>
              <w:t>9.402e-05</w:t>
            </w:r>
          </w:p>
        </w:tc>
      </w:tr>
      <w:tr>
        <w:trPr>
          <w:cantSplit/>
        </w:trPr>
        <w:tc>
          <w:tcPr>
            <w:tcW w:type="dxa" w:w="1728"/>
            <w:vAlign w:val="center"/>
            <w:tcMar>
              <w:top w:w="80" w:type="dxa"/>
              <w:start w:w="80" w:type="dxa"/>
              <w:bottom w:w="80" w:type="dxa"/>
              <w:end w:w="80" w:type="dxa"/>
            </w:tcMar>
          </w:tcPr>
          <w:p>
            <w:r>
              <w:rPr>
                <w:sz w:val="15"/>
              </w:rPr>
              <w:t>trim</w:t>
            </w:r>
          </w:p>
        </w:tc>
        <w:tc>
          <w:tcPr>
            <w:tcW w:type="dxa" w:w="1584"/>
            <w:vAlign w:val="center"/>
            <w:tcMar>
              <w:top w:w="80" w:type="dxa"/>
              <w:start w:w="80" w:type="dxa"/>
              <w:bottom w:w="80" w:type="dxa"/>
              <w:end w:w="80" w:type="dxa"/>
            </w:tcMar>
          </w:tcPr>
          <w:p>
            <w:r>
              <w:rPr>
                <w:sz w:val="15"/>
              </w:rPr>
              <w:t>0.50%</w:t>
            </w:r>
          </w:p>
        </w:tc>
        <w:tc>
          <w:tcPr>
            <w:tcW w:type="dxa" w:w="2016"/>
            <w:vAlign w:val="center"/>
            <w:tcMar>
              <w:top w:w="80" w:type="dxa"/>
              <w:start w:w="80" w:type="dxa"/>
              <w:bottom w:w="80" w:type="dxa"/>
              <w:end w:w="80" w:type="dxa"/>
            </w:tcMar>
          </w:tcPr>
          <w:p>
            <w:r>
              <w:rPr>
                <w:sz w:val="15"/>
              </w:rPr>
              <w:t>Green</w:t>
            </w:r>
          </w:p>
        </w:tc>
        <w:tc>
          <w:tcPr>
            <w:tcW w:type="dxa" w:w="1728"/>
            <w:vAlign w:val="center"/>
            <w:tcMar>
              <w:top w:w="80" w:type="dxa"/>
              <w:start w:w="80" w:type="dxa"/>
              <w:bottom w:w="80" w:type="dxa"/>
              <w:end w:w="80" w:type="dxa"/>
            </w:tcMar>
          </w:tcPr>
          <w:p>
            <w:r>
              <w:rPr>
                <w:sz w:val="15"/>
              </w:rPr>
              <w:t>-3.26</w:t>
            </w:r>
          </w:p>
        </w:tc>
        <w:tc>
          <w:tcPr>
            <w:tcW w:type="dxa" w:w="1440"/>
            <w:vAlign w:val="center"/>
            <w:tcMar>
              <w:top w:w="80" w:type="dxa"/>
              <w:start w:w="80" w:type="dxa"/>
              <w:bottom w:w="80" w:type="dxa"/>
              <w:end w:w="80" w:type="dxa"/>
            </w:tcMar>
          </w:tcPr>
          <w:p>
            <w:r>
              <w:rPr>
                <w:sz w:val="15"/>
              </w:rPr>
              <w:t>0.5757</w:t>
            </w:r>
          </w:p>
        </w:tc>
      </w:tr>
      <w:tr>
        <w:trPr>
          <w:cantSplit/>
        </w:trPr>
        <w:tc>
          <w:tcPr>
            <w:tcW w:type="dxa" w:w="1728"/>
            <w:vAlign w:val="center"/>
            <w:tcMar>
              <w:top w:w="80" w:type="dxa"/>
              <w:start w:w="80" w:type="dxa"/>
              <w:bottom w:w="80" w:type="dxa"/>
              <w:end w:w="80" w:type="dxa"/>
            </w:tcMar>
          </w:tcPr>
          <w:p>
            <w:r>
              <w:rPr>
                <w:sz w:val="15"/>
              </w:rPr>
              <w:t>trim</w:t>
            </w:r>
          </w:p>
        </w:tc>
        <w:tc>
          <w:tcPr>
            <w:tcW w:type="dxa" w:w="1584"/>
            <w:vAlign w:val="center"/>
            <w:tcMar>
              <w:top w:w="80" w:type="dxa"/>
              <w:start w:w="80" w:type="dxa"/>
              <w:bottom w:w="80" w:type="dxa"/>
              <w:end w:w="80" w:type="dxa"/>
            </w:tcMar>
          </w:tcPr>
          <w:p>
            <w:r>
              <w:rPr>
                <w:sz w:val="15"/>
              </w:rPr>
              <w:t>0.50%</w:t>
            </w:r>
          </w:p>
        </w:tc>
        <w:tc>
          <w:tcPr>
            <w:tcW w:type="dxa" w:w="2016"/>
            <w:vAlign w:val="center"/>
            <w:tcMar>
              <w:top w:w="80" w:type="dxa"/>
              <w:start w:w="80" w:type="dxa"/>
              <w:bottom w:w="80" w:type="dxa"/>
              <w:end w:w="80" w:type="dxa"/>
            </w:tcMar>
          </w:tcPr>
          <w:p>
            <w:r>
              <w:rPr>
                <w:sz w:val="15"/>
              </w:rPr>
              <w:t>ESG_z_t</w:t>
            </w:r>
          </w:p>
        </w:tc>
        <w:tc>
          <w:tcPr>
            <w:tcW w:type="dxa" w:w="1728"/>
            <w:vAlign w:val="center"/>
            <w:tcMar>
              <w:top w:w="80" w:type="dxa"/>
              <w:start w:w="80" w:type="dxa"/>
              <w:bottom w:w="80" w:type="dxa"/>
              <w:end w:w="80" w:type="dxa"/>
            </w:tcMar>
          </w:tcPr>
          <w:p>
            <w:r>
              <w:rPr>
                <w:sz w:val="15"/>
              </w:rPr>
              <w:t>-4.72</w:t>
            </w:r>
          </w:p>
        </w:tc>
        <w:tc>
          <w:tcPr>
            <w:tcW w:type="dxa" w:w="1440"/>
            <w:vAlign w:val="center"/>
            <w:tcMar>
              <w:top w:w="80" w:type="dxa"/>
              <w:start w:w="80" w:type="dxa"/>
              <w:bottom w:w="80" w:type="dxa"/>
              <w:end w:w="80" w:type="dxa"/>
            </w:tcMar>
          </w:tcPr>
          <w:p>
            <w:r>
              <w:rPr>
                <w:sz w:val="15"/>
              </w:rPr>
              <w:t>0.02794</w:t>
            </w:r>
          </w:p>
        </w:tc>
      </w:tr>
      <w:tr>
        <w:trPr>
          <w:cantSplit/>
        </w:trPr>
        <w:tc>
          <w:tcPr>
            <w:tcW w:type="dxa" w:w="1728"/>
            <w:vAlign w:val="center"/>
            <w:tcMar>
              <w:top w:w="80" w:type="dxa"/>
              <w:start w:w="80" w:type="dxa"/>
              <w:bottom w:w="80" w:type="dxa"/>
              <w:end w:w="80" w:type="dxa"/>
            </w:tcMar>
          </w:tcPr>
          <w:p>
            <w:r>
              <w:rPr>
                <w:sz w:val="15"/>
              </w:rPr>
              <w:t>trim</w:t>
            </w:r>
          </w:p>
        </w:tc>
        <w:tc>
          <w:tcPr>
            <w:tcW w:type="dxa" w:w="1584"/>
            <w:vAlign w:val="center"/>
            <w:tcMar>
              <w:top w:w="80" w:type="dxa"/>
              <w:start w:w="80" w:type="dxa"/>
              <w:bottom w:w="80" w:type="dxa"/>
              <w:end w:w="80" w:type="dxa"/>
            </w:tcMar>
          </w:tcPr>
          <w:p>
            <w:r>
              <w:rPr>
                <w:sz w:val="15"/>
              </w:rPr>
              <w:t>0.50%</w:t>
            </w:r>
          </w:p>
        </w:tc>
        <w:tc>
          <w:tcPr>
            <w:tcW w:type="dxa" w:w="2016"/>
            <w:vAlign w:val="center"/>
            <w:tcMar>
              <w:top w:w="80" w:type="dxa"/>
              <w:start w:w="80" w:type="dxa"/>
              <w:bottom w:w="80" w:type="dxa"/>
              <w:end w:w="80" w:type="dxa"/>
            </w:tcMar>
          </w:tcPr>
          <w:p>
            <w:r>
              <w:rPr>
                <w:sz w:val="15"/>
              </w:rPr>
              <w:t>IG_status</w:t>
            </w:r>
          </w:p>
        </w:tc>
        <w:tc>
          <w:tcPr>
            <w:tcW w:type="dxa" w:w="1728"/>
            <w:vAlign w:val="center"/>
            <w:tcMar>
              <w:top w:w="80" w:type="dxa"/>
              <w:start w:w="80" w:type="dxa"/>
              <w:bottom w:w="80" w:type="dxa"/>
              <w:end w:w="80" w:type="dxa"/>
            </w:tcMar>
          </w:tcPr>
          <w:p>
            <w:r>
              <w:rPr>
                <w:sz w:val="15"/>
              </w:rPr>
              <w:t>-52.36</w:t>
            </w:r>
          </w:p>
        </w:tc>
        <w:tc>
          <w:tcPr>
            <w:tcW w:type="dxa" w:w="1440"/>
            <w:vAlign w:val="center"/>
            <w:tcMar>
              <w:top w:w="80" w:type="dxa"/>
              <w:start w:w="80" w:type="dxa"/>
              <w:bottom w:w="80" w:type="dxa"/>
              <w:end w:w="80" w:type="dxa"/>
            </w:tcMar>
          </w:tcPr>
          <w:p>
            <w:r>
              <w:rPr>
                <w:sz w:val="15"/>
              </w:rPr>
              <w:t>0.0004418</w:t>
            </w:r>
          </w:p>
        </w:tc>
      </w:tr>
      <w:tr>
        <w:trPr>
          <w:cantSplit/>
        </w:trPr>
        <w:tc>
          <w:tcPr>
            <w:tcW w:type="dxa" w:w="1728"/>
            <w:vAlign w:val="center"/>
            <w:tcMar>
              <w:top w:w="80" w:type="dxa"/>
              <w:start w:w="80" w:type="dxa"/>
              <w:bottom w:w="80" w:type="dxa"/>
              <w:end w:w="80" w:type="dxa"/>
            </w:tcMar>
          </w:tcPr>
          <w:p>
            <w:r>
              <w:rPr>
                <w:sz w:val="15"/>
              </w:rPr>
              <w:t>winsorize</w:t>
            </w:r>
          </w:p>
        </w:tc>
        <w:tc>
          <w:tcPr>
            <w:tcW w:type="dxa" w:w="1584"/>
            <w:vAlign w:val="center"/>
            <w:tcMar>
              <w:top w:w="80" w:type="dxa"/>
              <w:start w:w="80" w:type="dxa"/>
              <w:bottom w:w="80" w:type="dxa"/>
              <w:end w:w="80" w:type="dxa"/>
            </w:tcMar>
          </w:tcPr>
          <w:p>
            <w:r>
              <w:rPr>
                <w:sz w:val="15"/>
              </w:rPr>
              <w:t>1.00%</w:t>
            </w:r>
          </w:p>
        </w:tc>
        <w:tc>
          <w:tcPr>
            <w:tcW w:type="dxa" w:w="2016"/>
            <w:vAlign w:val="center"/>
            <w:tcMar>
              <w:top w:w="80" w:type="dxa"/>
              <w:start w:w="80" w:type="dxa"/>
              <w:bottom w:w="80" w:type="dxa"/>
              <w:end w:w="80" w:type="dxa"/>
            </w:tcMar>
          </w:tcPr>
          <w:p>
            <w:r>
              <w:rPr>
                <w:sz w:val="15"/>
              </w:rPr>
              <w:t>Green</w:t>
            </w:r>
          </w:p>
        </w:tc>
        <w:tc>
          <w:tcPr>
            <w:tcW w:type="dxa" w:w="1728"/>
            <w:vAlign w:val="center"/>
            <w:tcMar>
              <w:top w:w="80" w:type="dxa"/>
              <w:start w:w="80" w:type="dxa"/>
              <w:bottom w:w="80" w:type="dxa"/>
              <w:end w:w="80" w:type="dxa"/>
            </w:tcMar>
          </w:tcPr>
          <w:p>
            <w:r>
              <w:rPr>
                <w:sz w:val="15"/>
              </w:rPr>
              <w:t>-6.65</w:t>
            </w:r>
          </w:p>
        </w:tc>
        <w:tc>
          <w:tcPr>
            <w:tcW w:type="dxa" w:w="1440"/>
            <w:vAlign w:val="center"/>
            <w:tcMar>
              <w:top w:w="80" w:type="dxa"/>
              <w:start w:w="80" w:type="dxa"/>
              <w:bottom w:w="80" w:type="dxa"/>
              <w:end w:w="80" w:type="dxa"/>
            </w:tcMar>
          </w:tcPr>
          <w:p>
            <w:r>
              <w:rPr>
                <w:sz w:val="15"/>
              </w:rPr>
              <w:t>0.36</w:t>
            </w:r>
          </w:p>
        </w:tc>
      </w:tr>
      <w:tr>
        <w:trPr>
          <w:cantSplit/>
        </w:trPr>
        <w:tc>
          <w:tcPr>
            <w:tcW w:type="dxa" w:w="1728"/>
            <w:vAlign w:val="center"/>
            <w:tcMar>
              <w:top w:w="80" w:type="dxa"/>
              <w:start w:w="80" w:type="dxa"/>
              <w:bottom w:w="80" w:type="dxa"/>
              <w:end w:w="80" w:type="dxa"/>
            </w:tcMar>
          </w:tcPr>
          <w:p>
            <w:r>
              <w:rPr>
                <w:sz w:val="15"/>
              </w:rPr>
              <w:t>winsorize</w:t>
            </w:r>
          </w:p>
        </w:tc>
        <w:tc>
          <w:tcPr>
            <w:tcW w:type="dxa" w:w="1584"/>
            <w:vAlign w:val="center"/>
            <w:tcMar>
              <w:top w:w="80" w:type="dxa"/>
              <w:start w:w="80" w:type="dxa"/>
              <w:bottom w:w="80" w:type="dxa"/>
              <w:end w:w="80" w:type="dxa"/>
            </w:tcMar>
          </w:tcPr>
          <w:p>
            <w:r>
              <w:rPr>
                <w:sz w:val="15"/>
              </w:rPr>
              <w:t>1.00%</w:t>
            </w:r>
          </w:p>
        </w:tc>
        <w:tc>
          <w:tcPr>
            <w:tcW w:type="dxa" w:w="2016"/>
            <w:vAlign w:val="center"/>
            <w:tcMar>
              <w:top w:w="80" w:type="dxa"/>
              <w:start w:w="80" w:type="dxa"/>
              <w:bottom w:w="80" w:type="dxa"/>
              <w:end w:w="80" w:type="dxa"/>
            </w:tcMar>
          </w:tcPr>
          <w:p>
            <w:r>
              <w:rPr>
                <w:sz w:val="15"/>
              </w:rPr>
              <w:t>ESG_z</w:t>
            </w:r>
          </w:p>
        </w:tc>
        <w:tc>
          <w:tcPr>
            <w:tcW w:type="dxa" w:w="1728"/>
            <w:vAlign w:val="center"/>
            <w:tcMar>
              <w:top w:w="80" w:type="dxa"/>
              <w:start w:w="80" w:type="dxa"/>
              <w:bottom w:w="80" w:type="dxa"/>
              <w:end w:w="80" w:type="dxa"/>
            </w:tcMar>
          </w:tcPr>
          <w:p>
            <w:r>
              <w:rPr>
                <w:sz w:val="15"/>
              </w:rPr>
              <w:t>-6.70</w:t>
            </w:r>
          </w:p>
        </w:tc>
        <w:tc>
          <w:tcPr>
            <w:tcW w:type="dxa" w:w="1440"/>
            <w:vAlign w:val="center"/>
            <w:tcMar>
              <w:top w:w="80" w:type="dxa"/>
              <w:start w:w="80" w:type="dxa"/>
              <w:bottom w:w="80" w:type="dxa"/>
              <w:end w:w="80" w:type="dxa"/>
            </w:tcMar>
          </w:tcPr>
          <w:p>
            <w:r>
              <w:rPr>
                <w:sz w:val="15"/>
              </w:rPr>
              <w:t>0.001139</w:t>
            </w:r>
          </w:p>
        </w:tc>
      </w:tr>
      <w:tr>
        <w:trPr>
          <w:cantSplit/>
        </w:trPr>
        <w:tc>
          <w:tcPr>
            <w:tcW w:type="dxa" w:w="1728"/>
            <w:vAlign w:val="center"/>
            <w:tcMar>
              <w:top w:w="80" w:type="dxa"/>
              <w:start w:w="80" w:type="dxa"/>
              <w:bottom w:w="80" w:type="dxa"/>
              <w:end w:w="80" w:type="dxa"/>
            </w:tcMar>
          </w:tcPr>
          <w:p>
            <w:r>
              <w:rPr>
                <w:sz w:val="15"/>
              </w:rPr>
              <w:t>winsorize</w:t>
            </w:r>
          </w:p>
        </w:tc>
        <w:tc>
          <w:tcPr>
            <w:tcW w:type="dxa" w:w="1584"/>
            <w:vAlign w:val="center"/>
            <w:tcMar>
              <w:top w:w="80" w:type="dxa"/>
              <w:start w:w="80" w:type="dxa"/>
              <w:bottom w:w="80" w:type="dxa"/>
              <w:end w:w="80" w:type="dxa"/>
            </w:tcMar>
          </w:tcPr>
          <w:p>
            <w:r>
              <w:rPr>
                <w:sz w:val="15"/>
              </w:rPr>
              <w:t>1.00%</w:t>
            </w:r>
          </w:p>
        </w:tc>
        <w:tc>
          <w:tcPr>
            <w:tcW w:type="dxa" w:w="2016"/>
            <w:vAlign w:val="center"/>
            <w:tcMar>
              <w:top w:w="80" w:type="dxa"/>
              <w:start w:w="80" w:type="dxa"/>
              <w:bottom w:w="80" w:type="dxa"/>
              <w:end w:w="80" w:type="dxa"/>
            </w:tcMar>
          </w:tcPr>
          <w:p>
            <w:r>
              <w:rPr>
                <w:sz w:val="15"/>
              </w:rPr>
              <w:t>IG_status</w:t>
            </w:r>
          </w:p>
        </w:tc>
        <w:tc>
          <w:tcPr>
            <w:tcW w:type="dxa" w:w="1728"/>
            <w:vAlign w:val="center"/>
            <w:tcMar>
              <w:top w:w="80" w:type="dxa"/>
              <w:start w:w="80" w:type="dxa"/>
              <w:bottom w:w="80" w:type="dxa"/>
              <w:end w:w="80" w:type="dxa"/>
            </w:tcMar>
          </w:tcPr>
          <w:p>
            <w:r>
              <w:rPr>
                <w:sz w:val="15"/>
              </w:rPr>
              <w:t>-74.00</w:t>
            </w:r>
          </w:p>
        </w:tc>
        <w:tc>
          <w:tcPr>
            <w:tcW w:type="dxa" w:w="1440"/>
            <w:vAlign w:val="center"/>
            <w:tcMar>
              <w:top w:w="80" w:type="dxa"/>
              <w:start w:w="80" w:type="dxa"/>
              <w:bottom w:w="80" w:type="dxa"/>
              <w:end w:w="80" w:type="dxa"/>
            </w:tcMar>
          </w:tcPr>
          <w:p>
            <w:r>
              <w:rPr>
                <w:sz w:val="15"/>
              </w:rPr>
              <w:t>5.275e-05</w:t>
            </w:r>
          </w:p>
        </w:tc>
      </w:tr>
      <w:tr>
        <w:trPr>
          <w:cantSplit/>
        </w:trPr>
        <w:tc>
          <w:tcPr>
            <w:tcW w:type="dxa" w:w="1728"/>
            <w:vAlign w:val="center"/>
            <w:tcMar>
              <w:top w:w="80" w:type="dxa"/>
              <w:start w:w="80" w:type="dxa"/>
              <w:bottom w:w="80" w:type="dxa"/>
              <w:end w:w="80" w:type="dxa"/>
            </w:tcMar>
          </w:tcPr>
          <w:p>
            <w:r>
              <w:rPr>
                <w:sz w:val="15"/>
              </w:rPr>
              <w:t>trim</w:t>
            </w:r>
          </w:p>
        </w:tc>
        <w:tc>
          <w:tcPr>
            <w:tcW w:type="dxa" w:w="1584"/>
            <w:vAlign w:val="center"/>
            <w:tcMar>
              <w:top w:w="80" w:type="dxa"/>
              <w:start w:w="80" w:type="dxa"/>
              <w:bottom w:w="80" w:type="dxa"/>
              <w:end w:w="80" w:type="dxa"/>
            </w:tcMar>
          </w:tcPr>
          <w:p>
            <w:r>
              <w:rPr>
                <w:sz w:val="15"/>
              </w:rPr>
              <w:t>1.00%</w:t>
            </w:r>
          </w:p>
        </w:tc>
        <w:tc>
          <w:tcPr>
            <w:tcW w:type="dxa" w:w="2016"/>
            <w:vAlign w:val="center"/>
            <w:tcMar>
              <w:top w:w="80" w:type="dxa"/>
              <w:start w:w="80" w:type="dxa"/>
              <w:bottom w:w="80" w:type="dxa"/>
              <w:end w:w="80" w:type="dxa"/>
            </w:tcMar>
          </w:tcPr>
          <w:p>
            <w:r>
              <w:rPr>
                <w:sz w:val="15"/>
              </w:rPr>
              <w:t>Green</w:t>
            </w:r>
          </w:p>
        </w:tc>
        <w:tc>
          <w:tcPr>
            <w:tcW w:type="dxa" w:w="1728"/>
            <w:vAlign w:val="center"/>
            <w:tcMar>
              <w:top w:w="80" w:type="dxa"/>
              <w:start w:w="80" w:type="dxa"/>
              <w:bottom w:w="80" w:type="dxa"/>
              <w:end w:w="80" w:type="dxa"/>
            </w:tcMar>
          </w:tcPr>
          <w:p>
            <w:r>
              <w:rPr>
                <w:sz w:val="15"/>
              </w:rPr>
              <w:t>-1.41</w:t>
            </w:r>
          </w:p>
        </w:tc>
        <w:tc>
          <w:tcPr>
            <w:tcW w:type="dxa" w:w="1440"/>
            <w:vAlign w:val="center"/>
            <w:tcMar>
              <w:top w:w="80" w:type="dxa"/>
              <w:start w:w="80" w:type="dxa"/>
              <w:bottom w:w="80" w:type="dxa"/>
              <w:end w:w="80" w:type="dxa"/>
            </w:tcMar>
          </w:tcPr>
          <w:p>
            <w:r>
              <w:rPr>
                <w:sz w:val="15"/>
              </w:rPr>
              <w:t>0.7916</w:t>
            </w:r>
          </w:p>
        </w:tc>
      </w:tr>
      <w:tr>
        <w:trPr>
          <w:cantSplit/>
        </w:trPr>
        <w:tc>
          <w:tcPr>
            <w:tcW w:type="dxa" w:w="1728"/>
            <w:vAlign w:val="center"/>
            <w:tcMar>
              <w:top w:w="80" w:type="dxa"/>
              <w:start w:w="80" w:type="dxa"/>
              <w:bottom w:w="80" w:type="dxa"/>
              <w:end w:w="80" w:type="dxa"/>
            </w:tcMar>
          </w:tcPr>
          <w:p>
            <w:r>
              <w:rPr>
                <w:sz w:val="15"/>
              </w:rPr>
              <w:t>trim</w:t>
            </w:r>
          </w:p>
        </w:tc>
        <w:tc>
          <w:tcPr>
            <w:tcW w:type="dxa" w:w="1584"/>
            <w:vAlign w:val="center"/>
            <w:tcMar>
              <w:top w:w="80" w:type="dxa"/>
              <w:start w:w="80" w:type="dxa"/>
              <w:bottom w:w="80" w:type="dxa"/>
              <w:end w:w="80" w:type="dxa"/>
            </w:tcMar>
          </w:tcPr>
          <w:p>
            <w:r>
              <w:rPr>
                <w:sz w:val="15"/>
              </w:rPr>
              <w:t>1.00%</w:t>
            </w:r>
          </w:p>
        </w:tc>
        <w:tc>
          <w:tcPr>
            <w:tcW w:type="dxa" w:w="2016"/>
            <w:vAlign w:val="center"/>
            <w:tcMar>
              <w:top w:w="80" w:type="dxa"/>
              <w:start w:w="80" w:type="dxa"/>
              <w:bottom w:w="80" w:type="dxa"/>
              <w:end w:w="80" w:type="dxa"/>
            </w:tcMar>
          </w:tcPr>
          <w:p>
            <w:r>
              <w:rPr>
                <w:sz w:val="15"/>
              </w:rPr>
              <w:t>ESG_z_t</w:t>
            </w:r>
          </w:p>
        </w:tc>
        <w:tc>
          <w:tcPr>
            <w:tcW w:type="dxa" w:w="1728"/>
            <w:vAlign w:val="center"/>
            <w:tcMar>
              <w:top w:w="80" w:type="dxa"/>
              <w:start w:w="80" w:type="dxa"/>
              <w:bottom w:w="80" w:type="dxa"/>
              <w:end w:w="80" w:type="dxa"/>
            </w:tcMar>
          </w:tcPr>
          <w:p>
            <w:r>
              <w:rPr>
                <w:sz w:val="15"/>
              </w:rPr>
              <w:t>-4.09</w:t>
            </w:r>
          </w:p>
        </w:tc>
        <w:tc>
          <w:tcPr>
            <w:tcW w:type="dxa" w:w="1440"/>
            <w:vAlign w:val="center"/>
            <w:tcMar>
              <w:top w:w="80" w:type="dxa"/>
              <w:start w:w="80" w:type="dxa"/>
              <w:bottom w:w="80" w:type="dxa"/>
              <w:end w:w="80" w:type="dxa"/>
            </w:tcMar>
          </w:tcPr>
          <w:p>
            <w:r>
              <w:rPr>
                <w:sz w:val="15"/>
              </w:rPr>
              <w:t>0.04464</w:t>
            </w:r>
          </w:p>
        </w:tc>
      </w:tr>
      <w:tr>
        <w:trPr>
          <w:cantSplit/>
        </w:trPr>
        <w:tc>
          <w:tcPr>
            <w:tcW w:type="dxa" w:w="1728"/>
            <w:vAlign w:val="center"/>
            <w:tcMar>
              <w:top w:w="80" w:type="dxa"/>
              <w:start w:w="80" w:type="dxa"/>
              <w:bottom w:w="80" w:type="dxa"/>
              <w:end w:w="80" w:type="dxa"/>
            </w:tcMar>
          </w:tcPr>
          <w:p>
            <w:r>
              <w:rPr>
                <w:sz w:val="15"/>
              </w:rPr>
              <w:t>trim</w:t>
            </w:r>
          </w:p>
        </w:tc>
        <w:tc>
          <w:tcPr>
            <w:tcW w:type="dxa" w:w="1584"/>
            <w:vAlign w:val="center"/>
            <w:tcMar>
              <w:top w:w="80" w:type="dxa"/>
              <w:start w:w="80" w:type="dxa"/>
              <w:bottom w:w="80" w:type="dxa"/>
              <w:end w:w="80" w:type="dxa"/>
            </w:tcMar>
          </w:tcPr>
          <w:p>
            <w:r>
              <w:rPr>
                <w:sz w:val="15"/>
              </w:rPr>
              <w:t>1.00%</w:t>
            </w:r>
          </w:p>
        </w:tc>
        <w:tc>
          <w:tcPr>
            <w:tcW w:type="dxa" w:w="2016"/>
            <w:vAlign w:val="center"/>
            <w:tcMar>
              <w:top w:w="80" w:type="dxa"/>
              <w:start w:w="80" w:type="dxa"/>
              <w:bottom w:w="80" w:type="dxa"/>
              <w:end w:w="80" w:type="dxa"/>
            </w:tcMar>
          </w:tcPr>
          <w:p>
            <w:r>
              <w:rPr>
                <w:sz w:val="15"/>
              </w:rPr>
              <w:t>IG_status</w:t>
            </w:r>
          </w:p>
        </w:tc>
        <w:tc>
          <w:tcPr>
            <w:tcW w:type="dxa" w:w="1728"/>
            <w:vAlign w:val="center"/>
            <w:tcMar>
              <w:top w:w="80" w:type="dxa"/>
              <w:start w:w="80" w:type="dxa"/>
              <w:bottom w:w="80" w:type="dxa"/>
              <w:end w:w="80" w:type="dxa"/>
            </w:tcMar>
          </w:tcPr>
          <w:p>
            <w:r>
              <w:rPr>
                <w:sz w:val="15"/>
              </w:rPr>
              <w:t>-48.56</w:t>
            </w:r>
          </w:p>
        </w:tc>
        <w:tc>
          <w:tcPr>
            <w:tcW w:type="dxa" w:w="1440"/>
            <w:vAlign w:val="center"/>
            <w:tcMar>
              <w:top w:w="80" w:type="dxa"/>
              <w:start w:w="80" w:type="dxa"/>
              <w:bottom w:w="80" w:type="dxa"/>
              <w:end w:w="80" w:type="dxa"/>
            </w:tcMar>
          </w:tcPr>
          <w:p>
            <w:r>
              <w:rPr>
                <w:sz w:val="15"/>
              </w:rPr>
              <w:t>0.000337</w:t>
            </w:r>
          </w:p>
        </w:tc>
      </w:tr>
    </w:tbl>
    <w:p>
      <w:pPr>
        <w:spacing w:after="40"/>
      </w:pPr>
    </w:p>
    <w:p>
      <w:pPr>
        <w:pStyle w:val="Heading2"/>
        <w:keepNext/>
      </w:pPr>
      <w:r>
        <w:t>13.2 Exact-notch rating sensitivity</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3168"/>
            <w:shd w:fill="D9EAF7"/>
            <w:vAlign w:val="center"/>
          </w:tcPr>
          <w:p>
            <w:pPr>
              <w:jc w:val="center"/>
            </w:pPr>
            <w:r>
              <w:rPr>
                <w:b/>
                <w:sz w:val="16"/>
              </w:rPr>
              <w:t>Model</w:t>
            </w:r>
          </w:p>
        </w:tc>
        <w:tc>
          <w:tcPr>
            <w:tcW w:type="dxa" w:w="2016"/>
            <w:shd w:fill="D9EAF7"/>
            <w:vAlign w:val="center"/>
          </w:tcPr>
          <w:p>
            <w:pPr>
              <w:jc w:val="center"/>
            </w:pPr>
            <w:r>
              <w:rPr>
                <w:b/>
                <w:sz w:val="16"/>
              </w:rPr>
              <w:t>Variable</w:t>
            </w:r>
          </w:p>
        </w:tc>
        <w:tc>
          <w:tcPr>
            <w:tcW w:type="dxa" w:w="1728"/>
            <w:shd w:fill="D9EAF7"/>
            <w:vAlign w:val="center"/>
          </w:tcPr>
          <w:p>
            <w:pPr>
              <w:jc w:val="center"/>
            </w:pPr>
            <w:r>
              <w:rPr>
                <w:b/>
                <w:sz w:val="16"/>
              </w:rPr>
              <w:t>Estimate (bps)</w:t>
            </w:r>
          </w:p>
        </w:tc>
        <w:tc>
          <w:tcPr>
            <w:tcW w:type="dxa" w:w="1440"/>
            <w:shd w:fill="D9EAF7"/>
            <w:vAlign w:val="center"/>
          </w:tcPr>
          <w:p>
            <w:pPr>
              <w:jc w:val="center"/>
            </w:pPr>
            <w:r>
              <w:rPr>
                <w:b/>
                <w:sz w:val="16"/>
              </w:rPr>
              <w:t>p</w:t>
            </w:r>
          </w:p>
        </w:tc>
      </w:tr>
      <w:tr>
        <w:trPr>
          <w:cantSplit/>
        </w:trPr>
        <w:tc>
          <w:tcPr>
            <w:tcW w:type="dxa" w:w="3168"/>
            <w:vAlign w:val="center"/>
            <w:tcMar>
              <w:top w:w="80" w:type="dxa"/>
              <w:start w:w="80" w:type="dxa"/>
              <w:bottom w:w="80" w:type="dxa"/>
              <w:end w:w="80" w:type="dxa"/>
            </w:tcMar>
          </w:tcPr>
          <w:p>
            <w:r>
              <w:rPr>
                <w:sz w:val="16"/>
              </w:rPr>
              <w:t>Exact-notch OLS</w:t>
            </w:r>
          </w:p>
        </w:tc>
        <w:tc>
          <w:tcPr>
            <w:tcW w:type="dxa" w:w="2016"/>
            <w:vAlign w:val="center"/>
            <w:tcMar>
              <w:top w:w="80" w:type="dxa"/>
              <w:start w:w="80" w:type="dxa"/>
              <w:bottom w:w="80" w:type="dxa"/>
              <w:end w:w="80" w:type="dxa"/>
            </w:tcMar>
          </w:tcPr>
          <w:p>
            <w:r>
              <w:rPr>
                <w:sz w:val="16"/>
              </w:rPr>
              <w:t>Green</w:t>
            </w:r>
          </w:p>
        </w:tc>
        <w:tc>
          <w:tcPr>
            <w:tcW w:type="dxa" w:w="1728"/>
            <w:vAlign w:val="center"/>
            <w:tcMar>
              <w:top w:w="80" w:type="dxa"/>
              <w:start w:w="80" w:type="dxa"/>
              <w:bottom w:w="80" w:type="dxa"/>
              <w:end w:w="80" w:type="dxa"/>
            </w:tcMar>
          </w:tcPr>
          <w:p>
            <w:r>
              <w:rPr>
                <w:sz w:val="16"/>
              </w:rPr>
              <w:t>27.17</w:t>
            </w:r>
          </w:p>
        </w:tc>
        <w:tc>
          <w:tcPr>
            <w:tcW w:type="dxa" w:w="1440"/>
            <w:vAlign w:val="center"/>
            <w:tcMar>
              <w:top w:w="80" w:type="dxa"/>
              <w:start w:w="80" w:type="dxa"/>
              <w:bottom w:w="80" w:type="dxa"/>
              <w:end w:w="80" w:type="dxa"/>
            </w:tcMar>
          </w:tcPr>
          <w:p>
            <w:r>
              <w:rPr>
                <w:sz w:val="16"/>
              </w:rPr>
              <w:t>0.2993</w:t>
            </w:r>
          </w:p>
        </w:tc>
      </w:tr>
      <w:tr>
        <w:trPr>
          <w:cantSplit/>
        </w:trPr>
        <w:tc>
          <w:tcPr>
            <w:tcW w:type="dxa" w:w="3168"/>
            <w:vAlign w:val="center"/>
            <w:tcMar>
              <w:top w:w="80" w:type="dxa"/>
              <w:start w:w="80" w:type="dxa"/>
              <w:bottom w:w="80" w:type="dxa"/>
              <w:end w:w="80" w:type="dxa"/>
            </w:tcMar>
          </w:tcPr>
          <w:p>
            <w:r>
              <w:rPr>
                <w:sz w:val="16"/>
              </w:rPr>
              <w:t>Exact-notch OLS</w:t>
            </w:r>
          </w:p>
        </w:tc>
        <w:tc>
          <w:tcPr>
            <w:tcW w:type="dxa" w:w="2016"/>
            <w:vAlign w:val="center"/>
            <w:tcMar>
              <w:top w:w="80" w:type="dxa"/>
              <w:start w:w="80" w:type="dxa"/>
              <w:bottom w:w="80" w:type="dxa"/>
              <w:end w:w="80" w:type="dxa"/>
            </w:tcMar>
          </w:tcPr>
          <w:p>
            <w:r>
              <w:rPr>
                <w:sz w:val="16"/>
              </w:rPr>
              <w:t>ESG_z</w:t>
            </w:r>
          </w:p>
        </w:tc>
        <w:tc>
          <w:tcPr>
            <w:tcW w:type="dxa" w:w="1728"/>
            <w:vAlign w:val="center"/>
            <w:tcMar>
              <w:top w:w="80" w:type="dxa"/>
              <w:start w:w="80" w:type="dxa"/>
              <w:bottom w:w="80" w:type="dxa"/>
              <w:end w:w="80" w:type="dxa"/>
            </w:tcMar>
          </w:tcPr>
          <w:p>
            <w:r>
              <w:rPr>
                <w:sz w:val="16"/>
              </w:rPr>
              <w:t>-19.43</w:t>
            </w:r>
          </w:p>
        </w:tc>
        <w:tc>
          <w:tcPr>
            <w:tcW w:type="dxa" w:w="1440"/>
            <w:vAlign w:val="center"/>
            <w:tcMar>
              <w:top w:w="80" w:type="dxa"/>
              <w:start w:w="80" w:type="dxa"/>
              <w:bottom w:w="80" w:type="dxa"/>
              <w:end w:w="80" w:type="dxa"/>
            </w:tcMar>
          </w:tcPr>
          <w:p>
            <w:r>
              <w:rPr>
                <w:sz w:val="16"/>
              </w:rPr>
              <w:t>0.3790</w:t>
            </w:r>
          </w:p>
        </w:tc>
      </w:tr>
      <w:tr>
        <w:trPr>
          <w:cantSplit/>
        </w:trPr>
        <w:tc>
          <w:tcPr>
            <w:tcW w:type="dxa" w:w="3168"/>
            <w:vAlign w:val="center"/>
            <w:tcMar>
              <w:top w:w="80" w:type="dxa"/>
              <w:start w:w="80" w:type="dxa"/>
              <w:bottom w:w="80" w:type="dxa"/>
              <w:end w:w="80" w:type="dxa"/>
            </w:tcMar>
          </w:tcPr>
          <w:p>
            <w:r>
              <w:rPr>
                <w:sz w:val="16"/>
              </w:rPr>
              <w:t>Exact-notch OLS</w:t>
            </w:r>
          </w:p>
        </w:tc>
        <w:tc>
          <w:tcPr>
            <w:tcW w:type="dxa" w:w="2016"/>
            <w:vAlign w:val="center"/>
            <w:tcMar>
              <w:top w:w="80" w:type="dxa"/>
              <w:start w:w="80" w:type="dxa"/>
              <w:bottom w:w="80" w:type="dxa"/>
              <w:end w:w="80" w:type="dxa"/>
            </w:tcMar>
          </w:tcPr>
          <w:p>
            <w:r>
              <w:rPr>
                <w:sz w:val="16"/>
              </w:rPr>
              <w:t>Rating_z</w:t>
            </w:r>
          </w:p>
        </w:tc>
        <w:tc>
          <w:tcPr>
            <w:tcW w:type="dxa" w:w="1728"/>
            <w:vAlign w:val="center"/>
            <w:tcMar>
              <w:top w:w="80" w:type="dxa"/>
              <w:start w:w="80" w:type="dxa"/>
              <w:bottom w:w="80" w:type="dxa"/>
              <w:end w:w="80" w:type="dxa"/>
            </w:tcMar>
          </w:tcPr>
          <w:p>
            <w:r>
              <w:rPr>
                <w:sz w:val="16"/>
              </w:rPr>
              <w:t>72.35</w:t>
            </w:r>
          </w:p>
        </w:tc>
        <w:tc>
          <w:tcPr>
            <w:tcW w:type="dxa" w:w="1440"/>
            <w:vAlign w:val="center"/>
            <w:tcMar>
              <w:top w:w="80" w:type="dxa"/>
              <w:start w:w="80" w:type="dxa"/>
              <w:bottom w:w="80" w:type="dxa"/>
              <w:end w:w="80" w:type="dxa"/>
            </w:tcMar>
          </w:tcPr>
          <w:p>
            <w:r>
              <w:rPr>
                <w:sz w:val="16"/>
              </w:rPr>
              <w:t>0.3420</w:t>
            </w:r>
          </w:p>
        </w:tc>
      </w:tr>
      <w:tr>
        <w:trPr>
          <w:cantSplit/>
        </w:trPr>
        <w:tc>
          <w:tcPr>
            <w:tcW w:type="dxa" w:w="3168"/>
            <w:vAlign w:val="center"/>
            <w:tcMar>
              <w:top w:w="80" w:type="dxa"/>
              <w:start w:w="80" w:type="dxa"/>
              <w:bottom w:w="80" w:type="dxa"/>
              <w:end w:w="80" w:type="dxa"/>
            </w:tcMar>
          </w:tcPr>
          <w:p>
            <w:r>
              <w:rPr>
                <w:sz w:val="16"/>
              </w:rPr>
              <w:t>Exact-notch robust</w:t>
            </w:r>
          </w:p>
        </w:tc>
        <w:tc>
          <w:tcPr>
            <w:tcW w:type="dxa" w:w="2016"/>
            <w:vAlign w:val="center"/>
            <w:tcMar>
              <w:top w:w="80" w:type="dxa"/>
              <w:start w:w="80" w:type="dxa"/>
              <w:bottom w:w="80" w:type="dxa"/>
              <w:end w:w="80" w:type="dxa"/>
            </w:tcMar>
          </w:tcPr>
          <w:p>
            <w:r>
              <w:rPr>
                <w:sz w:val="16"/>
              </w:rPr>
              <w:t>Green</w:t>
            </w:r>
          </w:p>
        </w:tc>
        <w:tc>
          <w:tcPr>
            <w:tcW w:type="dxa" w:w="1728"/>
            <w:vAlign w:val="center"/>
            <w:tcMar>
              <w:top w:w="80" w:type="dxa"/>
              <w:start w:w="80" w:type="dxa"/>
              <w:bottom w:w="80" w:type="dxa"/>
              <w:end w:w="80" w:type="dxa"/>
            </w:tcMar>
          </w:tcPr>
          <w:p>
            <w:r>
              <w:rPr>
                <w:sz w:val="16"/>
              </w:rPr>
              <w:t>10.95</w:t>
            </w:r>
          </w:p>
        </w:tc>
        <w:tc>
          <w:tcPr>
            <w:tcW w:type="dxa" w:w="1440"/>
            <w:vAlign w:val="center"/>
            <w:tcMar>
              <w:top w:w="80" w:type="dxa"/>
              <w:start w:w="80" w:type="dxa"/>
              <w:bottom w:w="80" w:type="dxa"/>
              <w:end w:w="80" w:type="dxa"/>
            </w:tcMar>
          </w:tcPr>
          <w:p>
            <w:r>
              <w:rPr>
                <w:sz w:val="16"/>
              </w:rPr>
              <w:t>0.1734</w:t>
            </w:r>
          </w:p>
        </w:tc>
      </w:tr>
      <w:tr>
        <w:trPr>
          <w:cantSplit/>
        </w:trPr>
        <w:tc>
          <w:tcPr>
            <w:tcW w:type="dxa" w:w="3168"/>
            <w:vAlign w:val="center"/>
            <w:tcMar>
              <w:top w:w="80" w:type="dxa"/>
              <w:start w:w="80" w:type="dxa"/>
              <w:bottom w:w="80" w:type="dxa"/>
              <w:end w:w="80" w:type="dxa"/>
            </w:tcMar>
          </w:tcPr>
          <w:p>
            <w:r>
              <w:rPr>
                <w:sz w:val="16"/>
              </w:rPr>
              <w:t>Exact-notch robust</w:t>
            </w:r>
          </w:p>
        </w:tc>
        <w:tc>
          <w:tcPr>
            <w:tcW w:type="dxa" w:w="2016"/>
            <w:vAlign w:val="center"/>
            <w:tcMar>
              <w:top w:w="80" w:type="dxa"/>
              <w:start w:w="80" w:type="dxa"/>
              <w:bottom w:w="80" w:type="dxa"/>
              <w:end w:w="80" w:type="dxa"/>
            </w:tcMar>
          </w:tcPr>
          <w:p>
            <w:r>
              <w:rPr>
                <w:sz w:val="16"/>
              </w:rPr>
              <w:t>ESG_z</w:t>
            </w:r>
          </w:p>
        </w:tc>
        <w:tc>
          <w:tcPr>
            <w:tcW w:type="dxa" w:w="1728"/>
            <w:vAlign w:val="center"/>
            <w:tcMar>
              <w:top w:w="80" w:type="dxa"/>
              <w:start w:w="80" w:type="dxa"/>
              <w:bottom w:w="80" w:type="dxa"/>
              <w:end w:w="80" w:type="dxa"/>
            </w:tcMar>
          </w:tcPr>
          <w:p>
            <w:r>
              <w:rPr>
                <w:sz w:val="16"/>
              </w:rPr>
              <w:t>1.23</w:t>
            </w:r>
          </w:p>
        </w:tc>
        <w:tc>
          <w:tcPr>
            <w:tcW w:type="dxa" w:w="1440"/>
            <w:vAlign w:val="center"/>
            <w:tcMar>
              <w:top w:w="80" w:type="dxa"/>
              <w:start w:w="80" w:type="dxa"/>
              <w:bottom w:w="80" w:type="dxa"/>
              <w:end w:w="80" w:type="dxa"/>
            </w:tcMar>
          </w:tcPr>
          <w:p>
            <w:r>
              <w:rPr>
                <w:sz w:val="16"/>
              </w:rPr>
              <w:t>0.7641</w:t>
            </w:r>
          </w:p>
        </w:tc>
      </w:tr>
      <w:tr>
        <w:trPr>
          <w:cantSplit/>
        </w:trPr>
        <w:tc>
          <w:tcPr>
            <w:tcW w:type="dxa" w:w="3168"/>
            <w:vAlign w:val="center"/>
            <w:tcMar>
              <w:top w:w="80" w:type="dxa"/>
              <w:start w:w="80" w:type="dxa"/>
              <w:bottom w:w="80" w:type="dxa"/>
              <w:end w:w="80" w:type="dxa"/>
            </w:tcMar>
          </w:tcPr>
          <w:p>
            <w:r>
              <w:rPr>
                <w:sz w:val="16"/>
              </w:rPr>
              <w:t>Exact-notch robust</w:t>
            </w:r>
          </w:p>
        </w:tc>
        <w:tc>
          <w:tcPr>
            <w:tcW w:type="dxa" w:w="2016"/>
            <w:vAlign w:val="center"/>
            <w:tcMar>
              <w:top w:w="80" w:type="dxa"/>
              <w:start w:w="80" w:type="dxa"/>
              <w:bottom w:w="80" w:type="dxa"/>
              <w:end w:w="80" w:type="dxa"/>
            </w:tcMar>
          </w:tcPr>
          <w:p>
            <w:r>
              <w:rPr>
                <w:sz w:val="16"/>
              </w:rPr>
              <w:t>Rating_z</w:t>
            </w:r>
          </w:p>
        </w:tc>
        <w:tc>
          <w:tcPr>
            <w:tcW w:type="dxa" w:w="1728"/>
            <w:vAlign w:val="center"/>
            <w:tcMar>
              <w:top w:w="80" w:type="dxa"/>
              <w:start w:w="80" w:type="dxa"/>
              <w:bottom w:w="80" w:type="dxa"/>
              <w:end w:w="80" w:type="dxa"/>
            </w:tcMar>
          </w:tcPr>
          <w:p>
            <w:r>
              <w:rPr>
                <w:sz w:val="16"/>
              </w:rPr>
              <w:t>2.01</w:t>
            </w:r>
          </w:p>
        </w:tc>
        <w:tc>
          <w:tcPr>
            <w:tcW w:type="dxa" w:w="1440"/>
            <w:vAlign w:val="center"/>
            <w:tcMar>
              <w:top w:w="80" w:type="dxa"/>
              <w:start w:w="80" w:type="dxa"/>
              <w:bottom w:w="80" w:type="dxa"/>
              <w:end w:w="80" w:type="dxa"/>
            </w:tcMar>
          </w:tcPr>
          <w:p>
            <w:r>
              <w:rPr>
                <w:sz w:val="16"/>
              </w:rPr>
              <w:t>0.6992</w:t>
            </w:r>
          </w:p>
        </w:tc>
      </w:tr>
    </w:tbl>
    <w:p>
      <w:pPr>
        <w:spacing w:after="40"/>
      </w:pPr>
    </w:p>
    <w:p>
      <w:r>
        <w:t>The exact-notch sensitivity does not show a significant linear notch effect. Therefore the defensible conclusion is about broad investment-grade classification, not a precise per-notch causal slope.</w:t>
      </w:r>
    </w:p>
    <w:p>
      <w:pPr>
        <w:pStyle w:val="Heading1"/>
        <w:keepNext/>
      </w:pPr>
      <w:r>
        <w:t>14. Final hypothesis status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864"/>
            <w:shd w:fill="D9EAF7"/>
            <w:vAlign w:val="center"/>
          </w:tcPr>
          <w:p>
            <w:pPr>
              <w:jc w:val="center"/>
            </w:pPr>
            <w:r>
              <w:rPr>
                <w:b/>
                <w:sz w:val="15"/>
              </w:rPr>
              <w:t>Hypothesis</w:t>
            </w:r>
          </w:p>
        </w:tc>
        <w:tc>
          <w:tcPr>
            <w:tcW w:type="dxa" w:w="3168"/>
            <w:shd w:fill="D9EAF7"/>
            <w:vAlign w:val="center"/>
          </w:tcPr>
          <w:p>
            <w:pPr>
              <w:jc w:val="center"/>
            </w:pPr>
            <w:r>
              <w:rPr>
                <w:b/>
                <w:sz w:val="15"/>
              </w:rPr>
              <w:t>Statement</w:t>
            </w:r>
          </w:p>
        </w:tc>
        <w:tc>
          <w:tcPr>
            <w:tcW w:type="dxa" w:w="2160"/>
            <w:shd w:fill="D9EAF7"/>
            <w:vAlign w:val="center"/>
          </w:tcPr>
          <w:p>
            <w:pPr>
              <w:jc w:val="center"/>
            </w:pPr>
            <w:r>
              <w:rPr>
                <w:b/>
                <w:sz w:val="15"/>
              </w:rPr>
              <w:t>Status</w:t>
            </w:r>
          </w:p>
        </w:tc>
        <w:tc>
          <w:tcPr>
            <w:tcW w:type="dxa" w:w="4320"/>
            <w:shd w:fill="D9EAF7"/>
            <w:vAlign w:val="center"/>
          </w:tcPr>
          <w:p>
            <w:pPr>
              <w:jc w:val="center"/>
            </w:pPr>
            <w:r>
              <w:rPr>
                <w:b/>
                <w:sz w:val="15"/>
              </w:rPr>
              <w:t>Evidence</w:t>
            </w:r>
          </w:p>
        </w:tc>
      </w:tr>
      <w:tr>
        <w:trPr>
          <w:cantSplit/>
        </w:trPr>
        <w:tc>
          <w:tcPr>
            <w:tcW w:type="dxa" w:w="864"/>
            <w:vAlign w:val="center"/>
            <w:tcMar>
              <w:top w:w="80" w:type="dxa"/>
              <w:start w:w="80" w:type="dxa"/>
              <w:bottom w:w="80" w:type="dxa"/>
              <w:end w:w="80" w:type="dxa"/>
            </w:tcMar>
          </w:tcPr>
          <w:p>
            <w:r>
              <w:rPr>
                <w:sz w:val="15"/>
              </w:rPr>
              <w:t>H1</w:t>
            </w:r>
          </w:p>
        </w:tc>
        <w:tc>
          <w:tcPr>
            <w:tcW w:type="dxa" w:w="3168"/>
            <w:vAlign w:val="center"/>
            <w:tcMar>
              <w:top w:w="80" w:type="dxa"/>
              <w:start w:w="80" w:type="dxa"/>
              <w:bottom w:w="80" w:type="dxa"/>
              <w:end w:w="80" w:type="dxa"/>
            </w:tcMar>
          </w:tcPr>
          <w:p>
            <w:r>
              <w:rPr>
                <w:sz w:val="15"/>
              </w:rPr>
              <w:t>Green bonds have lower YTM after controls</w:t>
            </w:r>
          </w:p>
        </w:tc>
        <w:tc>
          <w:tcPr>
            <w:tcW w:type="dxa" w:w="2160"/>
            <w:vAlign w:val="center"/>
            <w:tcMar>
              <w:top w:w="80" w:type="dxa"/>
              <w:start w:w="80" w:type="dxa"/>
              <w:bottom w:w="80" w:type="dxa"/>
              <w:end w:w="80" w:type="dxa"/>
            </w:tcMar>
          </w:tcPr>
          <w:p>
            <w:r>
              <w:rPr>
                <w:sz w:val="15"/>
              </w:rPr>
              <w:t>Not supported</w:t>
            </w:r>
          </w:p>
        </w:tc>
        <w:tc>
          <w:tcPr>
            <w:tcW w:type="dxa" w:w="4320"/>
            <w:vAlign w:val="center"/>
            <w:tcMar>
              <w:top w:w="80" w:type="dxa"/>
              <w:start w:w="80" w:type="dxa"/>
              <w:bottom w:w="80" w:type="dxa"/>
              <w:end w:w="80" w:type="dxa"/>
            </w:tcMar>
          </w:tcPr>
          <w:p>
            <w:r>
              <w:rPr>
                <w:sz w:val="15"/>
              </w:rPr>
              <w:t>Green +1.81 bps; p = 0.6555; bootstrap CI crosses zero</w:t>
            </w:r>
          </w:p>
        </w:tc>
      </w:tr>
      <w:tr>
        <w:trPr>
          <w:cantSplit/>
        </w:trPr>
        <w:tc>
          <w:tcPr>
            <w:tcW w:type="dxa" w:w="864"/>
            <w:vAlign w:val="center"/>
            <w:tcMar>
              <w:top w:w="80" w:type="dxa"/>
              <w:start w:w="80" w:type="dxa"/>
              <w:bottom w:w="80" w:type="dxa"/>
              <w:end w:w="80" w:type="dxa"/>
            </w:tcMar>
          </w:tcPr>
          <w:p>
            <w:r>
              <w:rPr>
                <w:sz w:val="15"/>
              </w:rPr>
              <w:t>H2</w:t>
            </w:r>
          </w:p>
        </w:tc>
        <w:tc>
          <w:tcPr>
            <w:tcW w:type="dxa" w:w="3168"/>
            <w:vAlign w:val="center"/>
            <w:tcMar>
              <w:top w:w="80" w:type="dxa"/>
              <w:start w:w="80" w:type="dxa"/>
              <w:bottom w:w="80" w:type="dxa"/>
              <w:end w:w="80" w:type="dxa"/>
            </w:tcMar>
          </w:tcPr>
          <w:p>
            <w:r>
              <w:rPr>
                <w:sz w:val="15"/>
              </w:rPr>
              <w:t>ESG is associated with bond pricing / YTM</w:t>
            </w:r>
          </w:p>
        </w:tc>
        <w:tc>
          <w:tcPr>
            <w:tcW w:type="dxa" w:w="2160"/>
            <w:vAlign w:val="center"/>
            <w:tcMar>
              <w:top w:w="80" w:type="dxa"/>
              <w:start w:w="80" w:type="dxa"/>
              <w:bottom w:w="80" w:type="dxa"/>
              <w:end w:w="80" w:type="dxa"/>
            </w:tcMar>
          </w:tcPr>
          <w:p>
            <w:r>
              <w:rPr>
                <w:sz w:val="15"/>
              </w:rPr>
              <w:t>Supported with moderate evidence</w:t>
            </w:r>
          </w:p>
        </w:tc>
        <w:tc>
          <w:tcPr>
            <w:tcW w:type="dxa" w:w="4320"/>
            <w:vAlign w:val="center"/>
            <w:tcMar>
              <w:top w:w="80" w:type="dxa"/>
              <w:start w:w="80" w:type="dxa"/>
              <w:bottom w:w="80" w:type="dxa"/>
              <w:end w:w="80" w:type="dxa"/>
            </w:tcMar>
          </w:tcPr>
          <w:p>
            <w:r>
              <w:rPr>
                <w:sz w:val="15"/>
              </w:rPr>
              <w:t>ESG -3.06 bps per SD; issuer p = 0.0330; two-way p = 0.0480; bootstrap p = 0.0308; survives BH-FDR but not Holm</w:t>
            </w:r>
          </w:p>
        </w:tc>
      </w:tr>
      <w:tr>
        <w:trPr>
          <w:cantSplit/>
        </w:trPr>
        <w:tc>
          <w:tcPr>
            <w:tcW w:type="dxa" w:w="864"/>
            <w:vAlign w:val="center"/>
            <w:tcMar>
              <w:top w:w="80" w:type="dxa"/>
              <w:start w:w="80" w:type="dxa"/>
              <w:bottom w:w="80" w:type="dxa"/>
              <w:end w:w="80" w:type="dxa"/>
            </w:tcMar>
          </w:tcPr>
          <w:p>
            <w:r>
              <w:rPr>
                <w:sz w:val="15"/>
              </w:rPr>
              <w:t>H3</w:t>
            </w:r>
          </w:p>
        </w:tc>
        <w:tc>
          <w:tcPr>
            <w:tcW w:type="dxa" w:w="3168"/>
            <w:vAlign w:val="center"/>
            <w:tcMar>
              <w:top w:w="80" w:type="dxa"/>
              <w:start w:w="80" w:type="dxa"/>
              <w:bottom w:w="80" w:type="dxa"/>
              <w:end w:w="80" w:type="dxa"/>
            </w:tcMar>
          </w:tcPr>
          <w:p>
            <w:r>
              <w:rPr>
                <w:sz w:val="15"/>
              </w:rPr>
              <w:t>Credit quality is associated with bond pricing / YTM</w:t>
            </w:r>
          </w:p>
        </w:tc>
        <w:tc>
          <w:tcPr>
            <w:tcW w:type="dxa" w:w="2160"/>
            <w:vAlign w:val="center"/>
            <w:tcMar>
              <w:top w:w="80" w:type="dxa"/>
              <w:start w:w="80" w:type="dxa"/>
              <w:bottom w:w="80" w:type="dxa"/>
              <w:end w:w="80" w:type="dxa"/>
            </w:tcMar>
          </w:tcPr>
          <w:p>
            <w:r>
              <w:rPr>
                <w:sz w:val="15"/>
              </w:rPr>
              <w:t>Strongly supported for broad grade class</w:t>
            </w:r>
          </w:p>
        </w:tc>
        <w:tc>
          <w:tcPr>
            <w:tcW w:type="dxa" w:w="4320"/>
            <w:vAlign w:val="center"/>
            <w:tcMar>
              <w:top w:w="80" w:type="dxa"/>
              <w:start w:w="80" w:type="dxa"/>
              <w:bottom w:w="80" w:type="dxa"/>
              <w:end w:w="80" w:type="dxa"/>
            </w:tcMar>
          </w:tcPr>
          <w:p>
            <w:r>
              <w:rPr>
                <w:sz w:val="15"/>
              </w:rPr>
              <w:t>Investment Grade -55.22 bps; p &lt; 0.000001; bootstrap CI well below zero</w:t>
            </w:r>
          </w:p>
        </w:tc>
      </w:tr>
    </w:tbl>
    <w:p>
      <w:pPr>
        <w:spacing w:after="40"/>
      </w:pPr>
    </w:p>
    <w:tbl>
      <w:tblPr>
        <w:tblStyle w:val="TableGrid"/>
        <w:tblW w:type="auto" w:w="0"/>
        <w:jc w:val="center"/>
        <w:tblLook w:firstColumn="1" w:firstRow="1" w:lastColumn="0" w:lastRow="0" w:noHBand="0" w:noVBand="1" w:val="04A0"/>
      </w:tblPr>
      <w:tblGrid>
        <w:gridCol w:w="10080"/>
      </w:tblGrid>
      <w:tr>
        <w:trPr>
          <w:cantSplit/>
        </w:trPr>
        <w:tc>
          <w:tcPr>
            <w:tcW w:type="dxa" w:w="10080"/>
            <w:shd w:fill="EAF3F8"/>
            <w:tcMar>
              <w:top w:w="120" w:type="dxa"/>
              <w:start w:w="140" w:type="dxa"/>
              <w:bottom w:w="120" w:type="dxa"/>
              <w:end w:w="140" w:type="dxa"/>
            </w:tcMar>
          </w:tcPr>
          <w:p>
            <w:r>
              <w:rPr>
                <w:b/>
                <w:color w:val="1F4E79"/>
                <w:sz w:val="21"/>
              </w:rPr>
              <w:t>Important framing</w:t>
              <w:br/>
            </w:r>
            <w:r>
              <w:rPr>
                <w:sz w:val="19"/>
              </w:rPr>
              <w:t>Do not claim causality. Do not claim ESG or rating “moderates” greenium from the current data. Do not report the rejected issuer-FE interaction simply because p &lt; 0.05. Do not return to the delta specification as the main model unless genuine historical ESG/rating timestamps are obtained.</w:t>
            </w:r>
          </w:p>
        </w:tc>
      </w:tr>
    </w:tbl>
    <w:p>
      <w:pPr>
        <w:spacing w:after="40"/>
      </w:pPr>
    </w:p>
    <w:p>
      <w:pPr>
        <w:pStyle w:val="Heading1"/>
        <w:keepNext/>
      </w:pPr>
      <w:r>
        <w:t>15. Quality-control and reproducibility checks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6768"/>
            <w:shd w:fill="D9EAF7"/>
            <w:vAlign w:val="center"/>
          </w:tcPr>
          <w:p>
            <w:pPr>
              <w:jc w:val="center"/>
            </w:pPr>
            <w:r>
              <w:rPr>
                <w:b/>
                <w:sz w:val="16"/>
              </w:rPr>
              <w:t>Check</w:t>
            </w:r>
          </w:p>
        </w:tc>
        <w:tc>
          <w:tcPr>
            <w:tcW w:type="dxa" w:w="1152"/>
            <w:shd w:fill="D9EAF7"/>
            <w:vAlign w:val="center"/>
          </w:tcPr>
          <w:p>
            <w:pPr>
              <w:jc w:val="center"/>
            </w:pPr>
            <w:r>
              <w:rPr>
                <w:b/>
                <w:sz w:val="16"/>
              </w:rPr>
              <w:t>Status</w:t>
            </w:r>
          </w:p>
        </w:tc>
        <w:tc>
          <w:tcPr>
            <w:tcW w:type="dxa" w:w="1728"/>
            <w:shd w:fill="D9EAF7"/>
            <w:vAlign w:val="center"/>
          </w:tcPr>
          <w:p>
            <w:pPr>
              <w:jc w:val="center"/>
            </w:pPr>
            <w:r>
              <w:rPr>
                <w:b/>
                <w:sz w:val="16"/>
              </w:rPr>
              <w:t>Detail</w:t>
            </w:r>
          </w:p>
        </w:tc>
      </w:tr>
      <w:tr>
        <w:trPr>
          <w:cantSplit/>
        </w:trPr>
        <w:tc>
          <w:tcPr>
            <w:tcW w:type="dxa" w:w="6768"/>
            <w:vAlign w:val="center"/>
            <w:tcMar>
              <w:top w:w="80" w:type="dxa"/>
              <w:start w:w="80" w:type="dxa"/>
              <w:bottom w:w="80" w:type="dxa"/>
              <w:end w:w="80" w:type="dxa"/>
            </w:tcMar>
          </w:tcPr>
          <w:p>
            <w:r>
              <w:rPr>
                <w:sz w:val="16"/>
              </w:rPr>
              <w:t>VIF independently reproduced</w:t>
            </w:r>
          </w:p>
        </w:tc>
        <w:tc>
          <w:tcPr>
            <w:tcW w:type="dxa" w:w="1152"/>
            <w:vAlign w:val="center"/>
            <w:tcMar>
              <w:top w:w="80" w:type="dxa"/>
              <w:start w:w="80" w:type="dxa"/>
              <w:bottom w:w="80" w:type="dxa"/>
              <w:end w:w="80" w:type="dxa"/>
            </w:tcMar>
          </w:tcPr>
          <w:p>
            <w:r>
              <w:rPr>
                <w:sz w:val="16"/>
              </w:rPr>
              <w:t>PASS</w:t>
            </w:r>
          </w:p>
        </w:tc>
        <w:tc>
          <w:tcPr>
            <w:tcW w:type="dxa" w:w="1728"/>
            <w:vAlign w:val="center"/>
            <w:tcMar>
              <w:top w:w="80" w:type="dxa"/>
              <w:start w:w="80" w:type="dxa"/>
              <w:bottom w:w="80" w:type="dxa"/>
              <w:end w:w="80" w:type="dxa"/>
            </w:tcMar>
          </w:tcPr>
          <w:p>
            <w:r>
              <w:rPr>
                <w:sz w:val="16"/>
              </w:rPr>
              <w:t>0.0</w:t>
            </w:r>
          </w:p>
        </w:tc>
      </w:tr>
      <w:tr>
        <w:trPr>
          <w:cantSplit/>
        </w:trPr>
        <w:tc>
          <w:tcPr>
            <w:tcW w:type="dxa" w:w="6768"/>
            <w:vAlign w:val="center"/>
            <w:tcMar>
              <w:top w:w="80" w:type="dxa"/>
              <w:start w:w="80" w:type="dxa"/>
              <w:bottom w:w="80" w:type="dxa"/>
              <w:end w:w="80" w:type="dxa"/>
            </w:tcMar>
          </w:tcPr>
          <w:p>
            <w:r>
              <w:rPr>
                <w:sz w:val="16"/>
              </w:rPr>
              <w:t>No NaN/Inf in final numeric matrix</w:t>
            </w:r>
          </w:p>
        </w:tc>
        <w:tc>
          <w:tcPr>
            <w:tcW w:type="dxa" w:w="1152"/>
            <w:vAlign w:val="center"/>
            <w:tcMar>
              <w:top w:w="80" w:type="dxa"/>
              <w:start w:w="80" w:type="dxa"/>
              <w:bottom w:w="80" w:type="dxa"/>
              <w:end w:w="80" w:type="dxa"/>
            </w:tcMar>
          </w:tcPr>
          <w:p>
            <w:r>
              <w:rPr>
                <w:sz w:val="16"/>
              </w:rPr>
              <w:t>PASS</w:t>
            </w:r>
          </w:p>
        </w:tc>
        <w:tc>
          <w:tcPr>
            <w:tcW w:type="dxa" w:w="1728"/>
            <w:vAlign w:val="center"/>
            <w:tcMar>
              <w:top w:w="80" w:type="dxa"/>
              <w:start w:w="80" w:type="dxa"/>
              <w:bottom w:w="80" w:type="dxa"/>
              <w:end w:w="80" w:type="dxa"/>
            </w:tcMar>
          </w:tcPr>
          <w:p>
            <w:r>
              <w:rPr>
                <w:sz w:val="16"/>
              </w:rPr>
            </w:r>
          </w:p>
        </w:tc>
      </w:tr>
      <w:tr>
        <w:trPr>
          <w:cantSplit/>
        </w:trPr>
        <w:tc>
          <w:tcPr>
            <w:tcW w:type="dxa" w:w="6768"/>
            <w:vAlign w:val="center"/>
            <w:tcMar>
              <w:top w:w="80" w:type="dxa"/>
              <w:start w:w="80" w:type="dxa"/>
              <w:bottom w:w="80" w:type="dxa"/>
              <w:end w:w="80" w:type="dxa"/>
            </w:tcMar>
          </w:tcPr>
          <w:p>
            <w:r>
              <w:rPr>
                <w:sz w:val="16"/>
              </w:rPr>
              <w:t>Preferred coefficients reproduce on re-fit</w:t>
            </w:r>
          </w:p>
        </w:tc>
        <w:tc>
          <w:tcPr>
            <w:tcW w:type="dxa" w:w="1152"/>
            <w:vAlign w:val="center"/>
            <w:tcMar>
              <w:top w:w="80" w:type="dxa"/>
              <w:start w:w="80" w:type="dxa"/>
              <w:bottom w:w="80" w:type="dxa"/>
              <w:end w:w="80" w:type="dxa"/>
            </w:tcMar>
          </w:tcPr>
          <w:p>
            <w:r>
              <w:rPr>
                <w:sz w:val="16"/>
              </w:rPr>
              <w:t>PASS</w:t>
            </w:r>
          </w:p>
        </w:tc>
        <w:tc>
          <w:tcPr>
            <w:tcW w:type="dxa" w:w="1728"/>
            <w:vAlign w:val="center"/>
            <w:tcMar>
              <w:top w:w="80" w:type="dxa"/>
              <w:start w:w="80" w:type="dxa"/>
              <w:bottom w:w="80" w:type="dxa"/>
              <w:end w:w="80" w:type="dxa"/>
            </w:tcMar>
          </w:tcPr>
          <w:p>
            <w:r>
              <w:rPr>
                <w:sz w:val="16"/>
              </w:rPr>
              <w:t>0.0</w:t>
            </w:r>
          </w:p>
        </w:tc>
      </w:tr>
      <w:tr>
        <w:trPr>
          <w:cantSplit/>
        </w:trPr>
        <w:tc>
          <w:tcPr>
            <w:tcW w:type="dxa" w:w="6768"/>
            <w:vAlign w:val="center"/>
            <w:tcMar>
              <w:top w:w="80" w:type="dxa"/>
              <w:start w:w="80" w:type="dxa"/>
              <w:bottom w:w="80" w:type="dxa"/>
              <w:end w:w="80" w:type="dxa"/>
            </w:tcMar>
          </w:tcPr>
          <w:p>
            <w:r>
              <w:rPr>
                <w:sz w:val="16"/>
              </w:rPr>
              <w:t>Correlation matrix PSD</w:t>
            </w:r>
          </w:p>
        </w:tc>
        <w:tc>
          <w:tcPr>
            <w:tcW w:type="dxa" w:w="1152"/>
            <w:vAlign w:val="center"/>
            <w:tcMar>
              <w:top w:w="80" w:type="dxa"/>
              <w:start w:w="80" w:type="dxa"/>
              <w:bottom w:w="80" w:type="dxa"/>
              <w:end w:w="80" w:type="dxa"/>
            </w:tcMar>
          </w:tcPr>
          <w:p>
            <w:r>
              <w:rPr>
                <w:sz w:val="16"/>
              </w:rPr>
              <w:t>PASS</w:t>
            </w:r>
          </w:p>
        </w:tc>
        <w:tc>
          <w:tcPr>
            <w:tcW w:type="dxa" w:w="1728"/>
            <w:vAlign w:val="center"/>
            <w:tcMar>
              <w:top w:w="80" w:type="dxa"/>
              <w:start w:w="80" w:type="dxa"/>
              <w:bottom w:w="80" w:type="dxa"/>
              <w:end w:w="80" w:type="dxa"/>
            </w:tcMar>
          </w:tcPr>
          <w:p>
            <w:r>
              <w:rPr>
                <w:sz w:val="16"/>
              </w:rPr>
              <w:t>0.1637799786021317</w:t>
            </w:r>
          </w:p>
        </w:tc>
      </w:tr>
      <w:tr>
        <w:trPr>
          <w:cantSplit/>
        </w:trPr>
        <w:tc>
          <w:tcPr>
            <w:tcW w:type="dxa" w:w="6768"/>
            <w:vAlign w:val="center"/>
            <w:tcMar>
              <w:top w:w="80" w:type="dxa"/>
              <w:start w:w="80" w:type="dxa"/>
              <w:bottom w:w="80" w:type="dxa"/>
              <w:end w:w="80" w:type="dxa"/>
            </w:tcMar>
          </w:tcPr>
          <w:p>
            <w:r>
              <w:rPr>
                <w:sz w:val="16"/>
              </w:rPr>
              <w:t>Final N verified</w:t>
            </w:r>
          </w:p>
        </w:tc>
        <w:tc>
          <w:tcPr>
            <w:tcW w:type="dxa" w:w="1152"/>
            <w:vAlign w:val="center"/>
            <w:tcMar>
              <w:top w:w="80" w:type="dxa"/>
              <w:start w:w="80" w:type="dxa"/>
              <w:bottom w:w="80" w:type="dxa"/>
              <w:end w:w="80" w:type="dxa"/>
            </w:tcMar>
          </w:tcPr>
          <w:p>
            <w:r>
              <w:rPr>
                <w:sz w:val="16"/>
              </w:rPr>
              <w:t>PASS</w:t>
            </w:r>
          </w:p>
        </w:tc>
        <w:tc>
          <w:tcPr>
            <w:tcW w:type="dxa" w:w="1728"/>
            <w:vAlign w:val="center"/>
            <w:tcMar>
              <w:top w:w="80" w:type="dxa"/>
              <w:start w:w="80" w:type="dxa"/>
              <w:bottom w:w="80" w:type="dxa"/>
              <w:end w:w="80" w:type="dxa"/>
            </w:tcMar>
          </w:tcPr>
          <w:p>
            <w:r>
              <w:rPr>
                <w:sz w:val="16"/>
              </w:rPr>
              <w:t>6600.0</w:t>
            </w:r>
          </w:p>
        </w:tc>
      </w:tr>
      <w:tr>
        <w:trPr>
          <w:cantSplit/>
        </w:trPr>
        <w:tc>
          <w:tcPr>
            <w:tcW w:type="dxa" w:w="6768"/>
            <w:vAlign w:val="center"/>
            <w:tcMar>
              <w:top w:w="80" w:type="dxa"/>
              <w:start w:w="80" w:type="dxa"/>
              <w:bottom w:w="80" w:type="dxa"/>
              <w:end w:w="80" w:type="dxa"/>
            </w:tcMar>
          </w:tcPr>
          <w:p>
            <w:r>
              <w:rPr>
                <w:sz w:val="16"/>
              </w:rPr>
              <w:t>Green N verified</w:t>
            </w:r>
          </w:p>
        </w:tc>
        <w:tc>
          <w:tcPr>
            <w:tcW w:type="dxa" w:w="1152"/>
            <w:vAlign w:val="center"/>
            <w:tcMar>
              <w:top w:w="80" w:type="dxa"/>
              <w:start w:w="80" w:type="dxa"/>
              <w:bottom w:w="80" w:type="dxa"/>
              <w:end w:w="80" w:type="dxa"/>
            </w:tcMar>
          </w:tcPr>
          <w:p>
            <w:r>
              <w:rPr>
                <w:sz w:val="16"/>
              </w:rPr>
              <w:t>PASS</w:t>
            </w:r>
          </w:p>
        </w:tc>
        <w:tc>
          <w:tcPr>
            <w:tcW w:type="dxa" w:w="1728"/>
            <w:vAlign w:val="center"/>
            <w:tcMar>
              <w:top w:w="80" w:type="dxa"/>
              <w:start w:w="80" w:type="dxa"/>
              <w:bottom w:w="80" w:type="dxa"/>
              <w:end w:w="80" w:type="dxa"/>
            </w:tcMar>
          </w:tcPr>
          <w:p>
            <w:r>
              <w:rPr>
                <w:sz w:val="16"/>
              </w:rPr>
              <w:t>416.0</w:t>
            </w:r>
          </w:p>
        </w:tc>
      </w:tr>
    </w:tbl>
    <w:p>
      <w:pPr>
        <w:spacing w:after="40"/>
      </w:pPr>
    </w:p>
    <w:p>
      <w:r>
        <w:t>The VIF computation was independently reproduced with auxiliary regressions, the preferred model was refitted and matched exactly, numerical matrices were checked for NaN/Inf, the predictor correlation matrix was checked for positive semidefiniteness, and the final N / Green-N counts were reverified.</w:t>
      </w:r>
    </w:p>
    <w:p>
      <w:pPr>
        <w:pStyle w:val="Heading1"/>
        <w:keepNext/>
      </w:pPr>
      <w:r>
        <w:t>16. Recommended reporting language</w:t>
      </w:r>
    </w:p>
    <w:p>
      <w:pPr>
        <w:pStyle w:val="Heading2"/>
        <w:keepNext/>
      </w:pPr>
      <w:r>
        <w:t>16.1 Methods paragraph</w:t>
      </w:r>
    </w:p>
    <w:p>
      <w:r>
        <w:t>“Bond-level YTM was modeled using a pooled multi-currency specification with Currency × IssueYear, Seniority, and Instrument fixed effects. The final complete-case sample comprised 6,600 bonds from 477 issuers, including 416 green bonds. Because YTM displayed substantial tail observations, the preferred estimator used Huber robust weights, with standard errors clustered by issuer. Two-way clustering by issuer and Currency × IssueYear, alternative robust estimators, tail trimming/winsorization, and a 5,000-replication issuer-cluster wild bootstrap were used as robustness checks. ESG was standardized, while credit quality was represented by Investment Grade status to avoid imposing arbitrary spacing across heterogeneous credit-rating labels.”</w:t>
      </w:r>
    </w:p>
    <w:p>
      <w:pPr>
        <w:pStyle w:val="Heading2"/>
        <w:keepNext/>
      </w:pPr>
      <w:r>
        <w:t>16.2 Reliability / validity paragraph</w:t>
      </w:r>
    </w:p>
    <w:p>
      <w:r>
        <w:t>“Internal-consistency measures such as Cronbach’s alpha, Composite Reliability and AVE were not applicable because the empirical variables are single observed archival measures rather than multi-item reflective constructs. Temporal-stability diagnostics indicated high agreement for investment-grade status (κ = 0.953) and near-static ESG values (97.22% exact repeat across consecutive observed issuer-years). Pairwise correlations, incremental model fit and collinearity diagnostics were used to assess empirical distinctness and criterion validity.”</w:t>
      </w:r>
    </w:p>
    <w:p>
      <w:pPr>
        <w:pStyle w:val="Heading2"/>
        <w:keepNext/>
      </w:pPr>
      <w:r>
        <w:t>16.3 Collinearity paragraph</w:t>
      </w:r>
    </w:p>
    <w:p>
      <w:r>
        <w:t>“Multicollinearity was assessed using pairwise correlations, variance inflation factors (VIF), tolerance, auxiliary R², eigenvalues and condition indices. The maximum VIF was 3.33, minimum tolerance 0.30 and maximum condition index 3.37, indicating no severe multicollinearity. Green-bond and certification indicators were strongly correlated (r = 0.835), which was acknowledged in interpretation.”</w:t>
      </w:r>
    </w:p>
    <w:p>
      <w:pPr>
        <w:pStyle w:val="Heading2"/>
        <w:keepNext/>
      </w:pPr>
      <w:r>
        <w:t>16.4 Significance / robustness paragraph</w:t>
      </w:r>
    </w:p>
    <w:p>
      <w:r>
        <w:t>“The Green coefficient was not statistically significant. ESG was negatively associated with YTM (-3.06 bps per standard deviation; issuer-clustered p = 0.033; two-way clustered p = 0.048; bootstrap p = 0.031). Investment Grade status was associated with a substantially lower YTM (-55.22 bps; p &lt; 0.000001). ESG survived Benjamini-Hochberg FDR correction but not the more conservative Holm family-wise correction; the credit-grade effect survived both.”</w:t>
      </w:r>
    </w:p>
    <w:p>
      <w:pPr>
        <w:pStyle w:val="Heading2"/>
        <w:keepNext/>
      </w:pPr>
      <w:r>
        <w:t>16.5 Common-method-bias paragraph</w:t>
      </w:r>
    </w:p>
    <w:p>
      <w:r>
        <w:t>“Common method bias was not considered a primary concern because the study relies on archival bond-level variables rather than same-respondent survey measures. As supplementary diagnostics, the first principal component explained 23.36% of standardized variance, below the conventional 50% single-factor heuristic. The maximum full-collinearity VIF was 3.33, marginally above the strict 3.3 heuristic and attributable mainly to the expected Green-Certified relationship.”</w:t>
      </w:r>
    </w:p>
    <w:p>
      <w:r>
        <w:br w:type="page"/>
      </w:r>
    </w:p>
    <w:p>
      <w:pPr>
        <w:pStyle w:val="Heading1"/>
        <w:keepNext/>
      </w:pPr>
      <w:r>
        <w:t>Appendix A. Decision log and output files</w:t>
      </w:r>
    </w:p>
    <w:p>
      <w:pPr>
        <w:pStyle w:val="Heading2"/>
        <w:keepNext/>
      </w:pPr>
      <w:r>
        <w:t>A.1 Model decision log</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880"/>
            <w:shd w:fill="D9EAF7"/>
            <w:vAlign w:val="center"/>
          </w:tcPr>
          <w:p>
            <w:pPr>
              <w:jc w:val="center"/>
            </w:pPr>
            <w:r>
              <w:rPr>
                <w:b/>
                <w:sz w:val="14"/>
              </w:rPr>
              <w:t>Candidate</w:t>
            </w:r>
          </w:p>
        </w:tc>
        <w:tc>
          <w:tcPr>
            <w:tcW w:type="dxa" w:w="2304"/>
            <w:shd w:fill="D9EAF7"/>
            <w:vAlign w:val="center"/>
          </w:tcPr>
          <w:p>
            <w:pPr>
              <w:jc w:val="center"/>
            </w:pPr>
            <w:r>
              <w:rPr>
                <w:b/>
                <w:sz w:val="14"/>
              </w:rPr>
              <w:t>Decision</w:t>
            </w:r>
          </w:p>
        </w:tc>
        <w:tc>
          <w:tcPr>
            <w:tcW w:type="dxa" w:w="5184"/>
            <w:shd w:fill="D9EAF7"/>
            <w:vAlign w:val="center"/>
          </w:tcPr>
          <w:p>
            <w:pPr>
              <w:jc w:val="center"/>
            </w:pPr>
            <w:r>
              <w:rPr>
                <w:b/>
                <w:sz w:val="14"/>
              </w:rPr>
              <w:t>Reason</w:t>
            </w:r>
          </w:p>
        </w:tc>
      </w:tr>
      <w:tr>
        <w:trPr>
          <w:cantSplit/>
        </w:trPr>
        <w:tc>
          <w:tcPr>
            <w:tcW w:type="dxa" w:w="2880"/>
            <w:vAlign w:val="center"/>
            <w:tcMar>
              <w:top w:w="80" w:type="dxa"/>
              <w:start w:w="80" w:type="dxa"/>
              <w:bottom w:w="80" w:type="dxa"/>
              <w:end w:w="80" w:type="dxa"/>
            </w:tcMar>
          </w:tcPr>
          <w:p>
            <w:r>
              <w:rPr>
                <w:sz w:val="14"/>
              </w:rPr>
              <w:t>Temporal ΔESG / ΔRating</w:t>
            </w:r>
          </w:p>
        </w:tc>
        <w:tc>
          <w:tcPr>
            <w:tcW w:type="dxa" w:w="2304"/>
            <w:vAlign w:val="center"/>
            <w:tcMar>
              <w:top w:w="80" w:type="dxa"/>
              <w:start w:w="80" w:type="dxa"/>
              <w:bottom w:w="80" w:type="dxa"/>
              <w:end w:w="80" w:type="dxa"/>
            </w:tcMar>
          </w:tcPr>
          <w:p>
            <w:r>
              <w:rPr>
                <w:sz w:val="14"/>
              </w:rPr>
              <w:t>Reject as primary</w:t>
            </w:r>
          </w:p>
        </w:tc>
        <w:tc>
          <w:tcPr>
            <w:tcW w:type="dxa" w:w="5184"/>
            <w:vAlign w:val="center"/>
            <w:tcMar>
              <w:top w:w="80" w:type="dxa"/>
              <w:start w:w="80" w:type="dxa"/>
              <w:bottom w:w="80" w:type="dxa"/>
              <w:end w:w="80" w:type="dxa"/>
            </w:tcMar>
          </w:tcPr>
          <w:p>
            <w:r>
              <w:rPr>
                <w:sz w:val="14"/>
              </w:rPr>
              <w:t>IssueYear is not a verified ESG/rating observation date; ESG is overwhelmingly repeated across issue years.</w:t>
            </w:r>
          </w:p>
        </w:tc>
      </w:tr>
      <w:tr>
        <w:trPr>
          <w:cantSplit/>
        </w:trPr>
        <w:tc>
          <w:tcPr>
            <w:tcW w:type="dxa" w:w="2880"/>
            <w:vAlign w:val="center"/>
            <w:tcMar>
              <w:top w:w="80" w:type="dxa"/>
              <w:start w:w="80" w:type="dxa"/>
              <w:bottom w:w="80" w:type="dxa"/>
              <w:end w:w="80" w:type="dxa"/>
            </w:tcMar>
          </w:tcPr>
          <w:p>
            <w:r>
              <w:rPr>
                <w:sz w:val="14"/>
              </w:rPr>
              <w:t>Old arbitrary 1-5 rating map</w:t>
            </w:r>
          </w:p>
        </w:tc>
        <w:tc>
          <w:tcPr>
            <w:tcW w:type="dxa" w:w="2304"/>
            <w:vAlign w:val="center"/>
            <w:tcMar>
              <w:top w:w="80" w:type="dxa"/>
              <w:start w:w="80" w:type="dxa"/>
              <w:bottom w:w="80" w:type="dxa"/>
              <w:end w:w="80" w:type="dxa"/>
            </w:tcMar>
          </w:tcPr>
          <w:p>
            <w:r>
              <w:rPr>
                <w:sz w:val="14"/>
              </w:rPr>
              <w:t>Reject</w:t>
            </w:r>
          </w:p>
        </w:tc>
        <w:tc>
          <w:tcPr>
            <w:tcW w:type="dxa" w:w="5184"/>
            <w:vAlign w:val="center"/>
            <w:tcMar>
              <w:top w:w="80" w:type="dxa"/>
              <w:start w:w="80" w:type="dxa"/>
              <w:bottom w:w="80" w:type="dxa"/>
              <w:end w:w="80" w:type="dxa"/>
            </w:tcMar>
          </w:tcPr>
          <w:p>
            <w:r>
              <w:rPr>
                <w:sz w:val="14"/>
              </w:rPr>
              <w:t>It imposes invalid distances across heterogeneous rating labels.</w:t>
            </w:r>
          </w:p>
        </w:tc>
      </w:tr>
      <w:tr>
        <w:trPr>
          <w:cantSplit/>
        </w:trPr>
        <w:tc>
          <w:tcPr>
            <w:tcW w:type="dxa" w:w="2880"/>
            <w:vAlign w:val="center"/>
            <w:tcMar>
              <w:top w:w="80" w:type="dxa"/>
              <w:start w:w="80" w:type="dxa"/>
              <w:bottom w:w="80" w:type="dxa"/>
              <w:end w:w="80" w:type="dxa"/>
            </w:tcMar>
          </w:tcPr>
          <w:p>
            <w:r>
              <w:rPr>
                <w:sz w:val="14"/>
              </w:rPr>
              <w:t>Investment-grade status</w:t>
            </w:r>
          </w:p>
        </w:tc>
        <w:tc>
          <w:tcPr>
            <w:tcW w:type="dxa" w:w="2304"/>
            <w:vAlign w:val="center"/>
            <w:tcMar>
              <w:top w:w="80" w:type="dxa"/>
              <w:start w:w="80" w:type="dxa"/>
              <w:bottom w:w="80" w:type="dxa"/>
              <w:end w:w="80" w:type="dxa"/>
            </w:tcMar>
          </w:tcPr>
          <w:p>
            <w:r>
              <w:rPr>
                <w:sz w:val="14"/>
              </w:rPr>
              <w:t>Keep as primary credit-quality control</w:t>
            </w:r>
          </w:p>
        </w:tc>
        <w:tc>
          <w:tcPr>
            <w:tcW w:type="dxa" w:w="5184"/>
            <w:vAlign w:val="center"/>
            <w:tcMar>
              <w:top w:w="80" w:type="dxa"/>
              <w:start w:w="80" w:type="dxa"/>
              <w:bottom w:w="80" w:type="dxa"/>
              <w:end w:w="80" w:type="dxa"/>
            </w:tcMar>
          </w:tcPr>
          <w:p>
            <w:r>
              <w:rPr>
                <w:sz w:val="14"/>
              </w:rPr>
              <w:t>Combines broad grade labels and exact rating threshold without inventing notch spacing.</w:t>
            </w:r>
          </w:p>
        </w:tc>
      </w:tr>
      <w:tr>
        <w:trPr>
          <w:cantSplit/>
        </w:trPr>
        <w:tc>
          <w:tcPr>
            <w:tcW w:type="dxa" w:w="2880"/>
            <w:vAlign w:val="center"/>
            <w:tcMar>
              <w:top w:w="80" w:type="dxa"/>
              <w:start w:w="80" w:type="dxa"/>
              <w:bottom w:w="80" w:type="dxa"/>
              <w:end w:w="80" w:type="dxa"/>
            </w:tcMar>
          </w:tcPr>
          <w:p>
            <w:r>
              <w:rPr>
                <w:sz w:val="14"/>
              </w:rPr>
              <w:t>Exact Moody's/S&amp;P notch scale</w:t>
            </w:r>
          </w:p>
        </w:tc>
        <w:tc>
          <w:tcPr>
            <w:tcW w:type="dxa" w:w="2304"/>
            <w:vAlign w:val="center"/>
            <w:tcMar>
              <w:top w:w="80" w:type="dxa"/>
              <w:start w:w="80" w:type="dxa"/>
              <w:bottom w:w="80" w:type="dxa"/>
              <w:end w:w="80" w:type="dxa"/>
            </w:tcMar>
          </w:tcPr>
          <w:p>
            <w:r>
              <w:rPr>
                <w:sz w:val="14"/>
              </w:rPr>
              <w:t>Sensitivity only</w:t>
            </w:r>
          </w:p>
        </w:tc>
        <w:tc>
          <w:tcPr>
            <w:tcW w:type="dxa" w:w="5184"/>
            <w:vAlign w:val="center"/>
            <w:tcMar>
              <w:top w:w="80" w:type="dxa"/>
              <w:start w:w="80" w:type="dxa"/>
              <w:bottom w:w="80" w:type="dxa"/>
              <w:end w:w="80" w:type="dxa"/>
            </w:tcMar>
          </w:tcPr>
          <w:p>
            <w:r>
              <w:rPr>
                <w:sz w:val="14"/>
              </w:rPr>
              <w:t>Reduces sample to 2409 observations / 98 issuers and does not replicate the primary result.</w:t>
            </w:r>
          </w:p>
        </w:tc>
      </w:tr>
      <w:tr>
        <w:trPr>
          <w:cantSplit/>
        </w:trPr>
        <w:tc>
          <w:tcPr>
            <w:tcW w:type="dxa" w:w="2880"/>
            <w:vAlign w:val="center"/>
            <w:tcMar>
              <w:top w:w="80" w:type="dxa"/>
              <w:start w:w="80" w:type="dxa"/>
              <w:bottom w:w="80" w:type="dxa"/>
              <w:end w:w="80" w:type="dxa"/>
            </w:tcMar>
          </w:tcPr>
          <w:p>
            <w:r>
              <w:rPr>
                <w:sz w:val="14"/>
              </w:rPr>
              <w:t>Issuer-FE Green × grade interaction</w:t>
            </w:r>
          </w:p>
        </w:tc>
        <w:tc>
          <w:tcPr>
            <w:tcW w:type="dxa" w:w="2304"/>
            <w:vAlign w:val="center"/>
            <w:tcMar>
              <w:top w:w="80" w:type="dxa"/>
              <w:start w:w="80" w:type="dxa"/>
              <w:bottom w:w="80" w:type="dxa"/>
              <w:end w:w="80" w:type="dxa"/>
            </w:tcMar>
          </w:tcPr>
          <w:p>
            <w:r>
              <w:rPr>
                <w:sz w:val="14"/>
              </w:rPr>
              <w:t>Do not claim</w:t>
            </w:r>
          </w:p>
        </w:tc>
        <w:tc>
          <w:tcPr>
            <w:tcW w:type="dxa" w:w="5184"/>
            <w:vAlign w:val="center"/>
            <w:tcMar>
              <w:top w:w="80" w:type="dxa"/>
              <w:start w:w="80" w:type="dxa"/>
              <w:bottom w:w="80" w:type="dxa"/>
              <w:end w:w="80" w:type="dxa"/>
            </w:tcMar>
          </w:tcPr>
          <w:p>
            <w:r>
              <w:rPr>
                <w:sz w:val="14"/>
              </w:rPr>
              <w:t>Only 8 green high-yield observations; sparse cell makes the apparent interaction unstable.</w:t>
            </w:r>
          </w:p>
        </w:tc>
      </w:tr>
      <w:tr>
        <w:trPr>
          <w:cantSplit/>
        </w:trPr>
        <w:tc>
          <w:tcPr>
            <w:tcW w:type="dxa" w:w="2880"/>
            <w:vAlign w:val="center"/>
            <w:tcMar>
              <w:top w:w="80" w:type="dxa"/>
              <w:start w:w="80" w:type="dxa"/>
              <w:bottom w:w="80" w:type="dxa"/>
              <w:end w:w="80" w:type="dxa"/>
            </w:tcMar>
          </w:tcPr>
          <w:p>
            <w:r>
              <w:rPr>
                <w:sz w:val="14"/>
              </w:rPr>
              <w:t>Huber robust estimation</w:t>
            </w:r>
          </w:p>
        </w:tc>
        <w:tc>
          <w:tcPr>
            <w:tcW w:type="dxa" w:w="2304"/>
            <w:vAlign w:val="center"/>
            <w:tcMar>
              <w:top w:w="80" w:type="dxa"/>
              <w:start w:w="80" w:type="dxa"/>
              <w:bottom w:w="80" w:type="dxa"/>
              <w:end w:w="80" w:type="dxa"/>
            </w:tcMar>
          </w:tcPr>
          <w:p>
            <w:r>
              <w:rPr>
                <w:sz w:val="14"/>
              </w:rPr>
              <w:t>Keep as preferred</w:t>
            </w:r>
          </w:p>
        </w:tc>
        <w:tc>
          <w:tcPr>
            <w:tcW w:type="dxa" w:w="5184"/>
            <w:vAlign w:val="center"/>
            <w:tcMar>
              <w:top w:w="80" w:type="dxa"/>
              <w:start w:w="80" w:type="dxa"/>
              <w:bottom w:w="80" w:type="dxa"/>
              <w:end w:w="80" w:type="dxa"/>
            </w:tcMar>
          </w:tcPr>
          <w:p>
            <w:r>
              <w:rPr>
                <w:sz w:val="14"/>
              </w:rPr>
              <w:t>Raw YTM has very large tail observations; multiple robust treatments give similar direction for ESG and credit grade.</w:t>
            </w:r>
          </w:p>
        </w:tc>
      </w:tr>
    </w:tbl>
    <w:p>
      <w:pPr>
        <w:spacing w:after="40"/>
      </w:pPr>
    </w:p>
    <w:p>
      <w:pPr>
        <w:pStyle w:val="Heading2"/>
        <w:keepNext/>
      </w:pPr>
      <w:r>
        <w:t>A.2 Main analysis packages generated today</w:t>
      </w:r>
    </w:p>
    <w:p>
      <w:pPr>
        <w:pStyle w:val="ListBullet"/>
      </w:pPr>
      <w:r>
        <w:t>model6_delta_measurement_package.zip — delta measurement code, model outputs and issuer-year delta scores</w:t>
      </w:r>
    </w:p>
    <w:p>
      <w:pPr>
        <w:pStyle w:val="ListBullet"/>
      </w:pPr>
      <w:r>
        <w:t>model6_reliability_validity_package.zip — delta reliability, validity and responsiveness diagnostics</w:t>
      </w:r>
    </w:p>
    <w:p>
      <w:pPr>
        <w:pStyle w:val="ListBullet"/>
      </w:pPr>
      <w:r>
        <w:t>model6_bootstrap_package.zip — 5,000-replication bootstrap for the delta specification</w:t>
      </w:r>
    </w:p>
    <w:p>
      <w:pPr>
        <w:pStyle w:val="ListBullet"/>
      </w:pPr>
      <w:r>
        <w:t>greenium_corrected_model_audit_v2_package.zip — corrected measurement and robust-model audit</w:t>
      </w:r>
    </w:p>
    <w:p>
      <w:pPr>
        <w:pStyle w:val="ListBullet"/>
      </w:pPr>
      <w:r>
        <w:t>greenium_full_diagnostics_final_package.zip — final reliability/validity, collinearity, significance, CMB and validation outputs</w:t>
      </w:r>
    </w:p>
    <w:p>
      <w:pPr>
        <w:pStyle w:val="Heading2"/>
        <w:keepNext/>
      </w:pPr>
      <w:r>
        <w:t>A.3 Final primary files</w:t>
      </w:r>
    </w:p>
    <w:p>
      <w:pPr>
        <w:pStyle w:val="ListBullet"/>
      </w:pPr>
      <w:r>
        <w:t>01_reliability_results.csv</w:t>
      </w:r>
    </w:p>
    <w:p>
      <w:pPr>
        <w:pStyle w:val="ListBullet"/>
      </w:pPr>
      <w:r>
        <w:t>01_validity_incremental_fit.csv</w:t>
      </w:r>
    </w:p>
    <w:p>
      <w:pPr>
        <w:pStyle w:val="ListBullet"/>
      </w:pPr>
      <w:r>
        <w:t>01_validity_pearson_correlations.csv</w:t>
      </w:r>
    </w:p>
    <w:p>
      <w:pPr>
        <w:pStyle w:val="ListBullet"/>
      </w:pPr>
      <w:r>
        <w:t>02_collinearity_vif_tolerance.csv</w:t>
      </w:r>
    </w:p>
    <w:p>
      <w:pPr>
        <w:pStyle w:val="ListBullet"/>
      </w:pPr>
      <w:r>
        <w:t>02_collinearity_condition_indices.csv</w:t>
      </w:r>
    </w:p>
    <w:p>
      <w:pPr>
        <w:pStyle w:val="ListBullet"/>
      </w:pPr>
      <w:r>
        <w:t>03_statistical_significance_substantive.csv</w:t>
      </w:r>
    </w:p>
    <w:p>
      <w:pPr>
        <w:pStyle w:val="ListBullet"/>
      </w:pPr>
      <w:r>
        <w:t>03_statistical_significance_joint_FE.csv</w:t>
      </w:r>
    </w:p>
    <w:p>
      <w:pPr>
        <w:pStyle w:val="ListBullet"/>
      </w:pPr>
      <w:r>
        <w:t>03_statistical_significance_bootstrap_main_hypotheses.csv</w:t>
      </w:r>
    </w:p>
    <w:p>
      <w:pPr>
        <w:pStyle w:val="ListBullet"/>
      </w:pPr>
      <w:r>
        <w:t>04_common_method_bias_summary.csv</w:t>
      </w:r>
    </w:p>
    <w:p>
      <w:pPr>
        <w:pStyle w:val="ListBullet"/>
      </w:pPr>
      <w:r>
        <w:t>04_common_method_bias_harman_pca.csv</w:t>
      </w:r>
    </w:p>
    <w:p>
      <w:pPr>
        <w:pStyle w:val="ListBullet"/>
      </w:pPr>
      <w:r>
        <w:t>05_validation_checks.csv</w:t>
      </w:r>
    </w:p>
    <w:p>
      <w:pPr>
        <w:spacing w:before="360"/>
        <w:jc w:val="center"/>
      </w:pPr>
      <w:r>
        <w:rPr>
          <w:i/>
          <w:color w:val="787878"/>
        </w:rPr>
        <w:t>End of consolidated documentation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Greenium Project | Statistical Tests, Robustness and Model Audit | 9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B4B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