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Model 6 Results — Green Bond Pricing (Greenium) Study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Common-sample specification comparison (N = 6,675) and conceptual path diagram</w:t>
      </w:r>
    </w:p>
    <w:p>
      <w:pPr>
        <w:pStyle w:val="Heading1"/>
        <w:spacing w:after="150" w:before="300"/>
      </w:pPr>
      <w:r>
        <w:t xml:space="preserve">1. Preferred Common-Sample Comparison (N = 6,675)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four Model 6 specifications were re-estimated on the same least-common sample of 6,675 observations so that Green coefficients are directly comparable across specifications. Standard errors are clustered by issuer.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Green N</w:t>
            </w:r>
          </w:p>
        </w:tc>
        <w:tc>
          <w:tcPr>
            <w:tcW w:type="dxa" w:w="1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1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Green Effect (bps)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M6-Core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6,675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0.3070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−7.59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 + Rating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6,675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0.3082</w:t>
            </w:r>
          </w:p>
        </w:tc>
        <w:tc>
          <w:tcPr>
            <w:tcW w:type="dxa" w:w="21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−10.53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 + ESG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6,675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0.3072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−8.99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M6-Full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6,675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0.3083</w:t>
            </w:r>
          </w:p>
        </w:tc>
        <w:tc>
          <w:tcPr>
            <w:tcW w:type="dxa" w:w="21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−11.66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Green coefficient is negative and broadly stable across all four specifications, ranging from about −7.6 bps (Core) to −11.7 bps (Full). Adding Credit Rating and ESG does not eliminate or reverse the Green effect; it modestly increases its magnitude. R² is essentially flat across specifications (0.3070–0.3083), indicating that Rating and ESG add little incremental explanatory power once bond and market controls are already included.</w:t>
      </w:r>
    </w:p>
    <w:p>
      <w:pPr>
        <w:pStyle w:val="Heading2"/>
        <w:spacing w:after="120" w:before="260"/>
      </w:pPr>
      <w:r>
        <w:t xml:space="preserve">Reference: Maximum-Data Runs (different sample per model — not directly comparable)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figures use the largest available sample for each specification individually and are included only for reference; sample composition differs across rows, so coefficient changes here should not be attributed solely to the added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Green N</w:t>
            </w:r>
          </w:p>
        </w:tc>
        <w:tc>
          <w:tcPr>
            <w:tcW w:type="dxa" w:w="1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1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Green Effect (bps)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M6-Core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74,476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3,078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0.327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+18.80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 + Rating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21,595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965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0.252</w:t>
            </w:r>
          </w:p>
        </w:tc>
        <w:tc>
          <w:tcPr>
            <w:tcW w:type="dxa" w:w="21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−3.33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 + ESG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18,913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1,111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0.293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−2.48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M6-Full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6,675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0.308</w:t>
            </w:r>
          </w:p>
        </w:tc>
        <w:tc>
          <w:tcPr>
            <w:tcW w:type="dxa" w:w="21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−11.66</w:t>
            </w:r>
          </w:p>
        </w:tc>
      </w:tr>
    </w:tbl>
    <w:p>
      <w:pPr>
        <w:pStyle w:val="Heading1"/>
        <w:spacing w:after="150" w:before="300"/>
      </w:pPr>
      <w:r>
        <w:t xml:space="preserve">2. Matched-Pair Greenium (Independent Robustness Check)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 a validation independent of the regression framework, green bonds were matched to comparable conventional bonds on issuer, currency, seniority, instrument type, issue year (±1 yr), tenor (±2 yrs), issue size, coupon, and credit rating where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Matched green/conventional pairs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1,660</w:t>
            </w:r>
          </w:p>
        </w:tc>
      </w:tr>
      <w:tr>
        <w:tc>
          <w:tcPr>
            <w:tcW w:type="dxa" w:w="468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Unique issuers</w:t>
            </w:r>
          </w:p>
        </w:tc>
        <w:tc>
          <w:tcPr>
            <w:tcW w:type="dxa" w:w="468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575</w:t>
            </w:r>
          </w:p>
        </w:tc>
      </w:tr>
      <w:t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Median greenium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−0.021 bps</w:t>
            </w:r>
          </w:p>
        </w:tc>
      </w:tr>
      <w:tr>
        <w:tc>
          <w:tcPr>
            <w:tcW w:type="dxa" w:w="468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1%-trimmed mean greenium</w:t>
            </w:r>
          </w:p>
        </w:tc>
        <w:tc>
          <w:tcPr>
            <w:tcW w:type="dxa" w:w="468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−0.303 bps</w:t>
            </w:r>
          </w:p>
        </w:tc>
      </w:tr>
      <w:t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95% cluster-robust CI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[−2.023, +1.417] bps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matched-pair estimate is close to zero and its confidence interval spans zero, consistent with the regression-based finding of a small and not strongly significant Green effect.</w:t>
      </w:r>
    </w:p>
    <w:p>
      <w:pPr>
        <w:pStyle w:val="Heading1"/>
        <w:spacing w:after="150" w:before="300"/>
      </w:pPr>
      <w:r>
        <w:t xml:space="preserve">3. 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Green coefficient remains negative in every common-sample specification (Core, +Rating, +ESG, Full).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Its magnitude is modest: roughly −7.6 to −11.7 bps.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Credit Rating and ESG do not explain away the Green effect; ESG and the Green label are related but not identical constructs.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fully controlled (maximum-data) Full model was not statistically significant (p ≈ 0.39; 95% CI included zero).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matched-pair greenium is near zero with a CI spanning zero.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Taken together, current evidence does not support a claim of a large, universal greenium. Instead, any green pricing advantage appears small and possibly conditional on issuer, certification, or market-segment characteristics — a direction for further interaction and heterogeneity analysis (Green × ESG, Green × Certification, issuer fixed effects).</w:t>
      </w:r>
    </w:p>
    <w:p>
      <w:pPr>
        <w:pStyle w:val="Heading1"/>
        <w:spacing w:after="150" w:before="300"/>
      </w:pPr>
      <w:r>
        <w:t xml:space="preserve">4. Conceptual Path Diagram — Grouped by Construct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ten Model 6 predictors are grouped into two theoretically motivated latent constructs plus two standalone observed variables, rather than shown as ten unrelated boxes: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Sustainability / Green Profile (latent) ← Green Bond Label/Status, Certification, ESG Score — three different measures of the same underlying “greenness” trait.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Credit Rating — kept as a standalone manifest predictor. With only one indicator available it cannot be treated as a separate latent construct without an unjustified fixed-loading assumption, so it is shown feeding YTM directly.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Bond Structural / Contractual Characteristics (latent) ← Issue Size, Tenor, Coupon, Seniority, Instrument Type — the classic bundle of contractual bond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Currency × Issue Year Fixed Effects — an observed regime/market control, not a substantive latent trait, so it is kept separate.</w:t>
      </w:r>
    </w:p>
    <w:p>
      <w:pPr>
        <w:spacing w:after="200" w:before="200"/>
        <w:jc w:val="center"/>
      </w:pPr>
      <w:r>
        <w:drawing>
          <wp:inline distT="0" distB="0" distL="0" distR="0">
            <wp:extent cx="6096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Note: blue rectangles are manifest indicators of a latent construct; orange ellipses are latent constructs (Sustainability/Green Profile; Bond Structural/Contractual Characteristics); the yellow box (Credit Rating) is a standalone manifest predictor; the purple box is the observed fixed-effects control; the rounded green rectangle is the dependent variable, Yield to Maturity (YTM).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05938190338d0e89c206a7d6a312932301e8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2026-08-31T23:42:59.766Z</dcterms:created>
  <dcterms:modified xsi:type="dcterms:W3CDTF">2026-08-31T23:42:59.779Z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