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8102E"/>
          <w:sz w:val="40"/>
        </w:rPr>
        <w:t>VendorPulse — Development Dependency Document</w:t>
      </w:r>
    </w:p>
    <w:p>
      <w:pPr>
        <w:spacing w:after="200"/>
      </w:pPr>
      <w:r>
        <w:rPr>
          <w:rFonts w:ascii="Calibri" w:hAnsi="Calibri"/>
          <w:color w:val="555555"/>
          <w:sz w:val="19"/>
        </w:rPr>
        <w:t>Prepared by Zensar for Shell   ·   Version 1.0   ·   10 June 2026   ·   Confidential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1. Introduction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This document sets out what the team needs to build, deploy and run VendorPulse in Shell's environment: the developer hardware, the software stack with pinned versions, the Azure services the application depends on, and the commercial licences Shell will need to procure. It is a companion to the Dependencies &amp; Access Requirements document, which covers identity and access provisioning and the associated lead times.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806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Scope</w:t>
            </w:r>
          </w:p>
        </w:tc>
        <w:tc>
          <w:tcPr>
            <w:tcW w:type="dxa" w:w="80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Developer hardware, operating systems, runtimes, versioned libraries, the AI/agent stack, development and cloud tooling, and commercial licences.</w:t>
            </w:r>
          </w:p>
        </w:tc>
      </w:tr>
      <w:tr>
        <w:tc>
          <w:tcPr>
            <w:tcW w:type="dxa" w:w="201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Out of scope</w:t>
            </w:r>
          </w:p>
        </w:tc>
        <w:tc>
          <w:tcPr>
            <w:tcW w:type="dxa" w:w="80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Identity and network provisioning steps and team allocation (see Dependencies &amp; Access Requirements), and architecture rationale (see the Solution and Deployment Architecture documents).</w:t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Audience</w:t>
            </w:r>
          </w:p>
        </w:tc>
        <w:tc>
          <w:tcPr>
            <w:tcW w:type="dxa" w:w="80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Zensar engineering, and Shell IT Architecture, IT Security, Procurement and Cloud/IDT teams.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A1A1A"/>
          <w:sz w:val="20"/>
        </w:rPr>
        <w:t>VendorPulse is a single-tenant web application. The backend is a FastAPI service (Python 3.11) running on Azure Container Apps; the frontend is a React 19 single-page application served from Azure Static Web Apps. It uses Entra ID for single sign-on and Microsoft Graph for Outlook, calendar and Teams, with PostgreSQL for storage and Key Vault for secrets. A Microsoft Agent Framework layer calls Microsoft Foundry to draft text, and every AI-generated output passes through a human-approval gate before any action is taken.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2. Hardware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2.1 Developer workstation (per engineer)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There is no local GPU requirement — all model inference runs remotely in Foundry, so a standard development laptop is sufficient.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417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CPU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Intel Core i5 11th Gen / AMD Ryzen 5 5000 (4c/8t)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i7/i9 12th Gen+ / Ryzen 7–9 (8c+)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RAM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32 GB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32–64 GB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Storage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512 GB SSD, ≥ 100 GB free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 TB NVMe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GPU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None (inference is remote to Foundry)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Windows 11 Pro / macOS 13+ / Ubuntu 22.04+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+ WSL2 on Windows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Network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Broadband + Shell VPN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Wired, low-latency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2.2 Cloud runtime (Shell IDT-managed Azure)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VendorPulse runs entirely on Shell IDT-managed Azure; there is no on-premises footprint. The backend runs on Azure Container Apps and the frontend on Azure Static Web Apps, across three environments: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331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Backend (Container Apps)</w:t>
            </w:r>
          </w:p>
        </w:tc>
        <w:tc>
          <w:tcPr>
            <w:tcW w:type="dxa" w:w="288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Frontend (Static Web Apps)</w:t>
            </w:r>
          </w:p>
        </w:tc>
        <w:tc>
          <w:tcPr>
            <w:tcW w:type="dxa" w:w="244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PostgreSQL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Production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Autoscale 2–N, zone-redundant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Production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General Purpose + HA</w:t>
            </w:r>
          </w:p>
        </w:tc>
      </w:tr>
      <w:tr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Staging</w:t>
            </w:r>
          </w:p>
        </w:tc>
        <w:tc>
          <w:tcPr>
            <w:tcW w:type="dxa" w:w="33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Autoscale 1–3</w:t>
            </w:r>
          </w:p>
        </w:tc>
        <w:tc>
          <w:tcPr>
            <w:tcW w:type="dxa" w:w="288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Staging slot</w:t>
            </w:r>
          </w:p>
        </w:tc>
        <w:tc>
          <w:tcPr>
            <w:tcW w:type="dxa" w:w="244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General Purpose (small)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Development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 replica, scale-to-zero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Preview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Burstable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3. Software (with versions)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Exact versions are pinned in requirements.txt and package-lock.json and scanned in CI, in line with Shell IRM control D2. Where a minimum is shown (≥), it is the project floor rather than a fixed pin.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3.1 Runtimes and package managers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720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Python</w:t>
            </w:r>
          </w:p>
        </w:tc>
        <w:tc>
          <w:tcPr>
            <w:tcW w:type="dxa" w:w="7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3.11.x</w:t>
            </w:r>
          </w:p>
        </w:tc>
      </w:tr>
      <w:tr>
        <w:tc>
          <w:tcPr>
            <w:tcW w:type="dxa" w:w="288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Node.js</w:t>
            </w:r>
          </w:p>
        </w:tc>
        <w:tc>
          <w:tcPr>
            <w:tcW w:type="dxa" w:w="720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 LTS (≥ 20.19) or 22 LTS (≥ 22.12) — required by Vite 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npm / pip / Git</w:t>
            </w:r>
          </w:p>
        </w:tc>
        <w:tc>
          <w:tcPr>
            <w:tcW w:type="dxa" w:w="7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10.x / 23+ / 2.40+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3.2 Backend — Python (requirements.txt)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59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03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fastapi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0.115.6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Web framework / REST API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uvicorn[standard]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0.32.1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ASGI server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pydantic / pydantic-settings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2.10.4 / 2.7.0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Validation / configuration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httpx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0.28.1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Async HTTP (Microsoft Graph)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openai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1.50.0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LLM SDK (Foundry Responses API)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azure-ai-projects / azure-identity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1.0.0 / ≥ 1.17.0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Foundry client / Entra auth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truststore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0.10.0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Corporate TLS trust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python-dotenv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1.0.1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Local environment (dev only)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A1A1A"/>
          <w:sz w:val="20"/>
        </w:rPr>
        <w:t>For the Shell production build we add the MAF SDK (pinned to an exact version), MSAL for app-only Entra authentication, the PostgreSQL drivers (psycopg/asyncpg) with SQLAlchemy and Alembic for migrations, and the Azure Key Vault and Monitor SDKs. The Google packages used in the proof of concept (Gmail and Forms) are dropped; their functions move to Microsoft Graph and a native form.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3.3 Frontend — Node / React (package.json)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59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 / react-dom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19.2.4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UI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vite</w:t>
            </w:r>
          </w:p>
        </w:tc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8.0.1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Build / dev server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typescript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~5.9.3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Language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react-router-dom</w:t>
            </w:r>
          </w:p>
        </w:tc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7.13.2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Routing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zustand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5.0.12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State management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recharts</w:t>
            </w:r>
          </w:p>
        </w:tc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3.8.1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Charts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tailwindcss / @tailwindcss/vite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4.2.2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Styling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date-fns / lucide-react / clsx / tailwind-merge</w:t>
            </w:r>
          </w:p>
        </w:tc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4.1.0 / 1.7.0 / 2.1.1 / 3.5.0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Utilities / icons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eslint / typescript-eslint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9.39.4 / 8.57.0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Linting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3.4 AI / agent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7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 / model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Agent Framework (MAF) SDK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1.x (≈1.8, June 2026) — pinned to an exact version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</w:t>
            </w:r>
          </w:p>
        </w:tc>
        <w:tc>
          <w:tcPr>
            <w:tcW w:type="dxa" w:w="57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Responses API with content safety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Model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gpt-4.1 / gpt-4o family (the LLMProvider abstraction keeps Anthropic selectable)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Authentication</w:t>
            </w:r>
          </w:p>
        </w:tc>
        <w:tc>
          <w:tcPr>
            <w:tcW w:type="dxa" w:w="57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Entra ID (DefaultAzureCredential / app-only certificate) — no API keys in code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3.5 Developer and CI tooling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201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74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VS Code (or JetBrains)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latest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IDE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Claude Code (Anthropic agentic CLI)</w:t>
            </w:r>
          </w:p>
        </w:tc>
        <w:tc>
          <w:tcPr>
            <w:tcW w:type="dxa" w:w="201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latest</w:t>
            </w:r>
          </w:p>
        </w:tc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AI pair-programming assistant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CLI (az)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2.60+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/ Foundry / Graph authentication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Docker</w:t>
            </w:r>
          </w:p>
        </w:tc>
        <w:tc>
          <w:tcPr>
            <w:tcW w:type="dxa" w:w="201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24+</w:t>
            </w:r>
          </w:p>
        </w:tc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Container image builds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Bicep / Terraform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latest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Infrastructure as code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ruff / eslint</w:t>
            </w:r>
          </w:p>
        </w:tc>
        <w:tc>
          <w:tcPr>
            <w:tcW w:type="dxa" w:w="201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latest</w:t>
            </w:r>
          </w:p>
        </w:tc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Linting in CI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SonarQube/SonarCloud · Trivy · GitLeaks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 Shell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SAST · image/dependency scan · secrets scan</w:t>
            </w:r>
          </w:p>
        </w:tc>
      </w:tr>
      <w:tr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GitHub Actions / Azure DevOps</w:t>
            </w:r>
          </w:p>
        </w:tc>
        <w:tc>
          <w:tcPr>
            <w:tcW w:type="dxa" w:w="201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SaaS</w:t>
            </w:r>
          </w:p>
        </w:tc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CI/CD (Shell Enterprise Agreement)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4. Cloud Platform and Managed Services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All services run in a single-tenant Azure deployment in West Europe.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403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Container Apps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Autoscale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FastAPI + MAF backend</w:t>
            </w:r>
          </w:p>
        </w:tc>
      </w:tr>
      <w:tr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Static Web Apps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 SPA (CDN)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PostgreSQL Flexible Server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 + HA (prod)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Datastore (BaseRepository seam)</w:t>
            </w:r>
          </w:p>
        </w:tc>
      </w:tr>
      <w:tr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Key Vault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Secrets via Managed Identity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Front Door + WAF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TLS, OWASP rules, origin lock</w:t>
            </w:r>
          </w:p>
        </w:tc>
      </w:tr>
      <w:tr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App Insights + Azure Monitor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Pay-as-ingested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OpenTelemetry telemetry + audit mirror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Container Registry (ACR)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Backend images</w:t>
            </w:r>
          </w:p>
        </w:tc>
      </w:tr>
      <w:tr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 / Azure OpenAI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Responses API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LLM + content safety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Graph / Entra ID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Outlook/calendar/Teams · SSO, RBAC, identity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A1A1A"/>
          <w:sz w:val="20"/>
        </w:rPr>
        <w:t>Private endpoints connect the backend to Key Vault, PostgreSQL and Foundry, and all infrastructure is defined as code (Bicep or Terraform).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5. Licences and Subscriptions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Costs below are indicative; final figures depend on the Shell tier and usage. Open-source components carry no licence cost and require only a licence and security review.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5.1 Commercial (procurement required)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88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Licence</w:t>
            </w:r>
          </w:p>
        </w:tc>
        <w:tc>
          <w:tcPr>
            <w:tcW w:type="dxa" w:w="158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Indicative cost</w:t>
            </w:r>
          </w:p>
        </w:tc>
        <w:tc>
          <w:tcPr>
            <w:tcW w:type="dxa" w:w="144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LIC1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365 (E3/E5) — service mailbox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Per-user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~$23 (E3) / ~$57 (E5) /user/mo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Messaging</w:t>
            </w:r>
          </w:p>
        </w:tc>
      </w:tr>
      <w:tr>
        <w:tc>
          <w:tcPr>
            <w:tcW w:type="dxa" w:w="10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LIC2</w:t>
            </w:r>
          </w:p>
        </w:tc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Entra ID</w:t>
            </w:r>
          </w:p>
        </w:tc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Included in M365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Identity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LIC3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subscription (Container Apps, SWA, PostgreSQL, Key Vault, Front Door, App Insights, ACR)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Consumption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~$450–$650/mo prod; +~$80–$120/mo non-prod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Cloud</w:t>
            </w:r>
          </w:p>
        </w:tc>
      </w:tr>
      <w:tr>
        <w:tc>
          <w:tcPr>
            <w:tcW w:type="dxa" w:w="10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LIC4</w:t>
            </w:r>
          </w:p>
        </w:tc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 / Azure OpenAI usage (gpt-4.1 / gpt-4o)</w:t>
            </w:r>
          </w:p>
        </w:tc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Pay-per-token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~$1,000/mo (≈$12k/yr) — Shell.AI + TRB approval</w:t>
            </w:r>
          </w:p>
        </w:tc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Shell.AI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LIC4-alt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Anthropic Enterprise (LLM alternative via the abstraction)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Enterprise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 contract + DPA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Procurement</w:t>
            </w:r>
          </w:p>
        </w:tc>
      </w:tr>
      <w:tr>
        <w:tc>
          <w:tcPr>
            <w:tcW w:type="dxa" w:w="10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LIC5</w:t>
            </w:r>
          </w:p>
        </w:tc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DevOps / GitHub Enterprise</w:t>
            </w:r>
          </w:p>
        </w:tc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SaaS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Included in Microsoft EA</w:t>
            </w:r>
          </w:p>
        </w:tc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Engineering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LIC6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SonarQube / SonarCloud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 Shell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 licence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Engineering</w:t>
            </w:r>
          </w:p>
        </w:tc>
      </w:tr>
      <w:tr>
        <w:tc>
          <w:tcPr>
            <w:tcW w:type="dxa" w:w="10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LIC7</w:t>
            </w:r>
          </w:p>
        </w:tc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Claude Code (Anthropic)</w:t>
            </w:r>
          </w:p>
        </w:tc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Pro / Max / Team seat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~$20 (Pro) · $100–$200 (Max) /user/mo</w:t>
            </w:r>
          </w:p>
        </w:tc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Zensar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LIC8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TLS certificate (public hostname)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PKI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PKI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5.2 Open-source (no licence cost — review only)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Python, FastAPI, Uvicorn, Pydantic and httpx; React, Vite, TypeScript, Zustand, Recharts and Tailwind; the Microsoft Agent Framework and Azure SDKs; and Trivy and GitLeaks. All are under MIT, BSD or Apache-2.0 licences. There are no copyleft (GPL) components in the current stack.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6. Access and Identity</w:t>
      </w:r>
    </w:p>
    <w:p>
      <w:pPr>
        <w:spacing w:after="120"/>
      </w:pPr>
      <w:r>
        <w:rPr>
          <w:rFonts w:ascii="Calibri" w:hAnsi="Calibri"/>
          <w:color w:val="1A1A1A"/>
          <w:sz w:val="20"/>
        </w:rPr>
        <w:t>This is a summary; the full breakdown, including provisioning steps, sits in the Dependencies &amp; Access Requirements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Ref</w:t>
            </w:r>
          </w:p>
        </w:tc>
        <w:tc>
          <w:tcPr>
            <w:tcW w:type="dxa" w:w="489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4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Lead time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I1–I2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App registrations and certificate credentials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Entra ID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 week</w:t>
            </w:r>
          </w:p>
        </w:tc>
      </w:tr>
      <w:tr>
        <w:tc>
          <w:tcPr>
            <w:tcW w:type="dxa" w:w="12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I3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Admin consent: Mail.Send, Mail.Read, Calendars.ReadWrite, OnlineMeetings.ReadWrite.All, User.Read.All</w:t>
            </w:r>
          </w:p>
        </w:tc>
        <w:tc>
          <w:tcPr>
            <w:tcW w:type="dxa" w:w="244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Entra ID (global admin)</w:t>
            </w:r>
          </w:p>
        </w:tc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2–4 weeks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I5–I6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Entra role groups and Application Access Policy (mailbox-scoped)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IAM / Exchange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1–2 weeks</w:t>
            </w:r>
          </w:p>
        </w:tc>
      </w:tr>
      <w:tr>
        <w:tc>
          <w:tcPr>
            <w:tcW w:type="dxa" w:w="12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A1–A5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subscription, resource groups, Container Apps, PostgreSQL, Key Vault</w:t>
            </w:r>
          </w:p>
        </w:tc>
        <w:tc>
          <w:tcPr>
            <w:tcW w:type="dxa" w:w="244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Cloud</w:t>
            </w:r>
          </w:p>
        </w:tc>
        <w:tc>
          <w:tcPr>
            <w:tcW w:type="dxa" w:w="144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1–2 weeks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Compliance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AI Registry + ServiceNow + IRM IAQ; Shell.AI and TRB model approval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IRM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Precedes production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7. Assumptions and Constraints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0"/>
        </w:rPr>
        <w:t>The target is the Shell production stack (MAF, Foundry, Azure and Outlook); the Google components from the proof of concept have been removed.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0"/>
        </w:rPr>
        <w:t>There is no local GPU — all inference is remote, in Foundry.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0"/>
        </w:rPr>
        <w:t>The LLM provider (Foundry or Anthropic) is a configuration choice through the LLMProvider abstraction.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0"/>
        </w:rPr>
        <w:t>In deployed environments, secrets come from Key Vault via Managed Identity; .env files are used for local development only.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0"/>
        </w:rPr>
        <w:t>The MAF SDK version is pinned and re-validated at build time.</w:t>
      </w:r>
    </w:p>
    <w:p>
      <w:pPr>
        <w:spacing w:before="240"/>
        <w:jc w:val="center"/>
      </w:pPr>
      <w:r>
        <w:rPr>
          <w:rFonts w:ascii="Calibri" w:hAnsi="Calibri"/>
          <w:color w:val="555555"/>
          <w:sz w:val="16"/>
        </w:rPr>
        <w:t>VendorPulse — Development Dependency Document · Zensar for Shell · v1.0 · 10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