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8102E"/>
          <w:sz w:val="44"/>
        </w:rPr>
        <w:t>VendorPulse — Client Meeting Prep Pack</w:t>
      </w:r>
    </w:p>
    <w:p>
      <w:pPr>
        <w:spacing w:after="40"/>
      </w:pPr>
      <w:r>
        <w:rPr>
          <w:rFonts w:ascii="Calibri" w:hAnsi="Calibri"/>
          <w:i/>
          <w:color w:val="555555"/>
          <w:sz w:val="22"/>
        </w:rPr>
        <w:t>Decoding the Solution Architecture &amp; Infrastructure docs · the Foundry story · deployment models · VM sizing · full glossary · anticipated Q&amp;A</w:t>
      </w:r>
    </w:p>
    <w:p>
      <w:pPr>
        <w:spacing w:after="160"/>
      </w:pPr>
      <w:r>
        <w:rPr>
          <w:rFonts w:ascii="Calibri" w:hAnsi="Calibri"/>
          <w:color w:val="555555"/>
          <w:sz w:val="18"/>
        </w:rPr>
        <w:t>Prepared for the Zensar team · for the prospective-client review (Product Owner · Solution Architect · AI Architect) · Confidential</w:t>
      </w:r>
    </w:p>
    <w:p>
      <w:pPr>
        <w:spacing w:before="320" w:after="80"/>
      </w:pPr>
      <w:r>
        <w:rPr>
          <w:rFonts w:ascii="Calibri" w:hAnsi="Calibri"/>
          <w:b/>
          <w:color w:val="C8102E"/>
          <w:sz w:val="32"/>
        </w:rPr>
        <w:t>0. Read this first — the 7 things to remember</w:t>
      </w:r>
    </w:p>
    <w:p>
      <w:pPr>
        <w:spacing w:after="120"/>
      </w:pPr>
      <w:r>
        <w:rPr>
          <w:rFonts w:ascii="Calibri" w:hAnsi="Calibri"/>
          <w:b w:val="0"/>
          <w:color w:val="1A1A1A"/>
          <w:sz w:val="20"/>
        </w:rPr>
        <w:t>If you remember nothing else walking into the room, remember these. Everything later in this pack just backs them up.</w:t>
      </w:r>
    </w:p>
    <w:p>
      <w:pPr>
        <w:pStyle w:val="ListBullet"/>
        <w:spacing w:after="40"/>
      </w:pPr>
      <w:r>
        <w:rPr>
          <w:rFonts w:ascii="Calibri" w:hAnsi="Calibri"/>
          <w:b/>
          <w:color w:val="1A1A1A"/>
          <w:sz w:val="20"/>
        </w:rPr>
        <w:t>What it is:</w:t>
      </w:r>
      <w:r>
        <w:rPr>
          <w:rFonts w:ascii="Calibri" w:hAnsi="Calibri"/>
          <w:b w:val="0"/>
          <w:color w:val="1A1A1A"/>
          <w:sz w:val="20"/>
        </w:rPr>
        <w:t xml:space="preserve"> VendorPulse automates the </w:t>
      </w:r>
      <w:r>
        <w:rPr>
          <w:rFonts w:ascii="Calibri" w:hAnsi="Calibri"/>
          <w:b/>
          <w:color w:val="1A1A1A"/>
          <w:sz w:val="20"/>
        </w:rPr>
        <w:t>Quarterly Business Review (QBR)</w:t>
      </w:r>
      <w:r>
        <w:rPr>
          <w:rFonts w:ascii="Calibri" w:hAnsi="Calibri"/>
          <w:b w:val="0"/>
          <w:color w:val="1A1A1A"/>
          <w:sz w:val="20"/>
        </w:rPr>
        <w:t xml:space="preserve"> process for vendor governance — a fixed </w:t>
      </w:r>
      <w:r>
        <w:rPr>
          <w:rFonts w:ascii="Calibri" w:hAnsi="Calibri"/>
          <w:b/>
          <w:color w:val="1A1A1A"/>
          <w:sz w:val="20"/>
        </w:rPr>
        <w:t>12-step workflow</w:t>
      </w:r>
      <w:r>
        <w:rPr>
          <w:rFonts w:ascii="Calibri" w:hAnsi="Calibri"/>
          <w:b w:val="0"/>
          <w:color w:val="1A1A1A"/>
          <w:sz w:val="20"/>
        </w:rPr>
        <w:t xml:space="preserve"> that the software drives, with AI used only to </w:t>
      </w:r>
      <w:r>
        <w:rPr>
          <w:rFonts w:ascii="Calibri" w:hAnsi="Calibri"/>
          <w:b/>
          <w:color w:val="1A1A1A"/>
          <w:sz w:val="20"/>
        </w:rPr>
        <w:t>draft text</w:t>
      </w:r>
      <w:r>
        <w:rPr>
          <w:rFonts w:ascii="Calibri" w:hAnsi="Calibri"/>
          <w:b w:val="0"/>
          <w:color w:val="1A1A1A"/>
          <w:sz w:val="20"/>
        </w:rPr>
        <w:t>.</w:t>
      </w:r>
    </w:p>
    <w:p>
      <w:pPr>
        <w:pStyle w:val="ListBullet"/>
        <w:spacing w:after="40"/>
      </w:pPr>
      <w:r>
        <w:rPr>
          <w:rFonts w:ascii="Calibri" w:hAnsi="Calibri"/>
          <w:b/>
          <w:color w:val="1A1A1A"/>
          <w:sz w:val="20"/>
        </w:rPr>
        <w:t>Deterministic-first, AI-second:</w:t>
      </w:r>
      <w:r>
        <w:rPr>
          <w:rFonts w:ascii="Calibri" w:hAnsi="Calibri"/>
          <w:b w:val="0"/>
          <w:color w:val="1A1A1A"/>
          <w:sz w:val="20"/>
        </w:rPr>
        <w:t xml:space="preserve"> every real decision (ranking slots, validating scores, moving the workflow forward) is </w:t>
      </w:r>
      <w:r>
        <w:rPr>
          <w:rFonts w:ascii="Calibri" w:hAnsi="Calibri"/>
          <w:b/>
          <w:color w:val="1A1A1A"/>
          <w:sz w:val="20"/>
        </w:rPr>
        <w:t>plain code</w:t>
      </w:r>
      <w:r>
        <w:rPr>
          <w:rFonts w:ascii="Calibri" w:hAnsi="Calibri"/>
          <w:b w:val="0"/>
          <w:color w:val="1A1A1A"/>
          <w:sz w:val="20"/>
        </w:rPr>
        <w:t>. The AI never decides or acts — it only writes drafts a human approves. This is the single most important sentence for an AI-governance client.</w:t>
      </w:r>
    </w:p>
    <w:p>
      <w:pPr>
        <w:pStyle w:val="ListBullet"/>
        <w:spacing w:after="40"/>
      </w:pPr>
      <w:r>
        <w:rPr>
          <w:rFonts w:ascii="Calibri" w:hAnsi="Calibri"/>
          <w:b/>
          <w:color w:val="1A1A1A"/>
          <w:sz w:val="20"/>
        </w:rPr>
        <w:t>Human-approval gate (HITL):</w:t>
      </w:r>
      <w:r>
        <w:rPr>
          <w:rFonts w:ascii="Calibri" w:hAnsi="Calibri"/>
          <w:b w:val="0"/>
          <w:color w:val="1A1A1A"/>
          <w:sz w:val="20"/>
        </w:rPr>
        <w:t xml:space="preserve"> nothing leaves the system — no email, no invite — until a person clicks Approve. The AI cannot send anything by itself.</w:t>
      </w:r>
    </w:p>
    <w:p>
      <w:pPr>
        <w:pStyle w:val="ListBullet"/>
        <w:spacing w:after="40"/>
      </w:pPr>
      <w:r>
        <w:rPr>
          <w:rFonts w:ascii="Calibri" w:hAnsi="Calibri"/>
          <w:b/>
          <w:color w:val="1A1A1A"/>
          <w:sz w:val="20"/>
        </w:rPr>
        <w:t>Where the AI runs:</w:t>
      </w:r>
      <w:r>
        <w:rPr>
          <w:rFonts w:ascii="Calibri" w:hAnsi="Calibri"/>
          <w:b w:val="0"/>
          <w:color w:val="1A1A1A"/>
          <w:sz w:val="20"/>
        </w:rPr>
        <w:t xml:space="preserve"> </w:t>
      </w:r>
      <w:r>
        <w:rPr>
          <w:rFonts w:ascii="Calibri" w:hAnsi="Calibri"/>
          <w:b/>
          <w:color w:val="1A1A1A"/>
          <w:sz w:val="20"/>
        </w:rPr>
        <w:t>Azure AI Foundry, inside Shell's own tenant</w:t>
      </w:r>
      <w:r>
        <w:rPr>
          <w:rFonts w:ascii="Calibri" w:hAnsi="Calibri"/>
          <w:b w:val="0"/>
          <w:color w:val="1A1A1A"/>
          <w:sz w:val="20"/>
        </w:rPr>
        <w:t xml:space="preserve"> (the GPT-4o model), reached over a </w:t>
      </w:r>
      <w:r>
        <w:rPr>
          <w:rFonts w:ascii="Calibri" w:hAnsi="Calibri"/>
          <w:b/>
          <w:color w:val="1A1A1A"/>
          <w:sz w:val="20"/>
        </w:rPr>
        <w:t>private</w:t>
      </w:r>
      <w:r>
        <w:rPr>
          <w:rFonts w:ascii="Calibri" w:hAnsi="Calibri"/>
          <w:b w:val="0"/>
          <w:color w:val="1A1A1A"/>
          <w:sz w:val="20"/>
        </w:rPr>
        <w:t xml:space="preserve"> connection. No data goes to the public internet or trains any model.</w:t>
      </w:r>
    </w:p>
    <w:p>
      <w:pPr>
        <w:pStyle w:val="ListBullet"/>
        <w:spacing w:after="40"/>
      </w:pPr>
      <w:r>
        <w:rPr>
          <w:rFonts w:ascii="Calibri" w:hAnsi="Calibri"/>
          <w:b/>
          <w:color w:val="1A1A1A"/>
          <w:sz w:val="20"/>
        </w:rPr>
        <w:t>How it's hosted:</w:t>
      </w:r>
      <w:r>
        <w:rPr>
          <w:rFonts w:ascii="Calibri" w:hAnsi="Calibri"/>
          <w:b w:val="0"/>
          <w:color w:val="1A1A1A"/>
          <w:sz w:val="20"/>
        </w:rPr>
        <w:t xml:space="preserve"> </w:t>
      </w:r>
      <w:r>
        <w:rPr>
          <w:rFonts w:ascii="Calibri" w:hAnsi="Calibri"/>
          <w:b/>
          <w:color w:val="1A1A1A"/>
          <w:sz w:val="20"/>
        </w:rPr>
        <w:t>100% cloud, in Shell's own Azure subscription. Not on-premises. Not serverless.</w:t>
      </w:r>
      <w:r>
        <w:rPr>
          <w:rFonts w:ascii="Calibri" w:hAnsi="Calibri"/>
          <w:b w:val="0"/>
          <w:color w:val="1A1A1A"/>
          <w:sz w:val="20"/>
        </w:rPr>
        <w:t xml:space="preserve"> The current design runs the app on a single </w:t>
      </w:r>
      <w:r>
        <w:rPr>
          <w:rFonts w:ascii="Calibri" w:hAnsi="Calibri"/>
          <w:b/>
          <w:color w:val="1A1A1A"/>
          <w:sz w:val="20"/>
        </w:rPr>
        <w:t>Azure virtual machine (D4as v6 / D8as v6)</w:t>
      </w:r>
      <w:r>
        <w:rPr>
          <w:rFonts w:ascii="Calibri" w:hAnsi="Calibri"/>
          <w:b w:val="0"/>
          <w:color w:val="1A1A1A"/>
          <w:sz w:val="20"/>
        </w:rPr>
        <w:t xml:space="preserve"> inside a private network.</w:t>
      </w:r>
    </w:p>
    <w:p>
      <w:pPr>
        <w:pStyle w:val="ListBullet"/>
        <w:spacing w:after="40"/>
      </w:pPr>
      <w:r>
        <w:rPr>
          <w:rFonts w:ascii="Calibri" w:hAnsi="Calibri"/>
          <w:b/>
          <w:color w:val="1A1A1A"/>
          <w:sz w:val="20"/>
        </w:rPr>
        <w:t>What changed recently:</w:t>
      </w:r>
      <w:r>
        <w:rPr>
          <w:rFonts w:ascii="Calibri" w:hAnsi="Calibri"/>
          <w:b w:val="0"/>
          <w:color w:val="1A1A1A"/>
          <w:sz w:val="20"/>
        </w:rPr>
        <w:t xml:space="preserve"> we started by calling the model directly from FastAPI; on your steer we moved to the </w:t>
      </w:r>
      <w:r>
        <w:rPr>
          <w:rFonts w:ascii="Calibri" w:hAnsi="Calibri"/>
          <w:b/>
          <w:color w:val="1A1A1A"/>
          <w:sz w:val="20"/>
        </w:rPr>
        <w:t>Azure AI Foundry + Microsoft Agent Framework (MAF)</w:t>
      </w:r>
      <w:r>
        <w:rPr>
          <w:rFonts w:ascii="Calibri" w:hAnsi="Calibri"/>
          <w:b w:val="0"/>
          <w:color w:val="1A1A1A"/>
          <w:sz w:val="20"/>
        </w:rPr>
        <w:t xml:space="preserve"> approach. A working </w:t>
      </w:r>
      <w:r>
        <w:rPr>
          <w:rFonts w:ascii="Calibri" w:hAnsi="Calibri"/>
          <w:b/>
          <w:color w:val="1A1A1A"/>
          <w:sz w:val="20"/>
        </w:rPr>
        <w:t>proof of concept is done</w:t>
      </w:r>
      <w:r>
        <w:rPr>
          <w:rFonts w:ascii="Calibri" w:hAnsi="Calibri"/>
          <w:b w:val="0"/>
          <w:color w:val="1A1A1A"/>
          <w:sz w:val="20"/>
        </w:rPr>
        <w:t>.</w:t>
      </w:r>
    </w:p>
    <w:p>
      <w:pPr>
        <w:pStyle w:val="ListBullet"/>
        <w:spacing w:after="40"/>
      </w:pPr>
      <w:r>
        <w:rPr>
          <w:rFonts w:ascii="Calibri" w:hAnsi="Calibri"/>
          <w:b/>
          <w:color w:val="1A1A1A"/>
          <w:sz w:val="20"/>
        </w:rPr>
        <w:t>No GPU anywhere:</w:t>
      </w:r>
      <w:r>
        <w:rPr>
          <w:rFonts w:ascii="Calibri" w:hAnsi="Calibri"/>
          <w:b w:val="0"/>
          <w:color w:val="1A1A1A"/>
          <w:sz w:val="20"/>
        </w:rPr>
        <w:t xml:space="preserve"> all the heavy AI compute happens remotely in Foundry, so neither the server nor the developer laptops need a graphics card.</w:t>
      </w:r>
    </w:p>
    <w:tbl>
      <w:tblPr>
        <w:tblStyle w:val="TableGrid"/>
        <w:tblW w:type="auto" w:w="0"/>
        <w:tblLook w:firstColumn="1" w:firstRow="1" w:lastColumn="0" w:lastRow="0" w:noHBand="0" w:noVBand="1" w:val="04A0"/>
      </w:tblPr>
      <w:tblGrid>
        <w:gridCol w:w="8640"/>
      </w:tblGrid>
      <w:tr>
        <w:tc>
          <w:tcPr>
            <w:tcW w:type="dxa" w:w="8640"/>
            <w:shd w:val="clear" w:color="auto" w:fill="FDF3F4"/>
          </w:tcPr>
          <w:p>
            <w:pPr>
              <w:spacing w:after="40"/>
            </w:pPr>
            <w:r/>
            <w:r>
              <w:rPr>
                <w:rFonts w:ascii="Calibri" w:hAnsi="Calibri"/>
                <w:b/>
                <w:color w:val="C8102E"/>
                <w:sz w:val="20"/>
              </w:rPr>
              <w:t>ONE-LINE ANSWER if asked 'is this serverless / on-prem / cloud?'</w:t>
            </w:r>
          </w:p>
          <w:p>
            <w:r>
              <w:rPr>
                <w:rFonts w:ascii="Calibri" w:hAnsi="Calibri"/>
                <w:b w:val="0"/>
                <w:color w:val="1A1A1A"/>
                <w:sz w:val="20"/>
              </w:rPr>
              <w:t xml:space="preserve">"It runs entirely in Shell's own Azure cloud — single-tenant, inside your region and your network. It is </w:t>
            </w:r>
            <w:r>
              <w:rPr>
                <w:rFonts w:ascii="Calibri" w:hAnsi="Calibri"/>
                <w:b/>
                <w:color w:val="1A1A1A"/>
                <w:sz w:val="20"/>
              </w:rPr>
              <w:t>not</w:t>
            </w:r>
            <w:r>
              <w:rPr>
                <w:rFonts w:ascii="Calibri" w:hAnsi="Calibri"/>
                <w:b w:val="0"/>
                <w:color w:val="1A1A1A"/>
                <w:sz w:val="20"/>
              </w:rPr>
              <w:t xml:space="preserve"> on-premises (no hardware in a Shell building) and the current design is </w:t>
            </w:r>
            <w:r>
              <w:rPr>
                <w:rFonts w:ascii="Calibri" w:hAnsi="Calibri"/>
                <w:b/>
                <w:color w:val="1A1A1A"/>
                <w:sz w:val="20"/>
              </w:rPr>
              <w:t>not</w:t>
            </w:r>
            <w:r>
              <w:rPr>
                <w:rFonts w:ascii="Calibri" w:hAnsi="Calibri"/>
                <w:b w:val="0"/>
                <w:color w:val="1A1A1A"/>
                <w:sz w:val="20"/>
              </w:rPr>
              <w:t xml:space="preserve"> serverless: it's a right-sized </w:t>
            </w:r>
            <w:r>
              <w:rPr>
                <w:rFonts w:ascii="Calibri" w:hAnsi="Calibri"/>
                <w:b/>
                <w:color w:val="1A1A1A"/>
                <w:sz w:val="20"/>
              </w:rPr>
              <w:t>Azure virtual machine</w:t>
            </w:r>
            <w:r>
              <w:rPr>
                <w:rFonts w:ascii="Calibri" w:hAnsi="Calibri"/>
                <w:b w:val="0"/>
                <w:color w:val="1A1A1A"/>
                <w:sz w:val="20"/>
              </w:rPr>
              <w:t xml:space="preserve"> we fully control, which keeps the security review simple. We can move it to a managed/serverless Azure service later without changing the code."</w:t>
            </w:r>
          </w:p>
        </w:tc>
      </w:tr>
    </w:tbl>
    <w:p/>
    <w:p>
      <w:pPr>
        <w:spacing w:before="320" w:after="80"/>
      </w:pPr>
      <w:r>
        <w:rPr>
          <w:rFonts w:ascii="Calibri" w:hAnsi="Calibri"/>
          <w:b/>
          <w:color w:val="C8102E"/>
          <w:sz w:val="32"/>
        </w:rPr>
        <w:t>1. The project in plain English</w:t>
      </w:r>
    </w:p>
    <w:p>
      <w:pPr>
        <w:spacing w:after="120"/>
      </w:pPr>
      <w:r>
        <w:rPr>
          <w:rFonts w:ascii="Calibri" w:hAnsi="Calibri"/>
          <w:b w:val="0"/>
          <w:color w:val="1A1A1A"/>
          <w:sz w:val="20"/>
        </w:rPr>
        <w:t xml:space="preserve">VendorPulse is a </w:t>
      </w:r>
      <w:r>
        <w:rPr>
          <w:rFonts w:ascii="Calibri" w:hAnsi="Calibri"/>
          <w:b/>
          <w:color w:val="1A1A1A"/>
          <w:sz w:val="20"/>
        </w:rPr>
        <w:t>vendor-governance workflow app</w:t>
      </w:r>
      <w:r>
        <w:rPr>
          <w:rFonts w:ascii="Calibri" w:hAnsi="Calibri"/>
          <w:b w:val="0"/>
          <w:color w:val="1A1A1A"/>
          <w:sz w:val="20"/>
        </w:rPr>
        <w:t xml:space="preserve">. Large organisations run </w:t>
      </w:r>
      <w:r>
        <w:rPr>
          <w:rFonts w:ascii="Calibri" w:hAnsi="Calibri"/>
          <w:b/>
          <w:color w:val="1A1A1A"/>
          <w:sz w:val="20"/>
        </w:rPr>
        <w:t>QBRs</w:t>
      </w:r>
      <w:r>
        <w:rPr>
          <w:rFonts w:ascii="Calibri" w:hAnsi="Calibri"/>
          <w:b w:val="0"/>
          <w:color w:val="1A1A1A"/>
          <w:sz w:val="20"/>
        </w:rPr>
        <w:t xml:space="preserve"> — Quarterly Business Reviews — with their key vendors: a structured meeting where both sides review how the vendor performed (scorecards), agree actions, and prepare for the next quarter. Coordinating one is a lot of manual chasing: find a meeting slot everyone can make, send invites, collect scorecards, compile them, brief leadership, prep for the meeting, capture minutes. VendorPulse turns that into a guided, auditable assembly line.</w:t>
      </w:r>
    </w:p>
    <w:p>
      <w:pPr>
        <w:spacing w:after="120"/>
      </w:pPr>
      <w:r>
        <w:rPr>
          <w:rFonts w:ascii="Calibri" w:hAnsi="Calibri"/>
          <w:b w:val="0"/>
          <w:color w:val="1A1A1A"/>
          <w:sz w:val="20"/>
        </w:rPr>
        <w:t xml:space="preserve">The work moves through a </w:t>
      </w:r>
      <w:r>
        <w:rPr>
          <w:rFonts w:ascii="Calibri" w:hAnsi="Calibri"/>
          <w:b/>
          <w:color w:val="1A1A1A"/>
          <w:sz w:val="20"/>
        </w:rPr>
        <w:t>12-state workflow</w:t>
      </w:r>
      <w:r>
        <w:rPr>
          <w:rFonts w:ascii="Calibri" w:hAnsi="Calibri"/>
          <w:b w:val="0"/>
          <w:color w:val="1A1A1A"/>
          <w:sz w:val="20"/>
        </w:rPr>
        <w:t xml:space="preserve"> (created → attendees refreshed → availability collected → meeting scheduled → scorecards requested → collected → compiled → internal alignment → vendor prep → meeting → post-meeting → archived). The workflow can only move </w:t>
      </w:r>
      <w:r>
        <w:rPr>
          <w:rFonts w:ascii="Calibri" w:hAnsi="Calibri"/>
          <w:b/>
          <w:color w:val="1A1A1A"/>
          <w:sz w:val="20"/>
        </w:rPr>
        <w:t>forward, one step at a time</w:t>
      </w:r>
      <w:r>
        <w:rPr>
          <w:rFonts w:ascii="Calibri" w:hAnsi="Calibri"/>
          <w:b w:val="0"/>
          <w:color w:val="1A1A1A"/>
          <w:sz w:val="20"/>
        </w:rPr>
        <w:t xml:space="preserve"> — it can never skip or go backwards. That rigidity is a feature: it makes the process predictable and auditable, which is exactly what a governance tool needs.</w:t>
      </w:r>
    </w:p>
    <w:p>
      <w:pPr>
        <w:spacing w:after="120"/>
      </w:pPr>
      <w:r>
        <w:rPr>
          <w:rFonts w:ascii="Calibri" w:hAnsi="Calibri"/>
          <w:b w:val="0"/>
          <w:color w:val="1A1A1A"/>
          <w:sz w:val="20"/>
        </w:rPr>
        <w:t xml:space="preserve">There are </w:t>
      </w:r>
      <w:r>
        <w:rPr>
          <w:rFonts w:ascii="Calibri" w:hAnsi="Calibri"/>
          <w:b/>
          <w:color w:val="1A1A1A"/>
          <w:sz w:val="20"/>
        </w:rPr>
        <w:t>6 functional modules (A–F)</w:t>
      </w:r>
      <w:r>
        <w:rPr>
          <w:rFonts w:ascii="Calibri" w:hAnsi="Calibri"/>
          <w:b w:val="0"/>
          <w:color w:val="1A1A1A"/>
          <w:sz w:val="20"/>
        </w:rPr>
        <w:t xml:space="preserve"> — Scheduling, Scorecard, Alignment, Vendor Prep, Meeting, Analytics. Each has an </w:t>
      </w:r>
      <w:r>
        <w:rPr>
          <w:rFonts w:ascii="Calibri" w:hAnsi="Calibri"/>
          <w:b/>
          <w:color w:val="1A1A1A"/>
          <w:sz w:val="20"/>
        </w:rPr>
        <w:t>AI agent</w:t>
      </w:r>
      <w:r>
        <w:rPr>
          <w:rFonts w:ascii="Calibri" w:hAnsi="Calibri"/>
          <w:b w:val="0"/>
          <w:color w:val="1A1A1A"/>
          <w:sz w:val="20"/>
        </w:rPr>
        <w:t xml:space="preserve"> that drafts the human-readable text for that step (an invite, a brief, meeting minutes, a leadership summary). The agent </w:t>
      </w:r>
      <w:r>
        <w:rPr>
          <w:rFonts w:ascii="Calibri" w:hAnsi="Calibri"/>
          <w:b/>
          <w:color w:val="1A1A1A"/>
          <w:sz w:val="20"/>
        </w:rPr>
        <w:t>never</w:t>
      </w:r>
      <w:r>
        <w:rPr>
          <w:rFonts w:ascii="Calibri" w:hAnsi="Calibri"/>
          <w:b w:val="0"/>
          <w:color w:val="1A1A1A"/>
          <w:sz w:val="20"/>
        </w:rPr>
        <w:t xml:space="preserve"> does the maths or makes the decision — that's deterministic code. It only writes the words, and a human approves them.</w:t>
      </w:r>
    </w:p>
    <w:tbl>
      <w:tblPr>
        <w:tblStyle w:val="TableGrid"/>
        <w:tblW w:type="auto" w:w="0"/>
        <w:tblLook w:firstColumn="1" w:firstRow="1" w:lastColumn="0" w:lastRow="0" w:noHBand="0" w:noVBand="1" w:val="04A0"/>
      </w:tblPr>
      <w:tblGrid>
        <w:gridCol w:w="8640"/>
      </w:tblGrid>
      <w:tr>
        <w:tc>
          <w:tcPr>
            <w:tcW w:type="dxa" w:w="8640"/>
            <w:shd w:val="clear" w:color="auto" w:fill="FDF3F4"/>
          </w:tcPr>
          <w:p>
            <w:pPr>
              <w:spacing w:after="40"/>
            </w:pPr>
            <w:r/>
            <w:r>
              <w:rPr>
                <w:rFonts w:ascii="Calibri" w:hAnsi="Calibri"/>
                <w:b/>
                <w:color w:val="C8102E"/>
                <w:sz w:val="20"/>
              </w:rPr>
              <w:t>The mental model to carry into the room</w:t>
            </w:r>
          </w:p>
          <w:p>
            <w:r>
              <w:rPr>
                <w:rFonts w:ascii="Calibri" w:hAnsi="Calibri"/>
                <w:b w:val="0"/>
                <w:color w:val="1A1A1A"/>
                <w:sz w:val="20"/>
              </w:rPr>
              <w:t xml:space="preserve">Think of VendorPulse as a </w:t>
            </w:r>
            <w:r>
              <w:rPr>
                <w:rFonts w:ascii="Calibri" w:hAnsi="Calibri"/>
                <w:b/>
                <w:color w:val="1A1A1A"/>
                <w:sz w:val="20"/>
              </w:rPr>
              <w:t>factory conveyor belt with a smart assistant standing next to it</w:t>
            </w:r>
            <w:r>
              <w:rPr>
                <w:rFonts w:ascii="Calibri" w:hAnsi="Calibri"/>
                <w:b w:val="0"/>
                <w:color w:val="1A1A1A"/>
                <w:sz w:val="20"/>
              </w:rPr>
              <w:t>. The belt (the workflow) is rigid and deterministic. The assistant (the AI) can draft a nicely-worded email or summary when asked, but it can't move the belt, change a number, or post anything — a human supervisor signs off every output. Governance clients buy the conveyor belt; the AI is a convenience on top, fully fenced in.</w:t>
            </w:r>
          </w:p>
        </w:tc>
      </w:tr>
    </w:tbl>
    <w:p/>
    <w:p>
      <w:pPr>
        <w:spacing w:before="320" w:after="80"/>
      </w:pPr>
      <w:r>
        <w:rPr>
          <w:rFonts w:ascii="Calibri" w:hAnsi="Calibri"/>
          <w:b/>
          <w:color w:val="C8102E"/>
          <w:sz w:val="32"/>
        </w:rPr>
        <w:t>2. The two shared documents, decoded</w:t>
      </w:r>
    </w:p>
    <w:p>
      <w:pPr>
        <w:spacing w:before="200" w:after="40"/>
      </w:pPr>
      <w:r>
        <w:rPr>
          <w:rFonts w:ascii="Calibri" w:hAnsi="Calibri"/>
          <w:b/>
          <w:color w:val="1A1A1A"/>
          <w:sz w:val="24"/>
        </w:rPr>
        <w:t>2.1 Solution Architecture — the 5 numbered layers</w:t>
      </w:r>
    </w:p>
    <w:p>
      <w:pPr>
        <w:spacing w:after="120"/>
      </w:pPr>
      <w:r>
        <w:rPr>
          <w:rFonts w:ascii="Calibri" w:hAnsi="Calibri"/>
          <w:b w:val="0"/>
          <w:color w:val="1A1A1A"/>
          <w:sz w:val="20"/>
        </w:rPr>
        <w:t xml:space="preserve">The architecture diagram is read </w:t>
      </w:r>
      <w:r>
        <w:rPr>
          <w:rFonts w:ascii="Calibri" w:hAnsi="Calibri"/>
          <w:b/>
          <w:color w:val="1A1A1A"/>
          <w:sz w:val="20"/>
        </w:rPr>
        <w:t>left to right in 5 zones</w:t>
      </w:r>
      <w:r>
        <w:rPr>
          <w:rFonts w:ascii="Calibri" w:hAnsi="Calibri"/>
          <w:b w:val="0"/>
          <w:color w:val="1A1A1A"/>
          <w:sz w:val="20"/>
        </w:rPr>
        <w:t>. Here is what each one means in plain language:</w:t>
      </w:r>
    </w:p>
    <w:tbl>
      <w:tblPr>
        <w:tblStyle w:val="TableGrid"/>
        <w:tblW w:type="auto" w:w="0"/>
        <w:tblLayout w:type="autofit"/>
        <w:tblLook w:firstColumn="1" w:firstRow="1" w:lastColumn="0" w:lastRow="0" w:noHBand="0" w:noVBand="1" w:val="04A0"/>
      </w:tblPr>
      <w:tblGrid>
        <w:gridCol w:w="2880"/>
        <w:gridCol w:w="2880"/>
        <w:gridCol w:w="2880"/>
      </w:tblGrid>
      <w:tr>
        <w:tc>
          <w:tcPr>
            <w:tcW w:type="dxa" w:w="432"/>
            <w:shd w:val="clear" w:color="auto" w:fill="C8102E"/>
          </w:tcPr>
          <w:p>
            <w:pPr>
              <w:spacing w:after="0" w:before="0"/>
            </w:pPr>
            <w:r/>
            <w:r>
              <w:rPr>
                <w:rFonts w:ascii="Calibri" w:hAnsi="Calibri"/>
                <w:b/>
                <w:color w:val="FFFFFF"/>
                <w:sz w:val="19"/>
              </w:rPr>
              <w:t>#</w:t>
            </w:r>
          </w:p>
        </w:tc>
        <w:tc>
          <w:tcPr>
            <w:tcW w:type="dxa" w:w="2160"/>
            <w:shd w:val="clear" w:color="auto" w:fill="C8102E"/>
          </w:tcPr>
          <w:p>
            <w:pPr>
              <w:spacing w:after="0" w:before="0"/>
            </w:pPr>
            <w:r/>
            <w:r>
              <w:rPr>
                <w:rFonts w:ascii="Calibri" w:hAnsi="Calibri"/>
                <w:b/>
                <w:color w:val="FFFFFF"/>
                <w:sz w:val="19"/>
              </w:rPr>
              <w:t>Zone</w:t>
            </w:r>
          </w:p>
        </w:tc>
        <w:tc>
          <w:tcPr>
            <w:tcW w:type="dxa" w:w="7488"/>
            <w:shd w:val="clear" w:color="auto" w:fill="C8102E"/>
          </w:tcPr>
          <w:p>
            <w:pPr>
              <w:spacing w:after="0" w:before="0"/>
            </w:pPr>
            <w:r/>
            <w:r>
              <w:rPr>
                <w:rFonts w:ascii="Calibri" w:hAnsi="Calibri"/>
                <w:b/>
                <w:color w:val="FFFFFF"/>
                <w:sz w:val="19"/>
              </w:rPr>
              <w:t>What it actually means</w:t>
            </w:r>
          </w:p>
        </w:tc>
      </w:tr>
      <w:tr>
        <w:tc>
          <w:tcPr>
            <w:tcW w:type="dxa" w:w="432"/>
          </w:tcPr>
          <w:p>
            <w:pPr>
              <w:spacing w:after="0" w:before="0"/>
            </w:pPr>
            <w:r/>
            <w:r>
              <w:rPr>
                <w:rFonts w:ascii="Calibri" w:hAnsi="Calibri"/>
                <w:b w:val="0"/>
                <w:sz w:val="19"/>
              </w:rPr>
              <w:t>1</w:t>
            </w:r>
          </w:p>
        </w:tc>
        <w:tc>
          <w:tcPr>
            <w:tcW w:type="dxa" w:w="2160"/>
          </w:tcPr>
          <w:p>
            <w:pPr>
              <w:spacing w:after="0" w:before="0"/>
            </w:pPr>
            <w:r/>
            <w:r>
              <w:rPr>
                <w:rFonts w:ascii="Calibri" w:hAnsi="Calibri"/>
                <w:b w:val="0"/>
                <w:sz w:val="19"/>
              </w:rPr>
              <w:t>Client</w:t>
            </w:r>
          </w:p>
        </w:tc>
        <w:tc>
          <w:tcPr>
            <w:tcW w:type="dxa" w:w="7488"/>
          </w:tcPr>
          <w:p>
            <w:pPr>
              <w:spacing w:after="0" w:before="0"/>
            </w:pPr>
            <w:r/>
            <w:r>
              <w:rPr>
                <w:rFonts w:ascii="Calibri" w:hAnsi="Calibri"/>
                <w:b w:val="0"/>
                <w:sz w:val="19"/>
              </w:rPr>
              <w:t xml:space="preserve">The user's </w:t>
            </w:r>
            <w:r>
              <w:rPr>
                <w:rFonts w:ascii="Calibri" w:hAnsi="Calibri"/>
                <w:b/>
                <w:sz w:val="19"/>
              </w:rPr>
              <w:t>web browser</w:t>
            </w:r>
            <w:r>
              <w:rPr>
                <w:rFonts w:ascii="Calibri" w:hAnsi="Calibri"/>
                <w:b w:val="0"/>
                <w:sz w:val="19"/>
              </w:rPr>
              <w:t>. Three kinds of user — VMO Coordinator, Sponsor, Viewer — all log in with their normal Shell company account (</w:t>
            </w:r>
            <w:r>
              <w:rPr>
                <w:rFonts w:ascii="Calibri" w:hAnsi="Calibri"/>
                <w:b/>
                <w:sz w:val="19"/>
              </w:rPr>
              <w:t>Entra SSO</w:t>
            </w:r>
            <w:r>
              <w:rPr>
                <w:rFonts w:ascii="Calibri" w:hAnsi="Calibri"/>
                <w:b w:val="0"/>
                <w:sz w:val="19"/>
              </w:rPr>
              <w:t>). Nothing is installed on their machine.</w:t>
            </w:r>
          </w:p>
        </w:tc>
      </w:tr>
      <w:tr>
        <w:tc>
          <w:tcPr>
            <w:tcW w:type="dxa" w:w="432"/>
            <w:shd w:val="clear" w:color="auto" w:fill="F5F6F8"/>
          </w:tcPr>
          <w:p>
            <w:pPr>
              <w:spacing w:after="0" w:before="0"/>
            </w:pPr>
            <w:r/>
            <w:r>
              <w:rPr>
                <w:rFonts w:ascii="Calibri" w:hAnsi="Calibri"/>
                <w:b w:val="0"/>
                <w:sz w:val="19"/>
              </w:rPr>
              <w:t>2</w:t>
            </w:r>
          </w:p>
        </w:tc>
        <w:tc>
          <w:tcPr>
            <w:tcW w:type="dxa" w:w="2160"/>
            <w:shd w:val="clear" w:color="auto" w:fill="F5F6F8"/>
          </w:tcPr>
          <w:p>
            <w:pPr>
              <w:spacing w:after="0" w:before="0"/>
            </w:pPr>
            <w:r/>
            <w:r>
              <w:rPr>
                <w:rFonts w:ascii="Calibri" w:hAnsi="Calibri"/>
                <w:b w:val="0"/>
                <w:sz w:val="19"/>
              </w:rPr>
              <w:t>Edge</w:t>
            </w:r>
          </w:p>
        </w:tc>
        <w:tc>
          <w:tcPr>
            <w:tcW w:type="dxa" w:w="7488"/>
            <w:shd w:val="clear" w:color="auto" w:fill="F5F6F8"/>
          </w:tcPr>
          <w:p>
            <w:pPr>
              <w:spacing w:after="0" w:before="0"/>
            </w:pPr>
            <w:r/>
            <w:r>
              <w:rPr>
                <w:rFonts w:ascii="Calibri" w:hAnsi="Calibri"/>
                <w:b/>
                <w:sz w:val="19"/>
              </w:rPr>
              <w:t>Azure Front Door + WAF</w:t>
            </w:r>
            <w:r>
              <w:rPr>
                <w:rFonts w:ascii="Calibri" w:hAnsi="Calibri"/>
                <w:b w:val="0"/>
                <w:sz w:val="19"/>
              </w:rPr>
              <w:t xml:space="preserve"> — the secure front gate. It terminates HTTPS, applies a </w:t>
            </w:r>
            <w:r>
              <w:rPr>
                <w:rFonts w:ascii="Calibri" w:hAnsi="Calibri"/>
                <w:b/>
                <w:sz w:val="19"/>
              </w:rPr>
              <w:t>Web Application Firewall</w:t>
            </w:r>
            <w:r>
              <w:rPr>
                <w:rFonts w:ascii="Calibri" w:hAnsi="Calibri"/>
                <w:b w:val="0"/>
                <w:sz w:val="19"/>
              </w:rPr>
              <w:t xml:space="preserve"> (blocks common web attacks), and only lets traffic through to our server ("origin-lock").</w:t>
            </w:r>
          </w:p>
        </w:tc>
      </w:tr>
      <w:tr>
        <w:tc>
          <w:tcPr>
            <w:tcW w:type="dxa" w:w="432"/>
          </w:tcPr>
          <w:p>
            <w:pPr>
              <w:spacing w:after="0" w:before="0"/>
            </w:pPr>
            <w:r/>
            <w:r>
              <w:rPr>
                <w:rFonts w:ascii="Calibri" w:hAnsi="Calibri"/>
                <w:b w:val="0"/>
                <w:sz w:val="19"/>
              </w:rPr>
              <w:t>3</w:t>
            </w:r>
          </w:p>
        </w:tc>
        <w:tc>
          <w:tcPr>
            <w:tcW w:type="dxa" w:w="2160"/>
          </w:tcPr>
          <w:p>
            <w:pPr>
              <w:spacing w:after="0" w:before="0"/>
            </w:pPr>
            <w:r/>
            <w:r>
              <w:rPr>
                <w:rFonts w:ascii="Calibri" w:hAnsi="Calibri"/>
                <w:b w:val="0"/>
                <w:sz w:val="19"/>
              </w:rPr>
              <w:t>Shell Azure Subscription</w:t>
            </w:r>
          </w:p>
        </w:tc>
        <w:tc>
          <w:tcPr>
            <w:tcW w:type="dxa" w:w="7488"/>
          </w:tcPr>
          <w:p>
            <w:pPr>
              <w:spacing w:after="0" w:before="0"/>
            </w:pPr>
            <w:r/>
            <w:r>
              <w:rPr>
                <w:rFonts w:ascii="Calibri" w:hAnsi="Calibri"/>
                <w:b w:val="0"/>
                <w:sz w:val="19"/>
              </w:rPr>
              <w:t xml:space="preserve">Shell's own slice of Azure, </w:t>
            </w:r>
            <w:r>
              <w:rPr>
                <w:rFonts w:ascii="Calibri" w:hAnsi="Calibri"/>
                <w:b/>
                <w:sz w:val="19"/>
              </w:rPr>
              <w:t>inside the approved region</w:t>
            </w:r>
            <w:r>
              <w:rPr>
                <w:rFonts w:ascii="Calibri" w:hAnsi="Calibri"/>
                <w:b w:val="0"/>
                <w:sz w:val="19"/>
              </w:rPr>
              <w:t xml:space="preserve">. Here lives a private network (VNet) containing the </w:t>
            </w:r>
            <w:r>
              <w:rPr>
                <w:rFonts w:ascii="Calibri" w:hAnsi="Calibri"/>
                <w:b/>
                <w:sz w:val="19"/>
              </w:rPr>
              <w:t>Azure VM</w:t>
            </w:r>
            <w:r>
              <w:rPr>
                <w:rFonts w:ascii="Calibri" w:hAnsi="Calibri"/>
                <w:b w:val="0"/>
                <w:sz w:val="19"/>
              </w:rPr>
              <w:t xml:space="preserve"> that runs the whole app: the React screen, the login/permissions, the 12-state WorkflowEngine, the </w:t>
            </w:r>
            <w:r>
              <w:rPr>
                <w:rFonts w:ascii="Calibri" w:hAnsi="Calibri"/>
                <w:b/>
                <w:sz w:val="19"/>
              </w:rPr>
              <w:t>approval gate</w:t>
            </w:r>
            <w:r>
              <w:rPr>
                <w:rFonts w:ascii="Calibri" w:hAnsi="Calibri"/>
                <w:b w:val="0"/>
                <w:sz w:val="19"/>
              </w:rPr>
              <w:t xml:space="preserve">, the GraphService, and the </w:t>
            </w:r>
            <w:r>
              <w:rPr>
                <w:rFonts w:ascii="Calibri" w:hAnsi="Calibri"/>
                <w:b/>
                <w:sz w:val="19"/>
              </w:rPr>
              <w:t>MAF agent layer</w:t>
            </w:r>
            <w:r>
              <w:rPr>
                <w:rFonts w:ascii="Calibri" w:hAnsi="Calibri"/>
                <w:b w:val="0"/>
                <w:sz w:val="19"/>
              </w:rPr>
              <w:t xml:space="preserve"> that talks to Foundry.</w:t>
            </w:r>
          </w:p>
        </w:tc>
      </w:tr>
      <w:tr>
        <w:tc>
          <w:tcPr>
            <w:tcW w:type="dxa" w:w="432"/>
            <w:shd w:val="clear" w:color="auto" w:fill="F5F6F8"/>
          </w:tcPr>
          <w:p>
            <w:pPr>
              <w:spacing w:after="0" w:before="0"/>
            </w:pPr>
            <w:r/>
            <w:r>
              <w:rPr>
                <w:rFonts w:ascii="Calibri" w:hAnsi="Calibri"/>
                <w:b w:val="0"/>
                <w:sz w:val="19"/>
              </w:rPr>
              <w:t>4</w:t>
            </w:r>
          </w:p>
        </w:tc>
        <w:tc>
          <w:tcPr>
            <w:tcW w:type="dxa" w:w="2160"/>
            <w:shd w:val="clear" w:color="auto" w:fill="F5F6F8"/>
          </w:tcPr>
          <w:p>
            <w:pPr>
              <w:spacing w:after="0" w:before="0"/>
            </w:pPr>
            <w:r/>
            <w:r>
              <w:rPr>
                <w:rFonts w:ascii="Calibri" w:hAnsi="Calibri"/>
                <w:b w:val="0"/>
                <w:sz w:val="19"/>
              </w:rPr>
              <w:t>Data Tier</w:t>
            </w:r>
          </w:p>
        </w:tc>
        <w:tc>
          <w:tcPr>
            <w:tcW w:type="dxa" w:w="7488"/>
            <w:shd w:val="clear" w:color="auto" w:fill="F5F6F8"/>
          </w:tcPr>
          <w:p>
            <w:pPr>
              <w:spacing w:after="0" w:before="0"/>
            </w:pPr>
            <w:r/>
            <w:r>
              <w:rPr>
                <w:rFonts w:ascii="Calibri" w:hAnsi="Calibri"/>
                <w:b w:val="0"/>
                <w:sz w:val="19"/>
              </w:rPr>
              <w:t xml:space="preserve">The app's private back room, reachable only over </w:t>
            </w:r>
            <w:r>
              <w:rPr>
                <w:rFonts w:ascii="Calibri" w:hAnsi="Calibri"/>
                <w:b/>
                <w:sz w:val="19"/>
              </w:rPr>
              <w:t>Private Link</w:t>
            </w:r>
            <w:r>
              <w:rPr>
                <w:rFonts w:ascii="Calibri" w:hAnsi="Calibri"/>
                <w:b w:val="0"/>
                <w:sz w:val="19"/>
              </w:rPr>
              <w:t xml:space="preserve"> (no public access): </w:t>
            </w:r>
            <w:r>
              <w:rPr>
                <w:rFonts w:ascii="Calibri" w:hAnsi="Calibri"/>
                <w:b/>
                <w:sz w:val="19"/>
              </w:rPr>
              <w:t>PostgreSQL</w:t>
            </w:r>
            <w:r>
              <w:rPr>
                <w:rFonts w:ascii="Calibri" w:hAnsi="Calibri"/>
                <w:b w:val="0"/>
                <w:sz w:val="19"/>
              </w:rPr>
              <w:t xml:space="preserve"> (the database), </w:t>
            </w:r>
            <w:r>
              <w:rPr>
                <w:rFonts w:ascii="Calibri" w:hAnsi="Calibri"/>
                <w:b/>
                <w:sz w:val="19"/>
              </w:rPr>
              <w:t>Key Vault</w:t>
            </w:r>
            <w:r>
              <w:rPr>
                <w:rFonts w:ascii="Calibri" w:hAnsi="Calibri"/>
                <w:b w:val="0"/>
                <w:sz w:val="19"/>
              </w:rPr>
              <w:t xml:space="preserve"> (passwords &amp; certificates), </w:t>
            </w:r>
            <w:r>
              <w:rPr>
                <w:rFonts w:ascii="Calibri" w:hAnsi="Calibri"/>
                <w:b/>
                <w:sz w:val="19"/>
              </w:rPr>
              <w:t>Blob Storage</w:t>
            </w:r>
            <w:r>
              <w:rPr>
                <w:rFonts w:ascii="Calibri" w:hAnsi="Calibri"/>
                <w:b w:val="0"/>
                <w:sz w:val="19"/>
              </w:rPr>
              <w:t xml:space="preserve"> (meeting minutes/transcripts), </w:t>
            </w:r>
            <w:r>
              <w:rPr>
                <w:rFonts w:ascii="Calibri" w:hAnsi="Calibri"/>
                <w:b/>
                <w:sz w:val="19"/>
              </w:rPr>
              <w:t>App Insights + Log Analytics</w:t>
            </w:r>
            <w:r>
              <w:rPr>
                <w:rFonts w:ascii="Calibri" w:hAnsi="Calibri"/>
                <w:b w:val="0"/>
                <w:sz w:val="19"/>
              </w:rPr>
              <w:t xml:space="preserve"> (the audit trail), and </w:t>
            </w:r>
            <w:r>
              <w:rPr>
                <w:rFonts w:ascii="Calibri" w:hAnsi="Calibri"/>
                <w:b/>
                <w:sz w:val="19"/>
              </w:rPr>
              <w:t>Azure AI Foundry</w:t>
            </w:r>
            <w:r>
              <w:rPr>
                <w:rFonts w:ascii="Calibri" w:hAnsi="Calibri"/>
                <w:b w:val="0"/>
                <w:sz w:val="19"/>
              </w:rPr>
              <w:t xml:space="preserve"> (GPT-4o) — all inside Shell's tenant.</w:t>
            </w:r>
          </w:p>
        </w:tc>
      </w:tr>
      <w:tr>
        <w:tc>
          <w:tcPr>
            <w:tcW w:type="dxa" w:w="432"/>
          </w:tcPr>
          <w:p>
            <w:pPr>
              <w:spacing w:after="0" w:before="0"/>
            </w:pPr>
            <w:r/>
            <w:r>
              <w:rPr>
                <w:rFonts w:ascii="Calibri" w:hAnsi="Calibri"/>
                <w:b w:val="0"/>
                <w:sz w:val="19"/>
              </w:rPr>
              <w:t>5</w:t>
            </w:r>
          </w:p>
        </w:tc>
        <w:tc>
          <w:tcPr>
            <w:tcW w:type="dxa" w:w="2160"/>
          </w:tcPr>
          <w:p>
            <w:pPr>
              <w:spacing w:after="0" w:before="0"/>
            </w:pPr>
            <w:r/>
            <w:r>
              <w:rPr>
                <w:rFonts w:ascii="Calibri" w:hAnsi="Calibri"/>
                <w:b w:val="0"/>
                <w:sz w:val="19"/>
              </w:rPr>
              <w:t>External</w:t>
            </w:r>
          </w:p>
        </w:tc>
        <w:tc>
          <w:tcPr>
            <w:tcW w:type="dxa" w:w="7488"/>
          </w:tcPr>
          <w:p>
            <w:pPr>
              <w:spacing w:after="0" w:before="0"/>
            </w:pPr>
            <w:r/>
            <w:r>
              <w:rPr>
                <w:rFonts w:ascii="Calibri" w:hAnsi="Calibri"/>
                <w:b w:val="0"/>
                <w:sz w:val="19"/>
              </w:rPr>
              <w:t xml:space="preserve">The only things reached outside, over outbound HTTPS via Shell's egress proxy: </w:t>
            </w:r>
            <w:r>
              <w:rPr>
                <w:rFonts w:ascii="Calibri" w:hAnsi="Calibri"/>
                <w:b/>
                <w:sz w:val="19"/>
              </w:rPr>
              <w:t>Microsoft Graph</w:t>
            </w:r>
            <w:r>
              <w:rPr>
                <w:rFonts w:ascii="Calibri" w:hAnsi="Calibri"/>
                <w:b w:val="0"/>
                <w:sz w:val="19"/>
              </w:rPr>
              <w:t xml:space="preserve"> (to send Outlook mail, manage calendars, create Teams meetings) and </w:t>
            </w:r>
            <w:r>
              <w:rPr>
                <w:rFonts w:ascii="Calibri" w:hAnsi="Calibri"/>
                <w:b/>
                <w:sz w:val="19"/>
              </w:rPr>
              <w:t>Entra ID</w:t>
            </w:r>
            <w:r>
              <w:rPr>
                <w:rFonts w:ascii="Calibri" w:hAnsi="Calibri"/>
                <w:b w:val="0"/>
                <w:sz w:val="19"/>
              </w:rPr>
              <w:t xml:space="preserve"> (to verify who the user is).</w:t>
            </w:r>
          </w:p>
        </w:tc>
      </w:tr>
    </w:tbl>
    <w:p/>
    <w:tbl>
      <w:tblPr>
        <w:tblStyle w:val="TableGrid"/>
        <w:tblW w:type="auto" w:w="0"/>
        <w:tblLook w:firstColumn="1" w:firstRow="1" w:lastColumn="0" w:lastRow="0" w:noHBand="0" w:noVBand="1" w:val="04A0"/>
      </w:tblPr>
      <w:tblGrid>
        <w:gridCol w:w="8640"/>
      </w:tblGrid>
      <w:tr>
        <w:tc>
          <w:tcPr>
            <w:tcW w:type="dxa" w:w="8640"/>
            <w:shd w:val="clear" w:color="auto" w:fill="FDF3F4"/>
          </w:tcPr>
          <w:p>
            <w:pPr>
              <w:spacing w:after="40"/>
            </w:pPr>
            <w:r/>
            <w:r>
              <w:rPr>
                <w:rFonts w:ascii="Calibri" w:hAnsi="Calibri"/>
                <w:b/>
                <w:color w:val="C8102E"/>
                <w:sz w:val="20"/>
              </w:rPr>
              <w:t>Watch-out (be honest if asked)</w:t>
            </w:r>
          </w:p>
          <w:p>
            <w:r>
              <w:rPr>
                <w:rFonts w:ascii="Calibri" w:hAnsi="Calibri"/>
                <w:b w:val="0"/>
                <w:color w:val="1A1A1A"/>
                <w:sz w:val="20"/>
              </w:rPr>
              <w:t xml:space="preserve">The diagram shows an </w:t>
            </w:r>
            <w:r>
              <w:rPr>
                <w:rFonts w:ascii="Calibri" w:hAnsi="Calibri"/>
                <w:b/>
                <w:color w:val="1A1A1A"/>
                <w:sz w:val="20"/>
              </w:rPr>
              <w:t>Azure App Service</w:t>
            </w:r>
            <w:r>
              <w:rPr>
                <w:rFonts w:ascii="Calibri" w:hAnsi="Calibri"/>
                <w:b w:val="0"/>
                <w:color w:val="1A1A1A"/>
                <w:sz w:val="20"/>
              </w:rPr>
              <w:t xml:space="preserve"> icon at the top of zone 3 but labels the compute box </w:t>
            </w:r>
            <w:r>
              <w:rPr>
                <w:rFonts w:ascii="Calibri" w:hAnsi="Calibri"/>
                <w:b/>
                <w:color w:val="1A1A1A"/>
                <w:sz w:val="20"/>
              </w:rPr>
              <w:t>Azure VM</w:t>
            </w:r>
            <w:r>
              <w:rPr>
                <w:rFonts w:ascii="Calibri" w:hAnsi="Calibri"/>
                <w:b w:val="0"/>
                <w:color w:val="1A1A1A"/>
                <w:sz w:val="20"/>
              </w:rPr>
              <w:t xml:space="preserve">, and the Infrastructure doc specifies a VM (D4as v6 / D8as v6). If a sharp architect spots this, the honest answer is: </w:t>
            </w:r>
            <w:r>
              <w:rPr>
                <w:rFonts w:ascii="Calibri" w:hAnsi="Calibri"/>
                <w:b/>
                <w:color w:val="1A1A1A"/>
                <w:sz w:val="20"/>
              </w:rPr>
              <w:t>"the compute target is an Azure VM; the App Service icon is a leftover from an earlier draft. Both are valid Azure hosting options and the application code is identical either way."</w:t>
            </w:r>
            <w:r>
              <w:rPr>
                <w:rFonts w:ascii="Calibri" w:hAnsi="Calibri"/>
                <w:b w:val="0"/>
                <w:color w:val="1A1A1A"/>
                <w:sz w:val="20"/>
              </w:rPr>
              <w:t xml:space="preserve"> See §4 for why VM was chosen.</w:t>
            </w:r>
          </w:p>
        </w:tc>
      </w:tr>
    </w:tbl>
    <w:p/>
    <w:p>
      <w:pPr>
        <w:spacing w:before="200" w:after="40"/>
      </w:pPr>
      <w:r>
        <w:rPr>
          <w:rFonts w:ascii="Calibri" w:hAnsi="Calibri"/>
          <w:b/>
          <w:color w:val="1A1A1A"/>
          <w:sz w:val="24"/>
        </w:rPr>
        <w:t>2.2 Infrastructure &amp; Software Requirements — what it lists</w:t>
      </w:r>
    </w:p>
    <w:p>
      <w:pPr>
        <w:spacing w:after="120"/>
      </w:pPr>
      <w:r>
        <w:rPr>
          <w:rFonts w:ascii="Calibri" w:hAnsi="Calibri"/>
          <w:b w:val="0"/>
          <w:color w:val="1A1A1A"/>
          <w:sz w:val="20"/>
        </w:rPr>
        <w:t xml:space="preserve">This is the shopping list: the cloud services, the software versions, the licences, and the access Shell must provision. The headline entry — and the one leadership keeps asking about — is the very first row: the backend runs on an </w:t>
      </w:r>
      <w:r>
        <w:rPr>
          <w:rFonts w:ascii="Calibri" w:hAnsi="Calibri"/>
          <w:b/>
          <w:color w:val="1A1A1A"/>
          <w:sz w:val="20"/>
        </w:rPr>
        <w:t>Azure VM, size D4as v6 or D8as v6</w:t>
      </w:r>
      <w:r>
        <w:rPr>
          <w:rFonts w:ascii="Calibri" w:hAnsi="Calibri"/>
          <w:b w:val="0"/>
          <w:color w:val="1A1A1A"/>
          <w:sz w:val="20"/>
        </w:rPr>
        <w:t xml:space="preserve"> (covered in detail in §4 and §5). Everything else (Static Web Apps, PostgreSQL, Key Vault, Front Door, Foundry, Graph) matches the architecture diagram. The software section pins exact versions (Python 3.11, FastAPI 0.115.6, React 19, the MAF SDK ≈1.8, etc.) so the build is reproducible and passes Shell's security scanning.</w:t>
      </w:r>
    </w:p>
    <w:p>
      <w:pPr>
        <w:spacing w:before="320" w:after="80"/>
      </w:pPr>
      <w:r>
        <w:rPr>
          <w:rFonts w:ascii="Calibri" w:hAnsi="Calibri"/>
          <w:b/>
          <w:color w:val="C8102E"/>
          <w:sz w:val="32"/>
        </w:rPr>
        <w:t>3. The Foundry story — where we came from, where we are</w:t>
      </w:r>
    </w:p>
    <w:p>
      <w:pPr>
        <w:spacing w:after="120"/>
      </w:pPr>
      <w:r>
        <w:rPr>
          <w:rFonts w:ascii="Calibri" w:hAnsi="Calibri"/>
          <w:b w:val="0"/>
          <w:color w:val="1A1A1A"/>
          <w:sz w:val="20"/>
        </w:rPr>
        <w:t>You will be asked why the design mentions Foundry, MAF, and an abstraction layer. Here is the honest, simple narrative.</w:t>
      </w:r>
    </w:p>
    <w:tbl>
      <w:tblPr>
        <w:tblStyle w:val="TableGrid"/>
        <w:tblW w:type="auto" w:w="0"/>
        <w:tblLayout w:type="autofit"/>
        <w:tblLook w:firstColumn="1" w:firstRow="1" w:lastColumn="0" w:lastRow="0" w:noHBand="0" w:noVBand="1" w:val="04A0"/>
      </w:tblPr>
      <w:tblGrid>
        <w:gridCol w:w="2880"/>
        <w:gridCol w:w="2880"/>
        <w:gridCol w:w="2880"/>
      </w:tblGrid>
      <w:tr>
        <w:tc>
          <w:tcPr>
            <w:tcW w:type="dxa" w:w="1872"/>
            <w:shd w:val="clear" w:color="auto" w:fill="C8102E"/>
          </w:tcPr>
          <w:p>
            <w:pPr>
              <w:spacing w:after="0" w:before="0"/>
            </w:pPr>
            <w:r/>
            <w:r>
              <w:rPr>
                <w:rFonts w:ascii="Calibri" w:hAnsi="Calibri"/>
                <w:b/>
                <w:color w:val="FFFFFF"/>
                <w:sz w:val="19"/>
              </w:rPr>
              <w:t>Stage</w:t>
            </w:r>
          </w:p>
        </w:tc>
        <w:tc>
          <w:tcPr>
            <w:tcW w:type="dxa" w:w="4320"/>
            <w:shd w:val="clear" w:color="auto" w:fill="C8102E"/>
          </w:tcPr>
          <w:p>
            <w:pPr>
              <w:spacing w:after="0" w:before="0"/>
            </w:pPr>
            <w:r/>
            <w:r>
              <w:rPr>
                <w:rFonts w:ascii="Calibri" w:hAnsi="Calibri"/>
                <w:b/>
                <w:color w:val="FFFFFF"/>
                <w:sz w:val="19"/>
              </w:rPr>
              <w:t>What we did</w:t>
            </w:r>
          </w:p>
        </w:tc>
        <w:tc>
          <w:tcPr>
            <w:tcW w:type="dxa" w:w="3888"/>
            <w:shd w:val="clear" w:color="auto" w:fill="C8102E"/>
          </w:tcPr>
          <w:p>
            <w:pPr>
              <w:spacing w:after="0" w:before="0"/>
            </w:pPr>
            <w:r/>
            <w:r>
              <w:rPr>
                <w:rFonts w:ascii="Calibri" w:hAnsi="Calibri"/>
                <w:b/>
                <w:color w:val="FFFFFF"/>
                <w:sz w:val="19"/>
              </w:rPr>
              <w:t>Why it matters to the client</w:t>
            </w:r>
          </w:p>
        </w:tc>
      </w:tr>
      <w:tr>
        <w:tc>
          <w:tcPr>
            <w:tcW w:type="dxa" w:w="1872"/>
          </w:tcPr>
          <w:p>
            <w:pPr>
              <w:spacing w:after="0" w:before="0"/>
            </w:pPr>
            <w:r/>
            <w:r>
              <w:rPr>
                <w:rFonts w:ascii="Calibri" w:hAnsi="Calibri"/>
                <w:b/>
                <w:sz w:val="19"/>
              </w:rPr>
              <w:t>Start (PoC v1)</w:t>
            </w:r>
          </w:p>
        </w:tc>
        <w:tc>
          <w:tcPr>
            <w:tcW w:type="dxa" w:w="4320"/>
          </w:tcPr>
          <w:p>
            <w:pPr>
              <w:spacing w:after="0" w:before="0"/>
            </w:pPr>
            <w:r/>
            <w:r>
              <w:rPr>
                <w:rFonts w:ascii="Calibri" w:hAnsi="Calibri"/>
                <w:b w:val="0"/>
                <w:sz w:val="19"/>
              </w:rPr>
              <w:t xml:space="preserve">A FastAPI backend that </w:t>
            </w:r>
            <w:r>
              <w:rPr>
                <w:rFonts w:ascii="Calibri" w:hAnsi="Calibri"/>
                <w:b/>
                <w:sz w:val="19"/>
              </w:rPr>
              <w:t>called the model directly</w:t>
            </w:r>
            <w:r>
              <w:rPr>
                <w:rFonts w:ascii="Calibri" w:hAnsi="Calibri"/>
                <w:b w:val="0"/>
                <w:sz w:val="19"/>
              </w:rPr>
              <w:t xml:space="preserve"> — raw API calls to the Foundry / Azure OpenAI </w:t>
            </w:r>
            <w:r>
              <w:rPr>
                <w:rFonts w:ascii="Calibri" w:hAnsi="Calibri"/>
                <w:b/>
                <w:sz w:val="19"/>
              </w:rPr>
              <w:t>Responses API</w:t>
            </w:r>
            <w:r>
              <w:rPr>
                <w:rFonts w:ascii="Calibri" w:hAnsi="Calibri"/>
                <w:b w:val="0"/>
                <w:sz w:val="19"/>
              </w:rPr>
              <w:t>, with our own hand-written tool-calling loop.</w:t>
            </w:r>
          </w:p>
        </w:tc>
        <w:tc>
          <w:tcPr>
            <w:tcW w:type="dxa" w:w="3888"/>
          </w:tcPr>
          <w:p>
            <w:pPr>
              <w:spacing w:after="0" w:before="0"/>
            </w:pPr>
            <w:r/>
            <w:r>
              <w:rPr>
                <w:rFonts w:ascii="Calibri" w:hAnsi="Calibri"/>
                <w:b w:val="0"/>
                <w:sz w:val="19"/>
              </w:rPr>
              <w:t>Proved the idea worked, but every control (approval, safety, logging) was hand-rolled by us — more code for Shell's security team to review.</w:t>
            </w:r>
          </w:p>
        </w:tc>
      </w:tr>
      <w:tr>
        <w:tc>
          <w:tcPr>
            <w:tcW w:type="dxa" w:w="1872"/>
            <w:shd w:val="clear" w:color="auto" w:fill="F5F6F8"/>
          </w:tcPr>
          <w:p>
            <w:pPr>
              <w:spacing w:after="0" w:before="0"/>
            </w:pPr>
            <w:r/>
            <w:r>
              <w:rPr>
                <w:rFonts w:ascii="Calibri" w:hAnsi="Calibri"/>
                <w:b/>
                <w:sz w:val="19"/>
              </w:rPr>
              <w:t>Your steer (last meeting)</w:t>
            </w:r>
          </w:p>
        </w:tc>
        <w:tc>
          <w:tcPr>
            <w:tcW w:type="dxa" w:w="4320"/>
            <w:shd w:val="clear" w:color="auto" w:fill="F5F6F8"/>
          </w:tcPr>
          <w:p>
            <w:pPr>
              <w:spacing w:after="0" w:before="0"/>
            </w:pPr>
            <w:r/>
            <w:r>
              <w:rPr>
                <w:rFonts w:ascii="Calibri" w:hAnsi="Calibri"/>
                <w:b w:val="0"/>
                <w:sz w:val="19"/>
              </w:rPr>
              <w:t xml:space="preserve">Use </w:t>
            </w:r>
            <w:r>
              <w:rPr>
                <w:rFonts w:ascii="Calibri" w:hAnsi="Calibri"/>
                <w:b/>
                <w:sz w:val="19"/>
              </w:rPr>
              <w:t>Azure AI Foundry</w:t>
            </w:r>
            <w:r>
              <w:rPr>
                <w:rFonts w:ascii="Calibri" w:hAnsi="Calibri"/>
                <w:b w:val="0"/>
                <w:sz w:val="19"/>
              </w:rPr>
              <w:t xml:space="preserve"> properly — i.e. build on the </w:t>
            </w:r>
            <w:r>
              <w:rPr>
                <w:rFonts w:ascii="Calibri" w:hAnsi="Calibri"/>
                <w:b/>
                <w:sz w:val="19"/>
              </w:rPr>
              <w:t>Microsoft Agent Framework (MAF)</w:t>
            </w:r>
            <w:r>
              <w:rPr>
                <w:rFonts w:ascii="Calibri" w:hAnsi="Calibri"/>
                <w:b w:val="0"/>
                <w:sz w:val="19"/>
              </w:rPr>
              <w:t xml:space="preserve"> SDK running over the Foundry Responses API, instead of raw calls.</w:t>
            </w:r>
          </w:p>
        </w:tc>
        <w:tc>
          <w:tcPr>
            <w:tcW w:type="dxa" w:w="3888"/>
            <w:shd w:val="clear" w:color="auto" w:fill="F5F6F8"/>
          </w:tcPr>
          <w:p>
            <w:pPr>
              <w:spacing w:after="0" w:before="0"/>
            </w:pPr>
            <w:r/>
            <w:r>
              <w:rPr>
                <w:rFonts w:ascii="Calibri" w:hAnsi="Calibri"/>
                <w:b w:val="0"/>
                <w:sz w:val="19"/>
              </w:rPr>
              <w:t xml:space="preserve">Foundry/MAF provide </w:t>
            </w:r>
            <w:r>
              <w:rPr>
                <w:rFonts w:ascii="Calibri" w:hAnsi="Calibri"/>
                <w:b/>
                <w:sz w:val="19"/>
              </w:rPr>
              <w:t>platform-built</w:t>
            </w:r>
            <w:r>
              <w:rPr>
                <w:rFonts w:ascii="Calibri" w:hAnsi="Calibri"/>
                <w:b w:val="0"/>
                <w:sz w:val="19"/>
              </w:rPr>
              <w:t xml:space="preserve"> human-in-the-loop approval, content safety filters, and tracing — fewer hand-rolled controls, which is easier to get through Shell's review.</w:t>
            </w:r>
          </w:p>
        </w:tc>
      </w:tr>
      <w:tr>
        <w:tc>
          <w:tcPr>
            <w:tcW w:type="dxa" w:w="1872"/>
          </w:tcPr>
          <w:p>
            <w:pPr>
              <w:spacing w:after="0" w:before="0"/>
            </w:pPr>
            <w:r/>
            <w:r>
              <w:rPr>
                <w:rFonts w:ascii="Calibri" w:hAnsi="Calibri"/>
                <w:b/>
                <w:sz w:val="19"/>
              </w:rPr>
              <w:t>Now (PoC v2 — done)</w:t>
            </w:r>
          </w:p>
        </w:tc>
        <w:tc>
          <w:tcPr>
            <w:tcW w:type="dxa" w:w="4320"/>
          </w:tcPr>
          <w:p>
            <w:pPr>
              <w:spacing w:after="0" w:before="0"/>
            </w:pPr>
            <w:r/>
            <w:r>
              <w:rPr>
                <w:rFonts w:ascii="Calibri" w:hAnsi="Calibri"/>
                <w:b w:val="0"/>
                <w:sz w:val="19"/>
              </w:rPr>
              <w:t xml:space="preserve">A working proof of concept on the </w:t>
            </w:r>
            <w:r>
              <w:rPr>
                <w:rFonts w:ascii="Calibri" w:hAnsi="Calibri"/>
                <w:b/>
                <w:sz w:val="19"/>
              </w:rPr>
              <w:t>MAF + Foundry Responses API</w:t>
            </w:r>
            <w:r>
              <w:rPr>
                <w:rFonts w:ascii="Calibri" w:hAnsi="Calibri"/>
                <w:b w:val="0"/>
                <w:sz w:val="19"/>
              </w:rPr>
              <w:t xml:space="preserve"> across 2 agents, with the approval gate proven (GitHub issue #13). You may see a branch named </w:t>
            </w:r>
            <w:r>
              <w:rPr>
                <w:rFonts w:ascii="Calibri" w:hAnsi="Calibri"/>
                <w:b/>
                <w:sz w:val="19"/>
              </w:rPr>
              <w:t>poc/scheduling-foundry-responses</w:t>
            </w:r>
            <w:r>
              <w:rPr>
                <w:rFonts w:ascii="Calibri" w:hAnsi="Calibri"/>
                <w:b w:val="0"/>
                <w:sz w:val="19"/>
              </w:rPr>
              <w:t>.</w:t>
            </w:r>
          </w:p>
        </w:tc>
        <w:tc>
          <w:tcPr>
            <w:tcW w:type="dxa" w:w="3888"/>
          </w:tcPr>
          <w:p>
            <w:pPr>
              <w:spacing w:after="0" w:before="0"/>
            </w:pPr>
            <w:r/>
            <w:r>
              <w:rPr>
                <w:rFonts w:ascii="Calibri" w:hAnsi="Calibri"/>
                <w:b w:val="0"/>
                <w:sz w:val="19"/>
              </w:rPr>
              <w:t>De-risks the build: the agentic pattern, tool-calling, and approval gate are all proven on real Foundry before any production spend.</w:t>
            </w:r>
          </w:p>
        </w:tc>
      </w:tr>
      <w:tr>
        <w:tc>
          <w:tcPr>
            <w:tcW w:type="dxa" w:w="1872"/>
            <w:shd w:val="clear" w:color="auto" w:fill="F5F6F8"/>
          </w:tcPr>
          <w:p>
            <w:pPr>
              <w:spacing w:after="0" w:before="0"/>
            </w:pPr>
            <w:r/>
            <w:r>
              <w:rPr>
                <w:rFonts w:ascii="Calibri" w:hAnsi="Calibri"/>
                <w:b/>
                <w:sz w:val="19"/>
              </w:rPr>
              <w:t>Decision</w:t>
            </w:r>
          </w:p>
        </w:tc>
        <w:tc>
          <w:tcPr>
            <w:tcW w:type="dxa" w:w="4320"/>
            <w:shd w:val="clear" w:color="auto" w:fill="F5F6F8"/>
          </w:tcPr>
          <w:p>
            <w:pPr>
              <w:spacing w:after="0" w:before="0"/>
            </w:pPr>
            <w:r/>
            <w:r>
              <w:rPr>
                <w:rFonts w:ascii="Calibri" w:hAnsi="Calibri"/>
                <w:b/>
                <w:sz w:val="19"/>
              </w:rPr>
              <w:t>Production builds on the MAF SDK</w:t>
            </w:r>
            <w:r>
              <w:rPr>
                <w:rFonts w:ascii="Calibri" w:hAnsi="Calibri"/>
                <w:b w:val="0"/>
                <w:sz w:val="19"/>
              </w:rPr>
              <w:t xml:space="preserve">, with the direct-Responses path kept as a fallback. An </w:t>
            </w:r>
            <w:r>
              <w:rPr>
                <w:rFonts w:ascii="Calibri" w:hAnsi="Calibri"/>
                <w:b/>
                <w:sz w:val="19"/>
              </w:rPr>
              <w:t>LLMProvider abstraction</w:t>
            </w:r>
            <w:r>
              <w:rPr>
                <w:rFonts w:ascii="Calibri" w:hAnsi="Calibri"/>
                <w:b w:val="0"/>
                <w:sz w:val="19"/>
              </w:rPr>
              <w:t xml:space="preserve"> keeps Anthropic/Claude selectable if procurement prefers it.</w:t>
            </w:r>
          </w:p>
        </w:tc>
        <w:tc>
          <w:tcPr>
            <w:tcW w:type="dxa" w:w="3888"/>
            <w:shd w:val="clear" w:color="auto" w:fill="F5F6F8"/>
          </w:tcPr>
          <w:p>
            <w:pPr>
              <w:spacing w:after="0" w:before="0"/>
            </w:pPr>
            <w:r/>
            <w:r>
              <w:rPr>
                <w:rFonts w:ascii="Calibri" w:hAnsi="Calibri"/>
                <w:b w:val="0"/>
                <w:sz w:val="19"/>
              </w:rPr>
              <w:t>We're not locked to one vendor; the model choice is a configuration switch, not a rewrite.</w:t>
            </w:r>
          </w:p>
        </w:tc>
      </w:tr>
    </w:tbl>
    <w:p/>
    <w:p>
      <w:pPr>
        <w:spacing w:before="200" w:after="40"/>
      </w:pPr>
      <w:r>
        <w:rPr>
          <w:rFonts w:ascii="Calibri" w:hAnsi="Calibri"/>
          <w:b/>
          <w:color w:val="1A1A1A"/>
          <w:sz w:val="24"/>
        </w:rPr>
        <w:t>The three terms people confuse — say them like this</w:t>
      </w:r>
    </w:p>
    <w:p>
      <w:pPr>
        <w:pStyle w:val="ListBullet"/>
        <w:spacing w:after="40"/>
      </w:pPr>
      <w:r>
        <w:rPr>
          <w:rFonts w:ascii="Calibri" w:hAnsi="Calibri"/>
          <w:b/>
          <w:color w:val="1A1A1A"/>
          <w:sz w:val="20"/>
        </w:rPr>
        <w:t>Azure OpenAI</w:t>
      </w:r>
      <w:r>
        <w:rPr>
          <w:rFonts w:ascii="Calibri" w:hAnsi="Calibri"/>
          <w:b w:val="0"/>
          <w:color w:val="1A1A1A"/>
          <w:sz w:val="20"/>
        </w:rPr>
        <w:t xml:space="preserve"> = just the </w:t>
      </w:r>
      <w:r>
        <w:rPr>
          <w:rFonts w:ascii="Calibri" w:hAnsi="Calibri"/>
          <w:b/>
          <w:color w:val="1A1A1A"/>
          <w:sz w:val="20"/>
        </w:rPr>
        <w:t>model behind an API</w:t>
      </w:r>
      <w:r>
        <w:rPr>
          <w:rFonts w:ascii="Calibri" w:hAnsi="Calibri"/>
          <w:b w:val="0"/>
          <w:color w:val="1A1A1A"/>
          <w:sz w:val="20"/>
        </w:rPr>
        <w:t xml:space="preserve"> (you send text, you get text). The plumbing.</w:t>
      </w:r>
    </w:p>
    <w:p>
      <w:pPr>
        <w:pStyle w:val="ListBullet"/>
        <w:spacing w:after="40"/>
      </w:pPr>
      <w:r>
        <w:rPr>
          <w:rFonts w:ascii="Calibri" w:hAnsi="Calibri"/>
          <w:b/>
          <w:color w:val="1A1A1A"/>
          <w:sz w:val="20"/>
        </w:rPr>
        <w:t>Azure AI Foundry</w:t>
      </w:r>
      <w:r>
        <w:rPr>
          <w:rFonts w:ascii="Calibri" w:hAnsi="Calibri"/>
          <w:b w:val="0"/>
          <w:color w:val="1A1A1A"/>
          <w:sz w:val="20"/>
        </w:rPr>
        <w:t xml:space="preserve"> = the </w:t>
      </w:r>
      <w:r>
        <w:rPr>
          <w:rFonts w:ascii="Calibri" w:hAnsi="Calibri"/>
          <w:b/>
          <w:color w:val="1A1A1A"/>
          <w:sz w:val="20"/>
        </w:rPr>
        <w:t>whole platform</w:t>
      </w:r>
      <w:r>
        <w:rPr>
          <w:rFonts w:ascii="Calibri" w:hAnsi="Calibri"/>
          <w:b w:val="0"/>
          <w:color w:val="1A1A1A"/>
          <w:sz w:val="20"/>
        </w:rPr>
        <w:t xml:space="preserve"> around those models — model catalog, agents, content safety, tracing, deployments. Foundry is where our GPT-4o deployment lives, inside Shell's tenant. We reach it through its </w:t>
      </w:r>
      <w:r>
        <w:rPr>
          <w:rFonts w:ascii="Calibri" w:hAnsi="Calibri"/>
          <w:b/>
          <w:color w:val="1A1A1A"/>
          <w:sz w:val="20"/>
        </w:rPr>
        <w:t>Responses API</w:t>
      </w:r>
      <w:r>
        <w:rPr>
          <w:rFonts w:ascii="Calibri" w:hAnsi="Calibri"/>
          <w:b w:val="0"/>
          <w:color w:val="1A1A1A"/>
          <w:sz w:val="20"/>
        </w:rPr>
        <w:t>.</w:t>
      </w:r>
    </w:p>
    <w:p>
      <w:pPr>
        <w:pStyle w:val="ListBullet"/>
        <w:spacing w:after="40"/>
      </w:pPr>
      <w:r>
        <w:rPr>
          <w:rFonts w:ascii="Calibri" w:hAnsi="Calibri"/>
          <w:b/>
          <w:color w:val="1A1A1A"/>
          <w:sz w:val="20"/>
        </w:rPr>
        <w:t>Microsoft Agent Framework (MAF)</w:t>
      </w:r>
      <w:r>
        <w:rPr>
          <w:rFonts w:ascii="Calibri" w:hAnsi="Calibri"/>
          <w:b w:val="0"/>
          <w:color w:val="1A1A1A"/>
          <w:sz w:val="20"/>
        </w:rPr>
        <w:t xml:space="preserve"> = the </w:t>
      </w:r>
      <w:r>
        <w:rPr>
          <w:rFonts w:ascii="Calibri" w:hAnsi="Calibri"/>
          <w:b/>
          <w:color w:val="1A1A1A"/>
          <w:sz w:val="20"/>
        </w:rPr>
        <w:t>open-source SDK</w:t>
      </w:r>
      <w:r>
        <w:rPr>
          <w:rFonts w:ascii="Calibri" w:hAnsi="Calibri"/>
          <w:b w:val="0"/>
          <w:color w:val="1A1A1A"/>
          <w:sz w:val="20"/>
        </w:rPr>
        <w:t xml:space="preserve"> we write our agents with (`agent_framework.Agent` + `@tool` functions). MAF is our code; it calls Foundry. It gives us the agent loop, tool-calling, and a built-in approval mode for free.</w:t>
      </w:r>
    </w:p>
    <w:tbl>
      <w:tblPr>
        <w:tblStyle w:val="TableGrid"/>
        <w:tblW w:type="auto" w:w="0"/>
        <w:tblLook w:firstColumn="1" w:firstRow="1" w:lastColumn="0" w:lastRow="0" w:noHBand="0" w:noVBand="1" w:val="04A0"/>
      </w:tblPr>
      <w:tblGrid>
        <w:gridCol w:w="8640"/>
      </w:tblGrid>
      <w:tr>
        <w:tc>
          <w:tcPr>
            <w:tcW w:type="dxa" w:w="8640"/>
            <w:shd w:val="clear" w:color="auto" w:fill="FDF3F4"/>
          </w:tcPr>
          <w:p>
            <w:pPr>
              <w:spacing w:after="40"/>
            </w:pPr>
            <w:r/>
            <w:r>
              <w:rPr>
                <w:rFonts w:ascii="Calibri" w:hAnsi="Calibri"/>
                <w:b/>
                <w:color w:val="C8102E"/>
                <w:sz w:val="20"/>
              </w:rPr>
              <w:t>If asked 'so are you using Azure OpenAI or Azure AI Foundry?'</w:t>
            </w:r>
          </w:p>
          <w:p>
            <w:r>
              <w:rPr>
                <w:rFonts w:ascii="Calibri" w:hAnsi="Calibri"/>
                <w:b w:val="0"/>
                <w:color w:val="1A1A1A"/>
                <w:sz w:val="20"/>
              </w:rPr>
              <w:t xml:space="preserve">"Both names describe the same Microsoft stack at different layers. Our agent code is written with the </w:t>
            </w:r>
            <w:r>
              <w:rPr>
                <w:rFonts w:ascii="Calibri" w:hAnsi="Calibri"/>
                <w:b/>
                <w:color w:val="1A1A1A"/>
                <w:sz w:val="20"/>
              </w:rPr>
              <w:t>Microsoft Agent Framework</w:t>
            </w:r>
            <w:r>
              <w:rPr>
                <w:rFonts w:ascii="Calibri" w:hAnsi="Calibri"/>
                <w:b w:val="0"/>
                <w:color w:val="1A1A1A"/>
                <w:sz w:val="20"/>
              </w:rPr>
              <w:t xml:space="preserve">; it calls the </w:t>
            </w:r>
            <w:r>
              <w:rPr>
                <w:rFonts w:ascii="Calibri" w:hAnsi="Calibri"/>
                <w:b/>
                <w:color w:val="1A1A1A"/>
                <w:sz w:val="20"/>
              </w:rPr>
              <w:t>Azure AI Foundry Responses API</w:t>
            </w:r>
            <w:r>
              <w:rPr>
                <w:rFonts w:ascii="Calibri" w:hAnsi="Calibri"/>
                <w:b w:val="0"/>
                <w:color w:val="1A1A1A"/>
                <w:sz w:val="20"/>
              </w:rPr>
              <w:t xml:space="preserve">; and the model serving behind that is the </w:t>
            </w:r>
            <w:r>
              <w:rPr>
                <w:rFonts w:ascii="Calibri" w:hAnsi="Calibri"/>
                <w:b/>
                <w:color w:val="1A1A1A"/>
                <w:sz w:val="20"/>
              </w:rPr>
              <w:t>Azure OpenAI GPT-4o</w:t>
            </w:r>
            <w:r>
              <w:rPr>
                <w:rFonts w:ascii="Calibri" w:hAnsi="Calibri"/>
                <w:b w:val="0"/>
                <w:color w:val="1A1A1A"/>
                <w:sz w:val="20"/>
              </w:rPr>
              <w:t xml:space="preserve"> family — all hosted inside Shell's own Foundry tenant."</w:t>
            </w:r>
          </w:p>
        </w:tc>
      </w:tr>
    </w:tbl>
    <w:p/>
    <w:p>
      <w:pPr>
        <w:spacing w:before="320" w:after="80"/>
      </w:pPr>
      <w:r>
        <w:rPr>
          <w:rFonts w:ascii="Calibri" w:hAnsi="Calibri"/>
          <w:b/>
          <w:color w:val="C8102E"/>
          <w:sz w:val="32"/>
        </w:rPr>
        <w:t>4. Deployment models, explained for leadership</w:t>
      </w:r>
    </w:p>
    <w:p>
      <w:pPr>
        <w:spacing w:after="120"/>
      </w:pPr>
      <w:r>
        <w:rPr>
          <w:rFonts w:ascii="Calibri" w:hAnsi="Calibri"/>
          <w:b w:val="0"/>
          <w:color w:val="1A1A1A"/>
          <w:sz w:val="20"/>
        </w:rPr>
        <w:t xml:space="preserve">This is the section to clear up the on-prem / cloud / serverless confusion. There is a </w:t>
      </w:r>
      <w:r>
        <w:rPr>
          <w:rFonts w:ascii="Calibri" w:hAnsi="Calibri"/>
          <w:b/>
          <w:color w:val="1A1A1A"/>
          <w:sz w:val="20"/>
        </w:rPr>
        <w:t>spectrum</w:t>
      </w:r>
      <w:r>
        <w:rPr>
          <w:rFonts w:ascii="Calibri" w:hAnsi="Calibri"/>
          <w:b w:val="0"/>
          <w:color w:val="1A1A1A"/>
          <w:sz w:val="20"/>
        </w:rPr>
        <w:t xml:space="preserve"> of how much you manage yourself versus how much the cloud manages for you. From most-you to most-cloud: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C8102E"/>
          </w:tcPr>
          <w:p>
            <w:pPr>
              <w:spacing w:after="0" w:before="0"/>
            </w:pPr>
            <w:r/>
            <w:r>
              <w:rPr>
                <w:rFonts w:ascii="Calibri" w:hAnsi="Calibri"/>
                <w:b/>
                <w:color w:val="FFFFFF"/>
                <w:sz w:val="19"/>
              </w:rPr>
              <w:t>Model</w:t>
            </w:r>
          </w:p>
        </w:tc>
        <w:tc>
          <w:tcPr>
            <w:tcW w:type="dxa" w:w="2736"/>
            <w:shd w:val="clear" w:color="auto" w:fill="C8102E"/>
          </w:tcPr>
          <w:p>
            <w:pPr>
              <w:spacing w:after="0" w:before="0"/>
            </w:pPr>
            <w:r/>
            <w:r>
              <w:rPr>
                <w:rFonts w:ascii="Calibri" w:hAnsi="Calibri"/>
                <w:b/>
                <w:color w:val="FFFFFF"/>
                <w:sz w:val="19"/>
              </w:rPr>
              <w:t>Plain-English analogy</w:t>
            </w:r>
          </w:p>
        </w:tc>
        <w:tc>
          <w:tcPr>
            <w:tcW w:type="dxa" w:w="2880"/>
            <w:shd w:val="clear" w:color="auto" w:fill="C8102E"/>
          </w:tcPr>
          <w:p>
            <w:pPr>
              <w:spacing w:after="0" w:before="0"/>
            </w:pPr>
            <w:r/>
            <w:r>
              <w:rPr>
                <w:rFonts w:ascii="Calibri" w:hAnsi="Calibri"/>
                <w:b/>
                <w:color w:val="FFFFFF"/>
                <w:sz w:val="19"/>
              </w:rPr>
              <w:t>Who manages what</w:t>
            </w:r>
          </w:p>
        </w:tc>
        <w:tc>
          <w:tcPr>
            <w:tcW w:type="dxa" w:w="2304"/>
            <w:shd w:val="clear" w:color="auto" w:fill="C8102E"/>
          </w:tcPr>
          <w:p>
            <w:pPr>
              <w:spacing w:after="0" w:before="0"/>
            </w:pPr>
            <w:r/>
            <w:r>
              <w:rPr>
                <w:rFonts w:ascii="Calibri" w:hAnsi="Calibri"/>
                <w:b/>
                <w:color w:val="FFFFFF"/>
                <w:sz w:val="19"/>
              </w:rPr>
              <w:t>Is VendorPulse this?</w:t>
            </w:r>
          </w:p>
        </w:tc>
      </w:tr>
      <w:tr>
        <w:tc>
          <w:tcPr>
            <w:tcW w:type="dxa" w:w="2160"/>
          </w:tcPr>
          <w:p>
            <w:pPr>
              <w:spacing w:after="0" w:before="0"/>
            </w:pPr>
            <w:r/>
            <w:r>
              <w:rPr>
                <w:rFonts w:ascii="Calibri" w:hAnsi="Calibri"/>
                <w:b/>
                <w:sz w:val="19"/>
              </w:rPr>
              <w:t>On-premises (on-prem)</w:t>
            </w:r>
          </w:p>
        </w:tc>
        <w:tc>
          <w:tcPr>
            <w:tcW w:type="dxa" w:w="2736"/>
          </w:tcPr>
          <w:p>
            <w:pPr>
              <w:spacing w:after="0" w:before="0"/>
            </w:pPr>
            <w:r/>
            <w:r>
              <w:rPr>
                <w:rFonts w:ascii="Calibri" w:hAnsi="Calibri"/>
                <w:b w:val="0"/>
                <w:sz w:val="19"/>
              </w:rPr>
              <w:t xml:space="preserve">You </w:t>
            </w:r>
            <w:r>
              <w:rPr>
                <w:rFonts w:ascii="Calibri" w:hAnsi="Calibri"/>
                <w:b/>
                <w:sz w:val="19"/>
              </w:rPr>
              <w:t>own the house</w:t>
            </w:r>
            <w:r>
              <w:rPr>
                <w:rFonts w:ascii="Calibri" w:hAnsi="Calibri"/>
                <w:b w:val="0"/>
                <w:sz w:val="19"/>
              </w:rPr>
              <w:t xml:space="preserve"> — buy the land, build it, fix the boiler.</w:t>
            </w:r>
          </w:p>
        </w:tc>
        <w:tc>
          <w:tcPr>
            <w:tcW w:type="dxa" w:w="2880"/>
          </w:tcPr>
          <w:p>
            <w:pPr>
              <w:spacing w:after="0" w:before="0"/>
            </w:pPr>
            <w:r/>
            <w:r>
              <w:rPr>
                <w:rFonts w:ascii="Calibri" w:hAnsi="Calibri"/>
                <w:b/>
                <w:sz w:val="19"/>
              </w:rPr>
              <w:t>You</w:t>
            </w:r>
            <w:r>
              <w:rPr>
                <w:rFonts w:ascii="Calibri" w:hAnsi="Calibri"/>
                <w:b w:val="0"/>
                <w:sz w:val="19"/>
              </w:rPr>
              <w:t xml:space="preserve"> own the physical servers in your own building/datacenter: hardware, power, cooling, patching.</w:t>
            </w:r>
          </w:p>
        </w:tc>
        <w:tc>
          <w:tcPr>
            <w:tcW w:type="dxa" w:w="2304"/>
          </w:tcPr>
          <w:p>
            <w:pPr>
              <w:spacing w:after="0" w:before="0"/>
            </w:pPr>
            <w:r/>
            <w:r>
              <w:rPr>
                <w:rFonts w:ascii="Calibri" w:hAnsi="Calibri"/>
                <w:b/>
                <w:sz w:val="19"/>
              </w:rPr>
              <w:t>No.</w:t>
            </w:r>
            <w:r>
              <w:rPr>
                <w:rFonts w:ascii="Calibri" w:hAnsi="Calibri"/>
                <w:b w:val="0"/>
                <w:sz w:val="19"/>
              </w:rPr>
              <w:t xml:space="preserve"> Nothing runs in a Shell building. Zero physical hardware for us.</w:t>
            </w:r>
          </w:p>
        </w:tc>
      </w:tr>
      <w:tr>
        <w:tc>
          <w:tcPr>
            <w:tcW w:type="dxa" w:w="2160"/>
            <w:shd w:val="clear" w:color="auto" w:fill="F5F6F8"/>
          </w:tcPr>
          <w:p>
            <w:pPr>
              <w:spacing w:after="0" w:before="0"/>
            </w:pPr>
            <w:r/>
            <w:r>
              <w:rPr>
                <w:rFonts w:ascii="Calibri" w:hAnsi="Calibri"/>
                <w:b/>
                <w:sz w:val="19"/>
              </w:rPr>
              <w:t>IaaS — cloud VM</w:t>
            </w:r>
            <w:r>
              <w:rPr>
                <w:rFonts w:ascii="Calibri" w:hAnsi="Calibri"/>
                <w:b w:val="0"/>
                <w:sz w:val="19"/>
              </w:rPr>
              <w:t xml:space="preserve"> *(our current design)*</w:t>
            </w:r>
          </w:p>
        </w:tc>
        <w:tc>
          <w:tcPr>
            <w:tcW w:type="dxa" w:w="2736"/>
            <w:shd w:val="clear" w:color="auto" w:fill="F5F6F8"/>
          </w:tcPr>
          <w:p>
            <w:pPr>
              <w:spacing w:after="0" w:before="0"/>
            </w:pPr>
            <w:r/>
            <w:r>
              <w:rPr>
                <w:rFonts w:ascii="Calibri" w:hAnsi="Calibri"/>
                <w:b w:val="0"/>
                <w:sz w:val="19"/>
              </w:rPr>
              <w:t xml:space="preserve">You </w:t>
            </w:r>
            <w:r>
              <w:rPr>
                <w:rFonts w:ascii="Calibri" w:hAnsi="Calibri"/>
                <w:b/>
                <w:sz w:val="19"/>
              </w:rPr>
              <w:t>rent an empty apartment</w:t>
            </w:r>
            <w:r>
              <w:rPr>
                <w:rFonts w:ascii="Calibri" w:hAnsi="Calibri"/>
                <w:b w:val="0"/>
                <w:sz w:val="19"/>
              </w:rPr>
              <w:t xml:space="preserve"> — the building is managed, you furnish and clean inside.</w:t>
            </w:r>
          </w:p>
        </w:tc>
        <w:tc>
          <w:tcPr>
            <w:tcW w:type="dxa" w:w="2880"/>
            <w:shd w:val="clear" w:color="auto" w:fill="F5F6F8"/>
          </w:tcPr>
          <w:p>
            <w:pPr>
              <w:spacing w:after="0" w:before="0"/>
            </w:pPr>
            <w:r/>
            <w:r>
              <w:rPr>
                <w:rFonts w:ascii="Calibri" w:hAnsi="Calibri"/>
                <w:b w:val="0"/>
                <w:sz w:val="19"/>
              </w:rPr>
              <w:t xml:space="preserve">Azure owns the hardware; </w:t>
            </w:r>
            <w:r>
              <w:rPr>
                <w:rFonts w:ascii="Calibri" w:hAnsi="Calibri"/>
                <w:b/>
                <w:sz w:val="19"/>
              </w:rPr>
              <w:t>you</w:t>
            </w:r>
            <w:r>
              <w:rPr>
                <w:rFonts w:ascii="Calibri" w:hAnsi="Calibri"/>
                <w:b w:val="0"/>
                <w:sz w:val="19"/>
              </w:rPr>
              <w:t xml:space="preserve"> manage the virtual machine's OS, patching, and your app on top.</w:t>
            </w:r>
          </w:p>
        </w:tc>
        <w:tc>
          <w:tcPr>
            <w:tcW w:type="dxa" w:w="2304"/>
            <w:shd w:val="clear" w:color="auto" w:fill="F5F6F8"/>
          </w:tcPr>
          <w:p>
            <w:pPr>
              <w:spacing w:after="0" w:before="0"/>
            </w:pPr>
            <w:r/>
            <w:r>
              <w:rPr>
                <w:rFonts w:ascii="Calibri" w:hAnsi="Calibri"/>
                <w:b/>
                <w:sz w:val="19"/>
              </w:rPr>
              <w:t>Yes — this is it today.</w:t>
            </w:r>
            <w:r>
              <w:rPr>
                <w:rFonts w:ascii="Calibri" w:hAnsi="Calibri"/>
                <w:b w:val="0"/>
                <w:sz w:val="19"/>
              </w:rPr>
              <w:t xml:space="preserve"> An </w:t>
            </w:r>
            <w:r>
              <w:rPr>
                <w:rFonts w:ascii="Calibri" w:hAnsi="Calibri"/>
                <w:b/>
                <w:sz w:val="19"/>
              </w:rPr>
              <w:t>Azure VM (D4as v6/D8as v6)</w:t>
            </w:r>
            <w:r>
              <w:rPr>
                <w:rFonts w:ascii="Calibri" w:hAnsi="Calibri"/>
                <w:b w:val="0"/>
                <w:sz w:val="19"/>
              </w:rPr>
              <w:t xml:space="preserve"> in Shell's Azure.</w:t>
            </w:r>
          </w:p>
        </w:tc>
      </w:tr>
      <w:tr>
        <w:tc>
          <w:tcPr>
            <w:tcW w:type="dxa" w:w="2160"/>
          </w:tcPr>
          <w:p>
            <w:pPr>
              <w:spacing w:after="0" w:before="0"/>
            </w:pPr>
            <w:r/>
            <w:r>
              <w:rPr>
                <w:rFonts w:ascii="Calibri" w:hAnsi="Calibri"/>
                <w:b/>
                <w:sz w:val="19"/>
              </w:rPr>
              <w:t>PaaS — managed platform</w:t>
            </w:r>
          </w:p>
        </w:tc>
        <w:tc>
          <w:tcPr>
            <w:tcW w:type="dxa" w:w="2736"/>
          </w:tcPr>
          <w:p>
            <w:pPr>
              <w:spacing w:after="0" w:before="0"/>
            </w:pPr>
            <w:r/>
            <w:r>
              <w:rPr>
                <w:rFonts w:ascii="Calibri" w:hAnsi="Calibri"/>
                <w:b w:val="0"/>
                <w:sz w:val="19"/>
              </w:rPr>
              <w:t xml:space="preserve">You </w:t>
            </w:r>
            <w:r>
              <w:rPr>
                <w:rFonts w:ascii="Calibri" w:hAnsi="Calibri"/>
                <w:b/>
                <w:sz w:val="19"/>
              </w:rPr>
              <w:t>rent a serviced apartment</w:t>
            </w:r>
            <w:r>
              <w:rPr>
                <w:rFonts w:ascii="Calibri" w:hAnsi="Calibri"/>
                <w:b w:val="0"/>
                <w:sz w:val="19"/>
              </w:rPr>
              <w:t xml:space="preserve"> — furniture and cleaning included, you just live there.</w:t>
            </w:r>
          </w:p>
        </w:tc>
        <w:tc>
          <w:tcPr>
            <w:tcW w:type="dxa" w:w="2880"/>
          </w:tcPr>
          <w:p>
            <w:pPr>
              <w:spacing w:after="0" w:before="0"/>
            </w:pPr>
            <w:r/>
            <w:r>
              <w:rPr>
                <w:rFonts w:ascii="Calibri" w:hAnsi="Calibri"/>
                <w:b w:val="0"/>
                <w:sz w:val="19"/>
              </w:rPr>
              <w:t>Azure manages the OS and runtime; you just deploy your code/container. e.g. Azure App Service, Container Apps.</w:t>
            </w:r>
          </w:p>
        </w:tc>
        <w:tc>
          <w:tcPr>
            <w:tcW w:type="dxa" w:w="2304"/>
          </w:tcPr>
          <w:p>
            <w:pPr>
              <w:spacing w:after="0" w:before="0"/>
            </w:pPr>
            <w:r/>
            <w:r>
              <w:rPr>
                <w:rFonts w:ascii="Calibri" w:hAnsi="Calibri"/>
                <w:b/>
                <w:sz w:val="19"/>
              </w:rPr>
              <w:t>Not currently</w:t>
            </w:r>
            <w:r>
              <w:rPr>
                <w:rFonts w:ascii="Calibri" w:hAnsi="Calibri"/>
                <w:b w:val="0"/>
                <w:sz w:val="19"/>
              </w:rPr>
              <w:t>, but a valid future move — the code doesn't change. (The earlier draft used this.)</w:t>
            </w:r>
          </w:p>
        </w:tc>
      </w:tr>
      <w:tr>
        <w:tc>
          <w:tcPr>
            <w:tcW w:type="dxa" w:w="2160"/>
            <w:shd w:val="clear" w:color="auto" w:fill="F5F6F8"/>
          </w:tcPr>
          <w:p>
            <w:pPr>
              <w:spacing w:after="0" w:before="0"/>
            </w:pPr>
            <w:r/>
            <w:r>
              <w:rPr>
                <w:rFonts w:ascii="Calibri" w:hAnsi="Calibri"/>
                <w:b/>
                <w:sz w:val="19"/>
              </w:rPr>
              <w:t>Serverless / FaaS</w:t>
            </w:r>
          </w:p>
        </w:tc>
        <w:tc>
          <w:tcPr>
            <w:tcW w:type="dxa" w:w="2736"/>
            <w:shd w:val="clear" w:color="auto" w:fill="F5F6F8"/>
          </w:tcPr>
          <w:p>
            <w:pPr>
              <w:spacing w:after="0" w:before="0"/>
            </w:pPr>
            <w:r/>
            <w:r>
              <w:rPr>
                <w:rFonts w:ascii="Calibri" w:hAnsi="Calibri"/>
                <w:b w:val="0"/>
                <w:sz w:val="19"/>
              </w:rPr>
              <w:t xml:space="preserve">You </w:t>
            </w:r>
            <w:r>
              <w:rPr>
                <w:rFonts w:ascii="Calibri" w:hAnsi="Calibri"/>
                <w:b/>
                <w:sz w:val="19"/>
              </w:rPr>
              <w:t>stay in a hotel</w:t>
            </w:r>
            <w:r>
              <w:rPr>
                <w:rFonts w:ascii="Calibri" w:hAnsi="Calibri"/>
                <w:b w:val="0"/>
                <w:sz w:val="19"/>
              </w:rPr>
              <w:t xml:space="preserve"> — pay per night, walk away, staff handle everything.</w:t>
            </w:r>
          </w:p>
        </w:tc>
        <w:tc>
          <w:tcPr>
            <w:tcW w:type="dxa" w:w="2880"/>
            <w:shd w:val="clear" w:color="auto" w:fill="F5F6F8"/>
          </w:tcPr>
          <w:p>
            <w:pPr>
              <w:spacing w:after="0" w:before="0"/>
            </w:pPr>
            <w:r/>
            <w:r>
              <w:rPr>
                <w:rFonts w:ascii="Calibri" w:hAnsi="Calibri"/>
                <w:b w:val="0"/>
                <w:sz w:val="19"/>
              </w:rPr>
              <w:t xml:space="preserve">Azure manages everything incl. scaling; you pay per execution and it can </w:t>
            </w:r>
            <w:r>
              <w:rPr>
                <w:rFonts w:ascii="Calibri" w:hAnsi="Calibri"/>
                <w:b/>
                <w:sz w:val="19"/>
              </w:rPr>
              <w:t>scale to zero</w:t>
            </w:r>
            <w:r>
              <w:rPr>
                <w:rFonts w:ascii="Calibri" w:hAnsi="Calibri"/>
                <w:b w:val="0"/>
                <w:sz w:val="19"/>
              </w:rPr>
              <w:t>. e.g. Azure Functions.</w:t>
            </w:r>
          </w:p>
        </w:tc>
        <w:tc>
          <w:tcPr>
            <w:tcW w:type="dxa" w:w="2304"/>
            <w:shd w:val="clear" w:color="auto" w:fill="F5F6F8"/>
          </w:tcPr>
          <w:p>
            <w:pPr>
              <w:spacing w:after="0" w:before="0"/>
            </w:pPr>
            <w:r/>
            <w:r>
              <w:rPr>
                <w:rFonts w:ascii="Calibri" w:hAnsi="Calibri"/>
                <w:b/>
                <w:sz w:val="19"/>
              </w:rPr>
              <w:t>No.</w:t>
            </w:r>
            <w:r>
              <w:rPr>
                <w:rFonts w:ascii="Calibri" w:hAnsi="Calibri"/>
                <w:b w:val="0"/>
                <w:sz w:val="19"/>
              </w:rPr>
              <w:t xml:space="preserve"> The current design is a constantly-running VM, not pay-per-call serverless.</w:t>
            </w:r>
          </w:p>
        </w:tc>
      </w:tr>
    </w:tbl>
    <w:p/>
    <w:p>
      <w:pPr>
        <w:spacing w:before="200" w:after="40"/>
      </w:pPr>
      <w:r>
        <w:rPr>
          <w:rFonts w:ascii="Calibri" w:hAnsi="Calibri"/>
          <w:b/>
          <w:color w:val="1A1A1A"/>
          <w:sz w:val="24"/>
        </w:rPr>
        <w:t>So, in one breath:</w:t>
      </w:r>
    </w:p>
    <w:p>
      <w:pPr>
        <w:spacing w:after="120"/>
      </w:pPr>
      <w:r>
        <w:rPr>
          <w:rFonts w:ascii="Calibri" w:hAnsi="Calibri"/>
          <w:b/>
          <w:color w:val="1A1A1A"/>
          <w:sz w:val="20"/>
        </w:rPr>
        <w:t>VendorPulse is cloud-hosted IaaS, single-tenant, inside Shell's own Azure subscription and region. It is not on-premises and it is not serverless.</w:t>
      </w:r>
      <w:r>
        <w:rPr>
          <w:rFonts w:ascii="Calibri" w:hAnsi="Calibri"/>
          <w:b w:val="0"/>
          <w:color w:val="1A1A1A"/>
          <w:sz w:val="20"/>
        </w:rPr>
        <w:t xml:space="preserve"> It's a virtual machine we control, sitting in a private network, talking to managed Azure services (database, secrets, AI) over private links.</w:t>
      </w:r>
    </w:p>
    <w:p>
      <w:pPr>
        <w:spacing w:before="200" w:after="40"/>
      </w:pPr>
      <w:r>
        <w:rPr>
          <w:rFonts w:ascii="Calibri" w:hAnsi="Calibri"/>
          <w:b/>
          <w:color w:val="1A1A1A"/>
          <w:sz w:val="24"/>
        </w:rPr>
        <w:t>Why a plain VM and not serverless / a managed platform?</w:t>
      </w:r>
    </w:p>
    <w:p>
      <w:pPr>
        <w:pStyle w:val="ListBullet"/>
        <w:spacing w:after="40"/>
      </w:pPr>
      <w:r>
        <w:rPr>
          <w:rFonts w:ascii="Calibri" w:hAnsi="Calibri"/>
          <w:b/>
          <w:color w:val="1A1A1A"/>
          <w:sz w:val="20"/>
        </w:rPr>
        <w:t>Simplest security review (the big one for Shell):</w:t>
      </w:r>
      <w:r>
        <w:rPr>
          <w:rFonts w:ascii="Calibri" w:hAnsi="Calibri"/>
          <w:b w:val="0"/>
          <w:color w:val="1A1A1A"/>
          <w:sz w:val="20"/>
        </w:rPr>
        <w:t xml:space="preserve"> a single VM in a VNet is the easiest shape to reason about, lock down, and get past IRM / IT-Security. Fewer moving managed services = fewer things to assess.</w:t>
      </w:r>
    </w:p>
    <w:p>
      <w:pPr>
        <w:pStyle w:val="ListBullet"/>
        <w:spacing w:after="40"/>
      </w:pPr>
      <w:r>
        <w:rPr>
          <w:rFonts w:ascii="Calibri" w:hAnsi="Calibri"/>
          <w:b/>
          <w:color w:val="1A1A1A"/>
          <w:sz w:val="20"/>
        </w:rPr>
        <w:t>Full control &amp; no preview dependencies:</w:t>
      </w:r>
      <w:r>
        <w:rPr>
          <w:rFonts w:ascii="Calibri" w:hAnsi="Calibri"/>
          <w:b w:val="0"/>
          <w:color w:val="1A1A1A"/>
          <w:sz w:val="20"/>
        </w:rPr>
        <w:t xml:space="preserve"> we own the OS and runtime; nothing depends on a preview-tier Azure feature.</w:t>
      </w:r>
    </w:p>
    <w:p>
      <w:pPr>
        <w:pStyle w:val="ListBullet"/>
        <w:spacing w:after="40"/>
      </w:pPr>
      <w:r>
        <w:rPr>
          <w:rFonts w:ascii="Calibri" w:hAnsi="Calibri"/>
          <w:b/>
          <w:color w:val="1A1A1A"/>
          <w:sz w:val="20"/>
        </w:rPr>
        <w:t>Predictable cost &amp; behaviour:</w:t>
      </w:r>
      <w:r>
        <w:rPr>
          <w:rFonts w:ascii="Calibri" w:hAnsi="Calibri"/>
          <w:b w:val="0"/>
          <w:color w:val="1A1A1A"/>
          <w:sz w:val="20"/>
        </w:rPr>
        <w:t xml:space="preserve"> an always-on VM has a flat, predictable monthly cost and no cold-start latency — fine for an internal governance tool with steady, modest traffic.</w:t>
      </w:r>
    </w:p>
    <w:p>
      <w:pPr>
        <w:pStyle w:val="ListBullet"/>
        <w:spacing w:after="40"/>
      </w:pPr>
      <w:r>
        <w:rPr>
          <w:rFonts w:ascii="Calibri" w:hAnsi="Calibri"/>
          <w:b/>
          <w:color w:val="1A1A1A"/>
          <w:sz w:val="20"/>
        </w:rPr>
        <w:t>The code is portable:</w:t>
      </w:r>
      <w:r>
        <w:rPr>
          <w:rFonts w:ascii="Calibri" w:hAnsi="Calibri"/>
          <w:b w:val="0"/>
          <w:color w:val="1A1A1A"/>
          <w:sz w:val="20"/>
        </w:rPr>
        <w:t xml:space="preserve"> because the app is a standard container/FastAPI app, moving it later to Container Apps (PaaS) or a Foundry Hosted Agent (managed) is a </w:t>
      </w:r>
      <w:r>
        <w:rPr>
          <w:rFonts w:ascii="Calibri" w:hAnsi="Calibri"/>
          <w:b/>
          <w:color w:val="1A1A1A"/>
          <w:sz w:val="20"/>
        </w:rPr>
        <w:t>hosting swap, not a rewrite</w:t>
      </w:r>
      <w:r>
        <w:rPr>
          <w:rFonts w:ascii="Calibri" w:hAnsi="Calibri"/>
          <w:b w:val="0"/>
          <w:color w:val="1A1A1A"/>
          <w:sz w:val="20"/>
        </w:rPr>
        <w:t>. We keep that option open.</w:t>
      </w:r>
    </w:p>
    <w:tbl>
      <w:tblPr>
        <w:tblStyle w:val="TableGrid"/>
        <w:tblW w:type="auto" w:w="0"/>
        <w:tblLook w:firstColumn="1" w:firstRow="1" w:lastColumn="0" w:lastRow="0" w:noHBand="0" w:noVBand="1" w:val="04A0"/>
      </w:tblPr>
      <w:tblGrid>
        <w:gridCol w:w="8640"/>
      </w:tblGrid>
      <w:tr>
        <w:tc>
          <w:tcPr>
            <w:tcW w:type="dxa" w:w="8640"/>
            <w:shd w:val="clear" w:color="auto" w:fill="FDF3F4"/>
          </w:tcPr>
          <w:p>
            <w:pPr>
              <w:spacing w:after="40"/>
            </w:pPr>
            <w:r/>
            <w:r>
              <w:rPr>
                <w:rFonts w:ascii="Calibri" w:hAnsi="Calibri"/>
                <w:b/>
                <w:color w:val="C8102E"/>
                <w:sz w:val="20"/>
              </w:rPr>
              <w:t>If they push: 'serverless would be cheaper / auto-scale — why not?'</w:t>
            </w:r>
          </w:p>
          <w:p>
            <w:r>
              <w:rPr>
                <w:rFonts w:ascii="Calibri" w:hAnsi="Calibri"/>
                <w:b w:val="0"/>
                <w:color w:val="1A1A1A"/>
                <w:sz w:val="20"/>
              </w:rPr>
              <w:t>"For a steady internal workload with a human approval step in the loop, the elastic scaling and scale-to-zero of serverless buy us little, while a single VM is far simpler for your security team to certify. The application is containerised, so if usage grows we can move to Azure Container Apps or a Foundry Hosted Agent — same code — and get autoscale then. We chose the option that ships fastest through Shell governance."</w:t>
            </w:r>
          </w:p>
        </w:tc>
      </w:tr>
    </w:tbl>
    <w:p/>
    <w:p>
      <w:pPr>
        <w:spacing w:before="320" w:after="80"/>
      </w:pPr>
      <w:r>
        <w:rPr>
          <w:rFonts w:ascii="Calibri" w:hAnsi="Calibri"/>
          <w:b/>
          <w:color w:val="C8102E"/>
          <w:sz w:val="32"/>
        </w:rPr>
        <w:t>5. VM sizing — exactly what to say</w:t>
      </w:r>
    </w:p>
    <w:p>
      <w:pPr>
        <w:spacing w:after="120"/>
      </w:pPr>
      <w:r>
        <w:rPr>
          <w:rFonts w:ascii="Calibri" w:hAnsi="Calibri"/>
          <w:b w:val="0"/>
          <w:color w:val="1A1A1A"/>
          <w:sz w:val="20"/>
        </w:rPr>
        <w:t xml:space="preserve">The Infrastructure doc specifies an </w:t>
      </w:r>
      <w:r>
        <w:rPr>
          <w:rFonts w:ascii="Calibri" w:hAnsi="Calibri"/>
          <w:b/>
          <w:color w:val="1A1A1A"/>
          <w:sz w:val="20"/>
        </w:rPr>
        <w:t>Azure D4as v6</w:t>
      </w:r>
      <w:r>
        <w:rPr>
          <w:rFonts w:ascii="Calibri" w:hAnsi="Calibri"/>
          <w:b w:val="0"/>
          <w:color w:val="1A1A1A"/>
          <w:sz w:val="20"/>
        </w:rPr>
        <w:t xml:space="preserve"> or </w:t>
      </w:r>
      <w:r>
        <w:rPr>
          <w:rFonts w:ascii="Calibri" w:hAnsi="Calibri"/>
          <w:b/>
          <w:color w:val="1A1A1A"/>
          <w:sz w:val="20"/>
        </w:rPr>
        <w:t>D8as v6</w:t>
      </w:r>
      <w:r>
        <w:rPr>
          <w:rFonts w:ascii="Calibri" w:hAnsi="Calibri"/>
          <w:b w:val="0"/>
          <w:color w:val="1A1A1A"/>
          <w:sz w:val="20"/>
        </w:rPr>
        <w:t xml:space="preserve"> virtual machine. Here is what those names mean and how to defend the choice.</w:t>
      </w:r>
    </w:p>
    <w:p>
      <w:pPr>
        <w:spacing w:before="200" w:after="40"/>
      </w:pPr>
      <w:r>
        <w:rPr>
          <w:rFonts w:ascii="Calibri" w:hAnsi="Calibri"/>
          <w:b/>
          <w:color w:val="1A1A1A"/>
          <w:sz w:val="24"/>
        </w:rPr>
        <w:t>5.1 Decoding the VM name</w:t>
      </w:r>
    </w:p>
    <w:tbl>
      <w:tblPr>
        <w:tblStyle w:val="TableGrid"/>
        <w:tblW w:type="auto" w:w="0"/>
        <w:tblLayout w:type="autofit"/>
        <w:tblLook w:firstColumn="1" w:firstRow="1" w:lastColumn="0" w:lastRow="0" w:noHBand="0" w:noVBand="1" w:val="04A0"/>
      </w:tblPr>
      <w:tblGrid>
        <w:gridCol w:w="4320"/>
        <w:gridCol w:w="4320"/>
      </w:tblGrid>
      <w:tr>
        <w:tc>
          <w:tcPr>
            <w:tcW w:type="dxa" w:w="2304"/>
            <w:shd w:val="clear" w:color="auto" w:fill="C8102E"/>
          </w:tcPr>
          <w:p>
            <w:pPr>
              <w:spacing w:after="0" w:before="0"/>
            </w:pPr>
            <w:r/>
            <w:r>
              <w:rPr>
                <w:rFonts w:ascii="Calibri" w:hAnsi="Calibri"/>
                <w:b/>
                <w:color w:val="FFFFFF"/>
                <w:sz w:val="19"/>
              </w:rPr>
              <w:t>Part of the name</w:t>
            </w:r>
          </w:p>
        </w:tc>
        <w:tc>
          <w:tcPr>
            <w:tcW w:type="dxa" w:w="7776"/>
            <w:shd w:val="clear" w:color="auto" w:fill="C8102E"/>
          </w:tcPr>
          <w:p>
            <w:pPr>
              <w:spacing w:after="0" w:before="0"/>
            </w:pPr>
            <w:r/>
            <w:r>
              <w:rPr>
                <w:rFonts w:ascii="Calibri" w:hAnsi="Calibri"/>
                <w:b/>
                <w:color w:val="FFFFFF"/>
                <w:sz w:val="19"/>
              </w:rPr>
              <w:t>Meaning</w:t>
            </w:r>
          </w:p>
        </w:tc>
      </w:tr>
      <w:tr>
        <w:tc>
          <w:tcPr>
            <w:tcW w:type="dxa" w:w="2304"/>
          </w:tcPr>
          <w:p>
            <w:pPr>
              <w:spacing w:after="0" w:before="0"/>
            </w:pPr>
            <w:r/>
            <w:r>
              <w:rPr>
                <w:rFonts w:ascii="Calibri" w:hAnsi="Calibri"/>
                <w:b/>
                <w:sz w:val="19"/>
              </w:rPr>
              <w:t>D</w:t>
            </w:r>
          </w:p>
        </w:tc>
        <w:tc>
          <w:tcPr>
            <w:tcW w:type="dxa" w:w="7776"/>
          </w:tcPr>
          <w:p>
            <w:pPr>
              <w:spacing w:after="0" w:before="0"/>
            </w:pPr>
            <w:r/>
            <w:r>
              <w:rPr>
                <w:rFonts w:ascii="Calibri" w:hAnsi="Calibri"/>
                <w:b/>
                <w:sz w:val="19"/>
              </w:rPr>
              <w:t>D-series = general-purpose</w:t>
            </w:r>
            <w:r>
              <w:rPr>
                <w:rFonts w:ascii="Calibri" w:hAnsi="Calibri"/>
                <w:b w:val="0"/>
                <w:sz w:val="19"/>
              </w:rPr>
              <w:t xml:space="preserve"> VM (balanced CPU-to-memory). The right family for a normal web / API workload — not compute-heavy, not memory-heavy.</w:t>
            </w:r>
          </w:p>
        </w:tc>
      </w:tr>
      <w:tr>
        <w:tc>
          <w:tcPr>
            <w:tcW w:type="dxa" w:w="2304"/>
            <w:shd w:val="clear" w:color="auto" w:fill="F5F6F8"/>
          </w:tcPr>
          <w:p>
            <w:pPr>
              <w:spacing w:after="0" w:before="0"/>
            </w:pPr>
            <w:r/>
            <w:r>
              <w:rPr>
                <w:rFonts w:ascii="Calibri" w:hAnsi="Calibri"/>
                <w:b/>
                <w:sz w:val="19"/>
              </w:rPr>
              <w:t>4 / 8</w:t>
            </w:r>
          </w:p>
        </w:tc>
        <w:tc>
          <w:tcPr>
            <w:tcW w:type="dxa" w:w="7776"/>
            <w:shd w:val="clear" w:color="auto" w:fill="F5F6F8"/>
          </w:tcPr>
          <w:p>
            <w:pPr>
              <w:spacing w:after="0" w:before="0"/>
            </w:pPr>
            <w:r/>
            <w:r>
              <w:rPr>
                <w:rFonts w:ascii="Calibri" w:hAnsi="Calibri"/>
                <w:b w:val="0"/>
                <w:sz w:val="19"/>
              </w:rPr>
              <w:t xml:space="preserve">Number of </w:t>
            </w:r>
            <w:r>
              <w:rPr>
                <w:rFonts w:ascii="Calibri" w:hAnsi="Calibri"/>
                <w:b/>
                <w:sz w:val="19"/>
              </w:rPr>
              <w:t>vCPUs</w:t>
            </w:r>
            <w:r>
              <w:rPr>
                <w:rFonts w:ascii="Calibri" w:hAnsi="Calibri"/>
                <w:b w:val="0"/>
                <w:sz w:val="19"/>
              </w:rPr>
              <w:t xml:space="preserve"> (virtual CPU cores): </w:t>
            </w:r>
            <w:r>
              <w:rPr>
                <w:rFonts w:ascii="Calibri" w:hAnsi="Calibri"/>
                <w:b/>
                <w:sz w:val="19"/>
              </w:rPr>
              <w:t>4</w:t>
            </w:r>
            <w:r>
              <w:rPr>
                <w:rFonts w:ascii="Calibri" w:hAnsi="Calibri"/>
                <w:b w:val="0"/>
                <w:sz w:val="19"/>
              </w:rPr>
              <w:t xml:space="preserve"> or </w:t>
            </w:r>
            <w:r>
              <w:rPr>
                <w:rFonts w:ascii="Calibri" w:hAnsi="Calibri"/>
                <w:b/>
                <w:sz w:val="19"/>
              </w:rPr>
              <w:t>8</w:t>
            </w:r>
            <w:r>
              <w:rPr>
                <w:rFonts w:ascii="Calibri" w:hAnsi="Calibri"/>
                <w:b w:val="0"/>
                <w:sz w:val="19"/>
              </w:rPr>
              <w:t>.</w:t>
            </w:r>
          </w:p>
        </w:tc>
      </w:tr>
      <w:tr>
        <w:tc>
          <w:tcPr>
            <w:tcW w:type="dxa" w:w="2304"/>
          </w:tcPr>
          <w:p>
            <w:pPr>
              <w:spacing w:after="0" w:before="0"/>
            </w:pPr>
            <w:r/>
            <w:r>
              <w:rPr>
                <w:rFonts w:ascii="Calibri" w:hAnsi="Calibri"/>
                <w:b/>
                <w:sz w:val="19"/>
              </w:rPr>
              <w:t>a</w:t>
            </w:r>
          </w:p>
        </w:tc>
        <w:tc>
          <w:tcPr>
            <w:tcW w:type="dxa" w:w="7776"/>
          </w:tcPr>
          <w:p>
            <w:pPr>
              <w:spacing w:after="0" w:before="0"/>
            </w:pPr>
            <w:r/>
            <w:r>
              <w:rPr>
                <w:rFonts w:ascii="Calibri" w:hAnsi="Calibri"/>
                <w:b w:val="0"/>
                <w:sz w:val="19"/>
              </w:rPr>
              <w:t xml:space="preserve">Runs on </w:t>
            </w:r>
            <w:r>
              <w:rPr>
                <w:rFonts w:ascii="Calibri" w:hAnsi="Calibri"/>
                <w:b/>
                <w:sz w:val="19"/>
              </w:rPr>
              <w:t>AMD</w:t>
            </w:r>
            <w:r>
              <w:rPr>
                <w:rFonts w:ascii="Calibri" w:hAnsi="Calibri"/>
                <w:b w:val="0"/>
                <w:sz w:val="19"/>
              </w:rPr>
              <w:t xml:space="preserve"> (EPYC) processors — strong price/performance.</w:t>
            </w:r>
          </w:p>
        </w:tc>
      </w:tr>
      <w:tr>
        <w:tc>
          <w:tcPr>
            <w:tcW w:type="dxa" w:w="2304"/>
            <w:shd w:val="clear" w:color="auto" w:fill="F5F6F8"/>
          </w:tcPr>
          <w:p>
            <w:pPr>
              <w:spacing w:after="0" w:before="0"/>
            </w:pPr>
            <w:r/>
            <w:r>
              <w:rPr>
                <w:rFonts w:ascii="Calibri" w:hAnsi="Calibri"/>
                <w:b/>
                <w:sz w:val="19"/>
              </w:rPr>
              <w:t>s</w:t>
            </w:r>
          </w:p>
        </w:tc>
        <w:tc>
          <w:tcPr>
            <w:tcW w:type="dxa" w:w="7776"/>
            <w:shd w:val="clear" w:color="auto" w:fill="F5F6F8"/>
          </w:tcPr>
          <w:p>
            <w:pPr>
              <w:spacing w:after="0" w:before="0"/>
            </w:pPr>
            <w:r/>
            <w:r>
              <w:rPr>
                <w:rFonts w:ascii="Calibri" w:hAnsi="Calibri"/>
                <w:b/>
                <w:sz w:val="19"/>
              </w:rPr>
              <w:t>Premium SSD capable</w:t>
            </w:r>
            <w:r>
              <w:rPr>
                <w:rFonts w:ascii="Calibri" w:hAnsi="Calibri"/>
                <w:b w:val="0"/>
                <w:sz w:val="19"/>
              </w:rPr>
              <w:t xml:space="preserve"> — fast, reliable disk.</w:t>
            </w:r>
          </w:p>
        </w:tc>
      </w:tr>
      <w:tr>
        <w:tc>
          <w:tcPr>
            <w:tcW w:type="dxa" w:w="2304"/>
          </w:tcPr>
          <w:p>
            <w:pPr>
              <w:spacing w:after="0" w:before="0"/>
            </w:pPr>
            <w:r/>
            <w:r>
              <w:rPr>
                <w:rFonts w:ascii="Calibri" w:hAnsi="Calibri"/>
                <w:b/>
                <w:sz w:val="19"/>
              </w:rPr>
              <w:t>v6</w:t>
            </w:r>
          </w:p>
        </w:tc>
        <w:tc>
          <w:tcPr>
            <w:tcW w:type="dxa" w:w="7776"/>
          </w:tcPr>
          <w:p>
            <w:pPr>
              <w:spacing w:after="0" w:before="0"/>
            </w:pPr>
            <w:r/>
            <w:r>
              <w:rPr>
                <w:rFonts w:ascii="Calibri" w:hAnsi="Calibri"/>
                <w:b/>
                <w:sz w:val="19"/>
              </w:rPr>
              <w:t>Generation 6</w:t>
            </w:r>
            <w:r>
              <w:rPr>
                <w:rFonts w:ascii="Calibri" w:hAnsi="Calibri"/>
                <w:b w:val="0"/>
                <w:sz w:val="19"/>
              </w:rPr>
              <w:t xml:space="preserve"> — the current, efficient hardware generation.</w:t>
            </w:r>
          </w:p>
        </w:tc>
      </w:tr>
    </w:tbl>
    <w:p/>
    <w:p>
      <w:pPr>
        <w:spacing w:before="200" w:after="40"/>
      </w:pPr>
      <w:r>
        <w:rPr>
          <w:rFonts w:ascii="Calibri" w:hAnsi="Calibri"/>
          <w:b/>
          <w:color w:val="1A1A1A"/>
          <w:sz w:val="24"/>
        </w:rPr>
        <w:t>5.2 The actual specs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584"/>
            <w:shd w:val="clear" w:color="auto" w:fill="C8102E"/>
          </w:tcPr>
          <w:p>
            <w:pPr>
              <w:spacing w:after="0" w:before="0"/>
            </w:pPr>
            <w:r/>
            <w:r>
              <w:rPr>
                <w:rFonts w:ascii="Calibri" w:hAnsi="Calibri"/>
                <w:b/>
                <w:color w:val="FFFFFF"/>
                <w:sz w:val="19"/>
              </w:rPr>
              <w:t>Size</w:t>
            </w:r>
          </w:p>
        </w:tc>
        <w:tc>
          <w:tcPr>
            <w:tcW w:type="dxa" w:w="1152"/>
            <w:shd w:val="clear" w:color="auto" w:fill="C8102E"/>
          </w:tcPr>
          <w:p>
            <w:pPr>
              <w:spacing w:after="0" w:before="0"/>
            </w:pPr>
            <w:r/>
            <w:r>
              <w:rPr>
                <w:rFonts w:ascii="Calibri" w:hAnsi="Calibri"/>
                <w:b/>
                <w:color w:val="FFFFFF"/>
                <w:sz w:val="19"/>
              </w:rPr>
              <w:t>vCPUs</w:t>
            </w:r>
          </w:p>
        </w:tc>
        <w:tc>
          <w:tcPr>
            <w:tcW w:type="dxa" w:w="1152"/>
            <w:shd w:val="clear" w:color="auto" w:fill="C8102E"/>
          </w:tcPr>
          <w:p>
            <w:pPr>
              <w:spacing w:after="0" w:before="0"/>
            </w:pPr>
            <w:r/>
            <w:r>
              <w:rPr>
                <w:rFonts w:ascii="Calibri" w:hAnsi="Calibri"/>
                <w:b/>
                <w:color w:val="FFFFFF"/>
                <w:sz w:val="19"/>
              </w:rPr>
              <w:t>RAM</w:t>
            </w:r>
          </w:p>
        </w:tc>
        <w:tc>
          <w:tcPr>
            <w:tcW w:type="dxa" w:w="4320"/>
            <w:shd w:val="clear" w:color="auto" w:fill="C8102E"/>
          </w:tcPr>
          <w:p>
            <w:pPr>
              <w:spacing w:after="0" w:before="0"/>
            </w:pPr>
            <w:r/>
            <w:r>
              <w:rPr>
                <w:rFonts w:ascii="Calibri" w:hAnsi="Calibri"/>
                <w:b/>
                <w:color w:val="FFFFFF"/>
                <w:sz w:val="19"/>
              </w:rPr>
              <w:t>Good for</w:t>
            </w:r>
          </w:p>
        </w:tc>
        <w:tc>
          <w:tcPr>
            <w:tcW w:type="dxa" w:w="1872"/>
            <w:shd w:val="clear" w:color="auto" w:fill="C8102E"/>
          </w:tcPr>
          <w:p>
            <w:pPr>
              <w:spacing w:after="0" w:before="0"/>
            </w:pPr>
            <w:r/>
            <w:r>
              <w:rPr>
                <w:rFonts w:ascii="Calibri" w:hAnsi="Calibri"/>
                <w:b/>
                <w:color w:val="FFFFFF"/>
                <w:sz w:val="19"/>
              </w:rPr>
              <w:t>Indicative cost*</w:t>
            </w:r>
          </w:p>
        </w:tc>
      </w:tr>
      <w:tr>
        <w:tc>
          <w:tcPr>
            <w:tcW w:type="dxa" w:w="1584"/>
          </w:tcPr>
          <w:p>
            <w:pPr>
              <w:spacing w:after="0" w:before="0"/>
            </w:pPr>
            <w:r/>
            <w:r>
              <w:rPr>
                <w:rFonts w:ascii="Calibri" w:hAnsi="Calibri"/>
                <w:b/>
                <w:sz w:val="19"/>
              </w:rPr>
              <w:t>D4as v6</w:t>
            </w:r>
          </w:p>
        </w:tc>
        <w:tc>
          <w:tcPr>
            <w:tcW w:type="dxa" w:w="1152"/>
          </w:tcPr>
          <w:p>
            <w:pPr>
              <w:spacing w:after="0" w:before="0"/>
            </w:pPr>
            <w:r/>
            <w:r>
              <w:rPr>
                <w:rFonts w:ascii="Calibri" w:hAnsi="Calibri"/>
                <w:b w:val="0"/>
                <w:sz w:val="19"/>
              </w:rPr>
              <w:t>4 cores</w:t>
            </w:r>
          </w:p>
        </w:tc>
        <w:tc>
          <w:tcPr>
            <w:tcW w:type="dxa" w:w="1152"/>
          </w:tcPr>
          <w:p>
            <w:pPr>
              <w:spacing w:after="0" w:before="0"/>
            </w:pPr>
            <w:r/>
            <w:r>
              <w:rPr>
                <w:rFonts w:ascii="Calibri" w:hAnsi="Calibri"/>
                <w:b w:val="0"/>
                <w:sz w:val="19"/>
              </w:rPr>
              <w:t>16 GB</w:t>
            </w:r>
          </w:p>
        </w:tc>
        <w:tc>
          <w:tcPr>
            <w:tcW w:type="dxa" w:w="4320"/>
          </w:tcPr>
          <w:p>
            <w:pPr>
              <w:spacing w:after="0" w:before="0"/>
            </w:pPr>
            <w:r/>
            <w:r>
              <w:rPr>
                <w:rFonts w:ascii="Calibri" w:hAnsi="Calibri"/>
                <w:b w:val="0"/>
                <w:sz w:val="19"/>
              </w:rPr>
              <w:t>Dev / Staging, and Production at expected QBR volumes (steady, modest concurrent users).</w:t>
            </w:r>
          </w:p>
        </w:tc>
        <w:tc>
          <w:tcPr>
            <w:tcW w:type="dxa" w:w="1872"/>
          </w:tcPr>
          <w:p>
            <w:pPr>
              <w:spacing w:after="0" w:before="0"/>
            </w:pPr>
            <w:r/>
            <w:r>
              <w:rPr>
                <w:rFonts w:ascii="Calibri" w:hAnsi="Calibri"/>
                <w:b w:val="0"/>
                <w:sz w:val="19"/>
              </w:rPr>
              <w:t>~$140–200 / month</w:t>
            </w:r>
          </w:p>
        </w:tc>
      </w:tr>
      <w:tr>
        <w:tc>
          <w:tcPr>
            <w:tcW w:type="dxa" w:w="1584"/>
            <w:shd w:val="clear" w:color="auto" w:fill="F5F6F8"/>
          </w:tcPr>
          <w:p>
            <w:pPr>
              <w:spacing w:after="0" w:before="0"/>
            </w:pPr>
            <w:r/>
            <w:r>
              <w:rPr>
                <w:rFonts w:ascii="Calibri" w:hAnsi="Calibri"/>
                <w:b/>
                <w:sz w:val="19"/>
              </w:rPr>
              <w:t>D8as v6</w:t>
            </w:r>
          </w:p>
        </w:tc>
        <w:tc>
          <w:tcPr>
            <w:tcW w:type="dxa" w:w="1152"/>
            <w:shd w:val="clear" w:color="auto" w:fill="F5F6F8"/>
          </w:tcPr>
          <w:p>
            <w:pPr>
              <w:spacing w:after="0" w:before="0"/>
            </w:pPr>
            <w:r/>
            <w:r>
              <w:rPr>
                <w:rFonts w:ascii="Calibri" w:hAnsi="Calibri"/>
                <w:b w:val="0"/>
                <w:sz w:val="19"/>
              </w:rPr>
              <w:t>8 cores</w:t>
            </w:r>
          </w:p>
        </w:tc>
        <w:tc>
          <w:tcPr>
            <w:tcW w:type="dxa" w:w="1152"/>
            <w:shd w:val="clear" w:color="auto" w:fill="F5F6F8"/>
          </w:tcPr>
          <w:p>
            <w:pPr>
              <w:spacing w:after="0" w:before="0"/>
            </w:pPr>
            <w:r/>
            <w:r>
              <w:rPr>
                <w:rFonts w:ascii="Calibri" w:hAnsi="Calibri"/>
                <w:b w:val="0"/>
                <w:sz w:val="19"/>
              </w:rPr>
              <w:t>32 GB</w:t>
            </w:r>
          </w:p>
        </w:tc>
        <w:tc>
          <w:tcPr>
            <w:tcW w:type="dxa" w:w="4320"/>
            <w:shd w:val="clear" w:color="auto" w:fill="F5F6F8"/>
          </w:tcPr>
          <w:p>
            <w:pPr>
              <w:spacing w:after="0" w:before="0"/>
            </w:pPr>
            <w:r/>
            <w:r>
              <w:rPr>
                <w:rFonts w:ascii="Calibri" w:hAnsi="Calibri"/>
                <w:b w:val="0"/>
                <w:sz w:val="19"/>
              </w:rPr>
              <w:t>Production headroom if many coordinators work concurrently, or for comfortable margin.</w:t>
            </w:r>
          </w:p>
        </w:tc>
        <w:tc>
          <w:tcPr>
            <w:tcW w:type="dxa" w:w="1872"/>
            <w:shd w:val="clear" w:color="auto" w:fill="F5F6F8"/>
          </w:tcPr>
          <w:p>
            <w:pPr>
              <w:spacing w:after="0" w:before="0"/>
            </w:pPr>
            <w:r/>
            <w:r>
              <w:rPr>
                <w:rFonts w:ascii="Calibri" w:hAnsi="Calibri"/>
                <w:b w:val="0"/>
                <w:sz w:val="19"/>
              </w:rPr>
              <w:t>~$280–400 / month</w:t>
            </w:r>
          </w:p>
        </w:tc>
      </w:tr>
    </w:tbl>
    <w:p/>
    <w:p>
      <w:pPr>
        <w:spacing w:after="120"/>
      </w:pPr>
      <w:r>
        <w:rPr>
          <w:rFonts w:ascii="Calibri" w:hAnsi="Calibri"/>
          <w:b w:val="0"/>
          <w:color w:val="555555"/>
          <w:sz w:val="20"/>
        </w:rPr>
        <w:t>*Cost is pay-as-you-go indicative for West Europe and drops materially with a 1- or 3-year reserved-instance commitment — present figures as "order of magnitude," not a quote.</w:t>
      </w:r>
    </w:p>
    <w:p>
      <w:pPr>
        <w:spacing w:before="200" w:after="40"/>
      </w:pPr>
      <w:r>
        <w:rPr>
          <w:rFonts w:ascii="Calibri" w:hAnsi="Calibri"/>
          <w:b/>
          <w:color w:val="1A1A1A"/>
          <w:sz w:val="24"/>
        </w:rPr>
        <w:t>5.3 Why this size is right — the reasoning to give</w:t>
      </w:r>
    </w:p>
    <w:p>
      <w:pPr>
        <w:pStyle w:val="ListBullet"/>
        <w:spacing w:after="40"/>
      </w:pPr>
      <w:r>
        <w:rPr>
          <w:rFonts w:ascii="Calibri" w:hAnsi="Calibri"/>
          <w:b/>
          <w:color w:val="1A1A1A"/>
          <w:sz w:val="20"/>
        </w:rPr>
        <w:t>The heavy lifting isn't here.</w:t>
      </w:r>
      <w:r>
        <w:rPr>
          <w:rFonts w:ascii="Calibri" w:hAnsi="Calibri"/>
          <w:b w:val="0"/>
          <w:color w:val="1A1A1A"/>
          <w:sz w:val="20"/>
        </w:rPr>
        <w:t xml:space="preserve"> The AI inference runs remotely in </w:t>
      </w:r>
      <w:r>
        <w:rPr>
          <w:rFonts w:ascii="Calibri" w:hAnsi="Calibri"/>
          <w:b/>
          <w:color w:val="1A1A1A"/>
          <w:sz w:val="20"/>
        </w:rPr>
        <w:t>Foundry</w:t>
      </w:r>
      <w:r>
        <w:rPr>
          <w:rFonts w:ascii="Calibri" w:hAnsi="Calibri"/>
          <w:b w:val="0"/>
          <w:color w:val="1A1A1A"/>
          <w:sz w:val="20"/>
        </w:rPr>
        <w:t xml:space="preserve">, and the database runs as a separate managed service. The VM only runs a lightweight </w:t>
      </w:r>
      <w:r>
        <w:rPr>
          <w:rFonts w:ascii="Calibri" w:hAnsi="Calibri"/>
          <w:b/>
          <w:color w:val="1A1A1A"/>
          <w:sz w:val="20"/>
        </w:rPr>
        <w:t>FastAPI</w:t>
      </w:r>
      <w:r>
        <w:rPr>
          <w:rFonts w:ascii="Calibri" w:hAnsi="Calibri"/>
          <w:b w:val="0"/>
          <w:color w:val="1A1A1A"/>
          <w:sz w:val="20"/>
        </w:rPr>
        <w:t xml:space="preserve"> web app and the MAF orchestration code — that is not CPU- or memory-hungry.</w:t>
      </w:r>
    </w:p>
    <w:p>
      <w:pPr>
        <w:pStyle w:val="ListBullet"/>
        <w:spacing w:after="40"/>
      </w:pPr>
      <w:r>
        <w:rPr>
          <w:rFonts w:ascii="Calibri" w:hAnsi="Calibri"/>
          <w:b/>
          <w:color w:val="1A1A1A"/>
          <w:sz w:val="20"/>
        </w:rPr>
        <w:t>No GPU needed</w:t>
      </w:r>
      <w:r>
        <w:rPr>
          <w:rFonts w:ascii="Calibri" w:hAnsi="Calibri"/>
          <w:b w:val="0"/>
          <w:color w:val="1A1A1A"/>
          <w:sz w:val="20"/>
        </w:rPr>
        <w:t xml:space="preserve"> — and we should say this proactively, because people assume "AI = expensive GPU server." There is </w:t>
      </w:r>
      <w:r>
        <w:rPr>
          <w:rFonts w:ascii="Calibri" w:hAnsi="Calibri"/>
          <w:b/>
          <w:color w:val="1A1A1A"/>
          <w:sz w:val="20"/>
        </w:rPr>
        <w:t>no GPU</w:t>
      </w:r>
      <w:r>
        <w:rPr>
          <w:rFonts w:ascii="Calibri" w:hAnsi="Calibri"/>
          <w:b w:val="0"/>
          <w:color w:val="1A1A1A"/>
          <w:sz w:val="20"/>
        </w:rPr>
        <w:t xml:space="preserve"> on the VM or on developer laptops; all model compute is Foundry's.</w:t>
      </w:r>
    </w:p>
    <w:p>
      <w:pPr>
        <w:pStyle w:val="ListBullet"/>
        <w:spacing w:after="40"/>
      </w:pPr>
      <w:r>
        <w:rPr>
          <w:rFonts w:ascii="Calibri" w:hAnsi="Calibri"/>
          <w:b/>
          <w:color w:val="1A1A1A"/>
          <w:sz w:val="20"/>
        </w:rPr>
        <w:t>4 vCPU / 16 GB comfortably handles</w:t>
      </w:r>
      <w:r>
        <w:rPr>
          <w:rFonts w:ascii="Calibri" w:hAnsi="Calibri"/>
          <w:b w:val="0"/>
          <w:color w:val="1A1A1A"/>
          <w:sz w:val="20"/>
        </w:rPr>
        <w:t xml:space="preserve"> a FastAPI app serving an internal governance team. The workload is bursty-but-small (a coordinator drafting an invite, approving a brief) — not high-throughput.</w:t>
      </w:r>
    </w:p>
    <w:p>
      <w:pPr>
        <w:pStyle w:val="ListBullet"/>
        <w:spacing w:after="40"/>
      </w:pPr>
      <w:r>
        <w:rPr>
          <w:rFonts w:ascii="Calibri" w:hAnsi="Calibri"/>
          <w:b/>
          <w:color w:val="1A1A1A"/>
          <w:sz w:val="20"/>
        </w:rPr>
        <w:t>Vertical headroom is trivial:</w:t>
      </w:r>
      <w:r>
        <w:rPr>
          <w:rFonts w:ascii="Calibri" w:hAnsi="Calibri"/>
          <w:b w:val="0"/>
          <w:color w:val="1A1A1A"/>
          <w:sz w:val="20"/>
        </w:rPr>
        <w:t xml:space="preserve"> if it ever needs more, resizing a VM to the next size (e.g. D4→D8) is a few-minute reboot in the portal — no re-architecting.</w:t>
      </w:r>
    </w:p>
    <w:p>
      <w:pPr>
        <w:pStyle w:val="ListBullet"/>
        <w:spacing w:after="40"/>
      </w:pPr>
      <w:r>
        <w:rPr>
          <w:rFonts w:ascii="Calibri" w:hAnsi="Calibri"/>
          <w:b/>
          <w:color w:val="1A1A1A"/>
          <w:sz w:val="20"/>
        </w:rPr>
        <w:t>Production gets resilience</w:t>
      </w:r>
      <w:r>
        <w:rPr>
          <w:rFonts w:ascii="Calibri" w:hAnsi="Calibri"/>
          <w:b w:val="0"/>
          <w:color w:val="1A1A1A"/>
          <w:sz w:val="20"/>
        </w:rPr>
        <w:t xml:space="preserve"> via Azure (zone-redundancy / availability), and the database is </w:t>
      </w:r>
      <w:r>
        <w:rPr>
          <w:rFonts w:ascii="Calibri" w:hAnsi="Calibri"/>
          <w:b/>
          <w:color w:val="1A1A1A"/>
          <w:sz w:val="20"/>
        </w:rPr>
        <w:t>High-Availability</w:t>
      </w:r>
      <w:r>
        <w:rPr>
          <w:rFonts w:ascii="Calibri" w:hAnsi="Calibri"/>
          <w:b w:val="0"/>
          <w:color w:val="1A1A1A"/>
          <w:sz w:val="20"/>
        </w:rPr>
        <w:t xml:space="preserve"> — so the small VM size doesn't compromise uptime.</w:t>
      </w:r>
    </w:p>
    <w:tbl>
      <w:tblPr>
        <w:tblStyle w:val="TableGrid"/>
        <w:tblW w:type="auto" w:w="0"/>
        <w:tblLook w:firstColumn="1" w:firstRow="1" w:lastColumn="0" w:lastRow="0" w:noHBand="0" w:noVBand="1" w:val="04A0"/>
      </w:tblPr>
      <w:tblGrid>
        <w:gridCol w:w="8640"/>
      </w:tblGrid>
      <w:tr>
        <w:tc>
          <w:tcPr>
            <w:tcW w:type="dxa" w:w="8640"/>
            <w:shd w:val="clear" w:color="auto" w:fill="FDF3F4"/>
          </w:tcPr>
          <w:p>
            <w:pPr>
              <w:spacing w:after="40"/>
            </w:pPr>
            <w:r/>
            <w:r>
              <w:rPr>
                <w:rFonts w:ascii="Calibri" w:hAnsi="Calibri"/>
                <w:b/>
                <w:color w:val="C8102E"/>
                <w:sz w:val="20"/>
              </w:rPr>
              <w:t>If asked 'what spec / how big a server?' — the crisp answer</w:t>
            </w:r>
          </w:p>
          <w:p>
            <w:r>
              <w:rPr>
                <w:rFonts w:ascii="Calibri" w:hAnsi="Calibri"/>
                <w:b w:val="0"/>
                <w:color w:val="1A1A1A"/>
                <w:sz w:val="20"/>
              </w:rPr>
              <w:t xml:space="preserve">"A general-purpose Azure VM — </w:t>
            </w:r>
            <w:r>
              <w:rPr>
                <w:rFonts w:ascii="Calibri" w:hAnsi="Calibri"/>
                <w:b/>
                <w:color w:val="1A1A1A"/>
                <w:sz w:val="20"/>
              </w:rPr>
              <w:t>4 vCPUs and 16 GB RAM (D4as v6)</w:t>
            </w:r>
            <w:r>
              <w:rPr>
                <w:rFonts w:ascii="Calibri" w:hAnsi="Calibri"/>
                <w:b w:val="0"/>
                <w:color w:val="1A1A1A"/>
                <w:sz w:val="20"/>
              </w:rPr>
              <w:t xml:space="preserve"> for most environments, scaling to </w:t>
            </w:r>
            <w:r>
              <w:rPr>
                <w:rFonts w:ascii="Calibri" w:hAnsi="Calibri"/>
                <w:b/>
                <w:color w:val="1A1A1A"/>
                <w:sz w:val="20"/>
              </w:rPr>
              <w:t>8 vCPU / 32 GB (D8as v6)</w:t>
            </w:r>
            <w:r>
              <w:rPr>
                <w:rFonts w:ascii="Calibri" w:hAnsi="Calibri"/>
                <w:b w:val="0"/>
                <w:color w:val="1A1A1A"/>
                <w:sz w:val="20"/>
              </w:rPr>
              <w:t xml:space="preserve"> in production if we want headroom. No GPU is needed because all AI inference happens in Foundry, and the database is a separate managed service. The VM just runs the FastAPI app — it's a light workload, and we can resize in minutes if volumes grow."</w:t>
            </w:r>
          </w:p>
        </w:tc>
      </w:tr>
    </w:tbl>
    <w:p/>
    <w:p>
      <w:pPr>
        <w:spacing w:before="320" w:after="80"/>
      </w:pPr>
      <w:r>
        <w:rPr>
          <w:rFonts w:ascii="Calibri" w:hAnsi="Calibri"/>
          <w:b/>
          <w:color w:val="C8102E"/>
          <w:sz w:val="32"/>
        </w:rPr>
        <w:t>6. The full glossary — every term, in plain language</w:t>
      </w:r>
    </w:p>
    <w:p>
      <w:pPr>
        <w:spacing w:after="120"/>
      </w:pPr>
      <w:r>
        <w:rPr>
          <w:rFonts w:ascii="Calibri" w:hAnsi="Calibri"/>
          <w:b w:val="0"/>
          <w:color w:val="1A1A1A"/>
          <w:sz w:val="20"/>
        </w:rPr>
        <w:t>Grouped so you can find a term fast. For each: what it is, and (where useful) why it's in our design.</w:t>
      </w:r>
    </w:p>
    <w:p>
      <w:pPr>
        <w:spacing w:before="200" w:after="40"/>
      </w:pPr>
      <w:r>
        <w:rPr>
          <w:rFonts w:ascii="Calibri" w:hAnsi="Calibri"/>
          <w:b/>
          <w:color w:val="1A1A1A"/>
          <w:sz w:val="24"/>
        </w:rPr>
        <w:t>6.1 Deployment &amp; hosting</w:t>
      </w:r>
    </w:p>
    <w:tbl>
      <w:tblPr>
        <w:tblStyle w:val="TableGrid"/>
        <w:tblW w:type="auto" w:w="0"/>
        <w:tblLayout w:type="autofit"/>
        <w:tblLook w:firstColumn="1" w:firstRow="1" w:lastColumn="0" w:lastRow="0" w:noHBand="0" w:noVBand="1" w:val="04A0"/>
      </w:tblPr>
      <w:tblGrid>
        <w:gridCol w:w="4320"/>
        <w:gridCol w:w="4320"/>
      </w:tblGrid>
      <w:tr>
        <w:tc>
          <w:tcPr>
            <w:tcW w:type="dxa" w:w="3024"/>
            <w:shd w:val="clear" w:color="auto" w:fill="C8102E"/>
          </w:tcPr>
          <w:p>
            <w:pPr>
              <w:spacing w:after="0" w:before="0"/>
            </w:pPr>
            <w:r/>
            <w:r>
              <w:rPr>
                <w:rFonts w:ascii="Calibri" w:hAnsi="Calibri"/>
                <w:b/>
                <w:color w:val="FFFFFF"/>
                <w:sz w:val="19"/>
              </w:rPr>
              <w:t>Term</w:t>
            </w:r>
          </w:p>
        </w:tc>
        <w:tc>
          <w:tcPr>
            <w:tcW w:type="dxa" w:w="7056"/>
            <w:shd w:val="clear" w:color="auto" w:fill="C8102E"/>
          </w:tcPr>
          <w:p>
            <w:pPr>
              <w:spacing w:after="0" w:before="0"/>
            </w:pPr>
            <w:r/>
            <w:r>
              <w:rPr>
                <w:rFonts w:ascii="Calibri" w:hAnsi="Calibri"/>
                <w:b/>
                <w:color w:val="FFFFFF"/>
                <w:sz w:val="19"/>
              </w:rPr>
              <w:t>Plain meaning</w:t>
            </w:r>
          </w:p>
        </w:tc>
      </w:tr>
      <w:tr>
        <w:tc>
          <w:tcPr>
            <w:tcW w:type="dxa" w:w="3024"/>
          </w:tcPr>
          <w:p>
            <w:pPr>
              <w:spacing w:after="0" w:before="0"/>
            </w:pPr>
            <w:r/>
            <w:r>
              <w:rPr>
                <w:rFonts w:ascii="Calibri" w:hAnsi="Calibri"/>
                <w:b w:val="0"/>
                <w:sz w:val="19"/>
              </w:rPr>
              <w:t>On-premises / on-prem</w:t>
            </w:r>
          </w:p>
        </w:tc>
        <w:tc>
          <w:tcPr>
            <w:tcW w:type="dxa" w:w="7056"/>
          </w:tcPr>
          <w:p>
            <w:pPr>
              <w:spacing w:after="0" w:before="0"/>
            </w:pPr>
            <w:r/>
            <w:r>
              <w:rPr>
                <w:rFonts w:ascii="Calibri" w:hAnsi="Calibri"/>
                <w:b w:val="0"/>
                <w:sz w:val="19"/>
              </w:rPr>
              <w:t xml:space="preserve">Physical servers you own and run in your own building/datacenter. </w:t>
            </w:r>
            <w:r>
              <w:rPr>
                <w:rFonts w:ascii="Calibri" w:hAnsi="Calibri"/>
                <w:b/>
                <w:sz w:val="19"/>
              </w:rPr>
              <w:t>Not used here.</w:t>
            </w:r>
          </w:p>
        </w:tc>
      </w:tr>
      <w:tr>
        <w:tc>
          <w:tcPr>
            <w:tcW w:type="dxa" w:w="3024"/>
            <w:shd w:val="clear" w:color="auto" w:fill="F5F6F8"/>
          </w:tcPr>
          <w:p>
            <w:pPr>
              <w:spacing w:after="0" w:before="0"/>
            </w:pPr>
            <w:r/>
            <w:r>
              <w:rPr>
                <w:rFonts w:ascii="Calibri" w:hAnsi="Calibri"/>
                <w:b w:val="0"/>
                <w:sz w:val="19"/>
              </w:rPr>
              <w:t>Cloud / public cloud</w:t>
            </w:r>
          </w:p>
        </w:tc>
        <w:tc>
          <w:tcPr>
            <w:tcW w:type="dxa" w:w="7056"/>
            <w:shd w:val="clear" w:color="auto" w:fill="F5F6F8"/>
          </w:tcPr>
          <w:p>
            <w:pPr>
              <w:spacing w:after="0" w:before="0"/>
            </w:pPr>
            <w:r/>
            <w:r>
              <w:rPr>
                <w:rFonts w:ascii="Calibri" w:hAnsi="Calibri"/>
                <w:b w:val="0"/>
                <w:sz w:val="19"/>
              </w:rPr>
              <w:t xml:space="preserve">Computing rented from a provider (here, Microsoft </w:t>
            </w:r>
            <w:r>
              <w:rPr>
                <w:rFonts w:ascii="Calibri" w:hAnsi="Calibri"/>
                <w:b/>
                <w:sz w:val="19"/>
              </w:rPr>
              <w:t>Azure</w:t>
            </w:r>
            <w:r>
              <w:rPr>
                <w:rFonts w:ascii="Calibri" w:hAnsi="Calibri"/>
                <w:b w:val="0"/>
                <w:sz w:val="19"/>
              </w:rPr>
              <w:t>) over the internet — no hardware to own.</w:t>
            </w:r>
          </w:p>
        </w:tc>
      </w:tr>
      <w:tr>
        <w:tc>
          <w:tcPr>
            <w:tcW w:type="dxa" w:w="3024"/>
          </w:tcPr>
          <w:p>
            <w:pPr>
              <w:spacing w:after="0" w:before="0"/>
            </w:pPr>
            <w:r/>
            <w:r>
              <w:rPr>
                <w:rFonts w:ascii="Calibri" w:hAnsi="Calibri"/>
                <w:b w:val="0"/>
                <w:sz w:val="19"/>
              </w:rPr>
              <w:t>IaaS (Infrastructure as a Service)</w:t>
            </w:r>
          </w:p>
        </w:tc>
        <w:tc>
          <w:tcPr>
            <w:tcW w:type="dxa" w:w="7056"/>
          </w:tcPr>
          <w:p>
            <w:pPr>
              <w:spacing w:after="0" w:before="0"/>
            </w:pPr>
            <w:r/>
            <w:r>
              <w:rPr>
                <w:rFonts w:ascii="Calibri" w:hAnsi="Calibri"/>
                <w:b w:val="0"/>
                <w:sz w:val="19"/>
              </w:rPr>
              <w:t xml:space="preserve">You rent a </w:t>
            </w:r>
            <w:r>
              <w:rPr>
                <w:rFonts w:ascii="Calibri" w:hAnsi="Calibri"/>
                <w:b/>
                <w:sz w:val="19"/>
              </w:rPr>
              <w:t>virtual machine</w:t>
            </w:r>
            <w:r>
              <w:rPr>
                <w:rFonts w:ascii="Calibri" w:hAnsi="Calibri"/>
                <w:b w:val="0"/>
                <w:sz w:val="19"/>
              </w:rPr>
              <w:t xml:space="preserve">; the cloud runs the hardware, you manage the OS + app. </w:t>
            </w:r>
            <w:r>
              <w:rPr>
                <w:rFonts w:ascii="Calibri" w:hAnsi="Calibri"/>
                <w:b/>
                <w:sz w:val="19"/>
              </w:rPr>
              <w:t>VendorPulse's current model.</w:t>
            </w:r>
          </w:p>
        </w:tc>
      </w:tr>
      <w:tr>
        <w:tc>
          <w:tcPr>
            <w:tcW w:type="dxa" w:w="3024"/>
            <w:shd w:val="clear" w:color="auto" w:fill="F5F6F8"/>
          </w:tcPr>
          <w:p>
            <w:pPr>
              <w:spacing w:after="0" w:before="0"/>
            </w:pPr>
            <w:r/>
            <w:r>
              <w:rPr>
                <w:rFonts w:ascii="Calibri" w:hAnsi="Calibri"/>
                <w:b w:val="0"/>
                <w:sz w:val="19"/>
              </w:rPr>
              <w:t>PaaS (Platform as a Service)</w:t>
            </w:r>
          </w:p>
        </w:tc>
        <w:tc>
          <w:tcPr>
            <w:tcW w:type="dxa" w:w="7056"/>
            <w:shd w:val="clear" w:color="auto" w:fill="F5F6F8"/>
          </w:tcPr>
          <w:p>
            <w:pPr>
              <w:spacing w:after="0" w:before="0"/>
            </w:pPr>
            <w:r/>
            <w:r>
              <w:rPr>
                <w:rFonts w:ascii="Calibri" w:hAnsi="Calibri"/>
                <w:b w:val="0"/>
                <w:sz w:val="19"/>
              </w:rPr>
              <w:t>The cloud manages the OS + runtime; you just deploy code/containers (e.g. App Service, Container Apps).</w:t>
            </w:r>
          </w:p>
        </w:tc>
      </w:tr>
      <w:tr>
        <w:tc>
          <w:tcPr>
            <w:tcW w:type="dxa" w:w="3024"/>
          </w:tcPr>
          <w:p>
            <w:pPr>
              <w:spacing w:after="0" w:before="0"/>
            </w:pPr>
            <w:r/>
            <w:r>
              <w:rPr>
                <w:rFonts w:ascii="Calibri" w:hAnsi="Calibri"/>
                <w:b w:val="0"/>
                <w:sz w:val="19"/>
              </w:rPr>
              <w:t>SaaS (Software as a Service)</w:t>
            </w:r>
          </w:p>
        </w:tc>
        <w:tc>
          <w:tcPr>
            <w:tcW w:type="dxa" w:w="7056"/>
          </w:tcPr>
          <w:p>
            <w:pPr>
              <w:spacing w:after="0" w:before="0"/>
            </w:pPr>
            <w:r/>
            <w:r>
              <w:rPr>
                <w:rFonts w:ascii="Calibri" w:hAnsi="Calibri"/>
                <w:b w:val="0"/>
                <w:sz w:val="19"/>
              </w:rPr>
              <w:t>Finished software you just log into (e.g. Microsoft 365). VendorPulse would be delivered to Shell as an internal app, not sold as SaaS.</w:t>
            </w:r>
          </w:p>
        </w:tc>
      </w:tr>
      <w:tr>
        <w:tc>
          <w:tcPr>
            <w:tcW w:type="dxa" w:w="3024"/>
            <w:shd w:val="clear" w:color="auto" w:fill="F5F6F8"/>
          </w:tcPr>
          <w:p>
            <w:pPr>
              <w:spacing w:after="0" w:before="0"/>
            </w:pPr>
            <w:r/>
            <w:r>
              <w:rPr>
                <w:rFonts w:ascii="Calibri" w:hAnsi="Calibri"/>
                <w:b w:val="0"/>
                <w:sz w:val="19"/>
              </w:rPr>
              <w:t>Serverless / FaaS</w:t>
            </w:r>
          </w:p>
        </w:tc>
        <w:tc>
          <w:tcPr>
            <w:tcW w:type="dxa" w:w="7056"/>
            <w:shd w:val="clear" w:color="auto" w:fill="F5F6F8"/>
          </w:tcPr>
          <w:p>
            <w:pPr>
              <w:spacing w:after="0" w:before="0"/>
            </w:pPr>
            <w:r/>
            <w:r>
              <w:rPr>
                <w:rFonts w:ascii="Calibri" w:hAnsi="Calibri"/>
                <w:b w:val="0"/>
                <w:sz w:val="19"/>
              </w:rPr>
              <w:t xml:space="preserve">Pay-per-execution compute that scales to zero (e.g. Azure Functions). The cloud handles all scaling. </w:t>
            </w:r>
            <w:r>
              <w:rPr>
                <w:rFonts w:ascii="Calibri" w:hAnsi="Calibri"/>
                <w:b/>
                <w:sz w:val="19"/>
              </w:rPr>
              <w:t>Not the current design.</w:t>
            </w:r>
          </w:p>
        </w:tc>
      </w:tr>
      <w:tr>
        <w:tc>
          <w:tcPr>
            <w:tcW w:type="dxa" w:w="3024"/>
          </w:tcPr>
          <w:p>
            <w:pPr>
              <w:spacing w:after="0" w:before="0"/>
            </w:pPr>
            <w:r/>
            <w:r>
              <w:rPr>
                <w:rFonts w:ascii="Calibri" w:hAnsi="Calibri"/>
                <w:b w:val="0"/>
                <w:sz w:val="19"/>
              </w:rPr>
              <w:t>Single-tenant</w:t>
            </w:r>
          </w:p>
        </w:tc>
        <w:tc>
          <w:tcPr>
            <w:tcW w:type="dxa" w:w="7056"/>
          </w:tcPr>
          <w:p>
            <w:pPr>
              <w:spacing w:after="0" w:before="0"/>
            </w:pPr>
            <w:r/>
            <w:r>
              <w:rPr>
                <w:rFonts w:ascii="Calibri" w:hAnsi="Calibri"/>
                <w:b w:val="0"/>
                <w:sz w:val="19"/>
              </w:rPr>
              <w:t xml:space="preserve">The whole deployment is </w:t>
            </w:r>
            <w:r>
              <w:rPr>
                <w:rFonts w:ascii="Calibri" w:hAnsi="Calibri"/>
                <w:b/>
                <w:sz w:val="19"/>
              </w:rPr>
              <w:t>dedicated to Shell</w:t>
            </w:r>
            <w:r>
              <w:rPr>
                <w:rFonts w:ascii="Calibri" w:hAnsi="Calibri"/>
                <w:b w:val="0"/>
                <w:sz w:val="19"/>
              </w:rPr>
              <w:t xml:space="preserve"> — Shell's data, tenant, region, no sharing with other customers.</w:t>
            </w:r>
          </w:p>
        </w:tc>
      </w:tr>
      <w:tr>
        <w:tc>
          <w:tcPr>
            <w:tcW w:type="dxa" w:w="3024"/>
            <w:shd w:val="clear" w:color="auto" w:fill="F5F6F8"/>
          </w:tcPr>
          <w:p>
            <w:pPr>
              <w:spacing w:after="0" w:before="0"/>
            </w:pPr>
            <w:r/>
            <w:r>
              <w:rPr>
                <w:rFonts w:ascii="Calibri" w:hAnsi="Calibri"/>
                <w:b w:val="0"/>
                <w:sz w:val="19"/>
              </w:rPr>
              <w:t>Multi-tenant</w:t>
            </w:r>
          </w:p>
        </w:tc>
        <w:tc>
          <w:tcPr>
            <w:tcW w:type="dxa" w:w="7056"/>
            <w:shd w:val="clear" w:color="auto" w:fill="F5F6F8"/>
          </w:tcPr>
          <w:p>
            <w:pPr>
              <w:spacing w:after="0" w:before="0"/>
            </w:pPr>
            <w:r/>
            <w:r>
              <w:rPr>
                <w:rFonts w:ascii="Calibri" w:hAnsi="Calibri"/>
                <w:b w:val="0"/>
                <w:sz w:val="19"/>
              </w:rPr>
              <w:t>One shared deployment serving many customers (opposite of above). Not how this is built.</w:t>
            </w:r>
          </w:p>
        </w:tc>
      </w:tr>
      <w:tr>
        <w:tc>
          <w:tcPr>
            <w:tcW w:type="dxa" w:w="3024"/>
          </w:tcPr>
          <w:p>
            <w:pPr>
              <w:spacing w:after="0" w:before="0"/>
            </w:pPr>
            <w:r/>
            <w:r>
              <w:rPr>
                <w:rFonts w:ascii="Calibri" w:hAnsi="Calibri"/>
                <w:b w:val="0"/>
                <w:sz w:val="19"/>
              </w:rPr>
              <w:t>Virtual Machine (VM)</w:t>
            </w:r>
          </w:p>
        </w:tc>
        <w:tc>
          <w:tcPr>
            <w:tcW w:type="dxa" w:w="7056"/>
          </w:tcPr>
          <w:p>
            <w:pPr>
              <w:spacing w:after="0" w:before="0"/>
            </w:pPr>
            <w:r/>
            <w:r>
              <w:rPr>
                <w:rFonts w:ascii="Calibri" w:hAnsi="Calibri"/>
                <w:b w:val="0"/>
                <w:sz w:val="19"/>
              </w:rPr>
              <w:t>A computer that exists as software inside Azure's datacenter — you get an OS and full control, without owning hardware.</w:t>
            </w:r>
          </w:p>
        </w:tc>
      </w:tr>
      <w:tr>
        <w:tc>
          <w:tcPr>
            <w:tcW w:type="dxa" w:w="3024"/>
            <w:shd w:val="clear" w:color="auto" w:fill="F5F6F8"/>
          </w:tcPr>
          <w:p>
            <w:pPr>
              <w:spacing w:after="0" w:before="0"/>
            </w:pPr>
            <w:r/>
            <w:r>
              <w:rPr>
                <w:rFonts w:ascii="Calibri" w:hAnsi="Calibri"/>
                <w:b w:val="0"/>
                <w:sz w:val="19"/>
              </w:rPr>
              <w:t>vCPU</w:t>
            </w:r>
          </w:p>
        </w:tc>
        <w:tc>
          <w:tcPr>
            <w:tcW w:type="dxa" w:w="7056"/>
            <w:shd w:val="clear" w:color="auto" w:fill="F5F6F8"/>
          </w:tcPr>
          <w:p>
            <w:pPr>
              <w:spacing w:after="0" w:before="0"/>
            </w:pPr>
            <w:r/>
            <w:r>
              <w:rPr>
                <w:rFonts w:ascii="Calibri" w:hAnsi="Calibri"/>
                <w:b w:val="0"/>
                <w:sz w:val="19"/>
              </w:rPr>
              <w:t xml:space="preserve">A </w:t>
            </w:r>
            <w:r>
              <w:rPr>
                <w:rFonts w:ascii="Calibri" w:hAnsi="Calibri"/>
                <w:b/>
                <w:sz w:val="19"/>
              </w:rPr>
              <w:t>virtual CPU core</w:t>
            </w:r>
            <w:r>
              <w:rPr>
                <w:rFonts w:ascii="Calibri" w:hAnsi="Calibri"/>
                <w:b w:val="0"/>
                <w:sz w:val="19"/>
              </w:rPr>
              <w:t xml:space="preserve"> — the unit of processing power assigned to a VM.</w:t>
            </w:r>
          </w:p>
        </w:tc>
      </w:tr>
      <w:tr>
        <w:tc>
          <w:tcPr>
            <w:tcW w:type="dxa" w:w="3024"/>
          </w:tcPr>
          <w:p>
            <w:pPr>
              <w:spacing w:after="0" w:before="0"/>
            </w:pPr>
            <w:r/>
            <w:r>
              <w:rPr>
                <w:rFonts w:ascii="Calibri" w:hAnsi="Calibri"/>
                <w:b w:val="0"/>
                <w:sz w:val="19"/>
              </w:rPr>
              <w:t>Autoscale / replicas</w:t>
            </w:r>
          </w:p>
        </w:tc>
        <w:tc>
          <w:tcPr>
            <w:tcW w:type="dxa" w:w="7056"/>
          </w:tcPr>
          <w:p>
            <w:pPr>
              <w:spacing w:after="0" w:before="0"/>
            </w:pPr>
            <w:r/>
            <w:r>
              <w:rPr>
                <w:rFonts w:ascii="Calibri" w:hAnsi="Calibri"/>
                <w:b w:val="0"/>
                <w:sz w:val="19"/>
              </w:rPr>
              <w:t>Automatically adding/removing copies of the app as load changes. A managed /serverless feature; a single VM scales by resizing instead.</w:t>
            </w:r>
          </w:p>
        </w:tc>
      </w:tr>
      <w:tr>
        <w:tc>
          <w:tcPr>
            <w:tcW w:type="dxa" w:w="3024"/>
            <w:shd w:val="clear" w:color="auto" w:fill="F5F6F8"/>
          </w:tcPr>
          <w:p>
            <w:pPr>
              <w:spacing w:after="0" w:before="0"/>
            </w:pPr>
            <w:r/>
            <w:r>
              <w:rPr>
                <w:rFonts w:ascii="Calibri" w:hAnsi="Calibri"/>
                <w:b w:val="0"/>
                <w:sz w:val="19"/>
              </w:rPr>
              <w:t>High Availability (HA)</w:t>
            </w:r>
          </w:p>
        </w:tc>
        <w:tc>
          <w:tcPr>
            <w:tcW w:type="dxa" w:w="7056"/>
            <w:shd w:val="clear" w:color="auto" w:fill="F5F6F8"/>
          </w:tcPr>
          <w:p>
            <w:pPr>
              <w:spacing w:after="0" w:before="0"/>
            </w:pPr>
            <w:r/>
            <w:r>
              <w:rPr>
                <w:rFonts w:ascii="Calibri" w:hAnsi="Calibri"/>
                <w:b w:val="0"/>
                <w:sz w:val="19"/>
              </w:rPr>
              <w:t xml:space="preserve">Running redundantly so a single failure doesn't cause downtime. Our </w:t>
            </w:r>
            <w:r>
              <w:rPr>
                <w:rFonts w:ascii="Calibri" w:hAnsi="Calibri"/>
                <w:b/>
                <w:sz w:val="19"/>
              </w:rPr>
              <w:t>PostgreSQL</w:t>
            </w:r>
            <w:r>
              <w:rPr>
                <w:rFonts w:ascii="Calibri" w:hAnsi="Calibri"/>
                <w:b w:val="0"/>
                <w:sz w:val="19"/>
              </w:rPr>
              <w:t xml:space="preserve"> is HA in production.</w:t>
            </w:r>
          </w:p>
        </w:tc>
      </w:tr>
      <w:tr>
        <w:tc>
          <w:tcPr>
            <w:tcW w:type="dxa" w:w="3024"/>
          </w:tcPr>
          <w:p>
            <w:pPr>
              <w:spacing w:after="0" w:before="0"/>
            </w:pPr>
            <w:r/>
            <w:r>
              <w:rPr>
                <w:rFonts w:ascii="Calibri" w:hAnsi="Calibri"/>
                <w:b w:val="0"/>
                <w:sz w:val="19"/>
              </w:rPr>
              <w:t>Zone-redundant</w:t>
            </w:r>
          </w:p>
        </w:tc>
        <w:tc>
          <w:tcPr>
            <w:tcW w:type="dxa" w:w="7056"/>
          </w:tcPr>
          <w:p>
            <w:pPr>
              <w:spacing w:after="0" w:before="0"/>
            </w:pPr>
            <w:r/>
            <w:r>
              <w:rPr>
                <w:rFonts w:ascii="Calibri" w:hAnsi="Calibri"/>
                <w:b w:val="0"/>
                <w:sz w:val="19"/>
              </w:rPr>
              <w:t>Spread across separate Azure datacenters in a region so one datacenter outage doesn't take you down.</w:t>
            </w:r>
          </w:p>
        </w:tc>
      </w:tr>
      <w:tr>
        <w:tc>
          <w:tcPr>
            <w:tcW w:type="dxa" w:w="3024"/>
            <w:shd w:val="clear" w:color="auto" w:fill="F5F6F8"/>
          </w:tcPr>
          <w:p>
            <w:pPr>
              <w:spacing w:after="0" w:before="0"/>
            </w:pPr>
            <w:r/>
            <w:r>
              <w:rPr>
                <w:rFonts w:ascii="Calibri" w:hAnsi="Calibri"/>
                <w:b w:val="0"/>
                <w:sz w:val="19"/>
              </w:rPr>
              <w:t>Region / data residency</w:t>
            </w:r>
          </w:p>
        </w:tc>
        <w:tc>
          <w:tcPr>
            <w:tcW w:type="dxa" w:w="7056"/>
            <w:shd w:val="clear" w:color="auto" w:fill="F5F6F8"/>
          </w:tcPr>
          <w:p>
            <w:pPr>
              <w:spacing w:after="0" w:before="0"/>
            </w:pPr>
            <w:r/>
            <w:r>
              <w:rPr>
                <w:rFonts w:ascii="Calibri" w:hAnsi="Calibri"/>
                <w:b w:val="0"/>
                <w:sz w:val="19"/>
              </w:rPr>
              <w:t xml:space="preserve">The geographic location of the datacenter (e.g. </w:t>
            </w:r>
            <w:r>
              <w:rPr>
                <w:rFonts w:ascii="Calibri" w:hAnsi="Calibri"/>
                <w:b/>
                <w:sz w:val="19"/>
              </w:rPr>
              <w:t>West Europe</w:t>
            </w:r>
            <w:r>
              <w:rPr>
                <w:rFonts w:ascii="Calibri" w:hAnsi="Calibri"/>
                <w:b w:val="0"/>
                <w:sz w:val="19"/>
              </w:rPr>
              <w:t>). Keeping data in an approved region is a Shell compliance requirement.</w:t>
            </w:r>
          </w:p>
        </w:tc>
      </w:tr>
      <w:tr>
        <w:tc>
          <w:tcPr>
            <w:tcW w:type="dxa" w:w="3024"/>
          </w:tcPr>
          <w:p>
            <w:pPr>
              <w:spacing w:after="0" w:before="0"/>
            </w:pPr>
            <w:r/>
            <w:r>
              <w:rPr>
                <w:rFonts w:ascii="Calibri" w:hAnsi="Calibri"/>
                <w:b w:val="0"/>
                <w:sz w:val="19"/>
              </w:rPr>
              <w:t>IaC (Infrastructure as Code)</w:t>
            </w:r>
          </w:p>
        </w:tc>
        <w:tc>
          <w:tcPr>
            <w:tcW w:type="dxa" w:w="7056"/>
          </w:tcPr>
          <w:p>
            <w:pPr>
              <w:spacing w:after="0" w:before="0"/>
            </w:pPr>
            <w:r/>
            <w:r>
              <w:rPr>
                <w:rFonts w:ascii="Calibri" w:hAnsi="Calibri"/>
                <w:b w:val="0"/>
                <w:sz w:val="19"/>
              </w:rPr>
              <w:t>Defining all the cloud setup in text files (</w:t>
            </w:r>
            <w:r>
              <w:rPr>
                <w:rFonts w:ascii="Calibri" w:hAnsi="Calibri"/>
                <w:b/>
                <w:sz w:val="19"/>
              </w:rPr>
              <w:t>Bicep / Terraform</w:t>
            </w:r>
            <w:r>
              <w:rPr>
                <w:rFonts w:ascii="Calibri" w:hAnsi="Calibri"/>
                <w:b w:val="0"/>
                <w:sz w:val="19"/>
              </w:rPr>
              <w:t>) so environments are reproducible and reviewable.</w:t>
            </w:r>
          </w:p>
        </w:tc>
      </w:tr>
    </w:tbl>
    <w:p/>
    <w:p>
      <w:pPr>
        <w:spacing w:before="200" w:after="40"/>
      </w:pPr>
      <w:r>
        <w:rPr>
          <w:rFonts w:ascii="Calibri" w:hAnsi="Calibri"/>
          <w:b/>
          <w:color w:val="1A1A1A"/>
          <w:sz w:val="24"/>
        </w:rPr>
        <w:t>6.2 Azure services in the docs</w:t>
      </w:r>
    </w:p>
    <w:tbl>
      <w:tblPr>
        <w:tblStyle w:val="TableGrid"/>
        <w:tblW w:type="auto" w:w="0"/>
        <w:tblLayout w:type="autofit"/>
        <w:tblLook w:firstColumn="1" w:firstRow="1" w:lastColumn="0" w:lastRow="0" w:noHBand="0" w:noVBand="1" w:val="04A0"/>
      </w:tblPr>
      <w:tblGrid>
        <w:gridCol w:w="4320"/>
        <w:gridCol w:w="4320"/>
      </w:tblGrid>
      <w:tr>
        <w:tc>
          <w:tcPr>
            <w:tcW w:type="dxa" w:w="3456"/>
            <w:shd w:val="clear" w:color="auto" w:fill="C8102E"/>
          </w:tcPr>
          <w:p>
            <w:pPr>
              <w:spacing w:after="0" w:before="0"/>
            </w:pPr>
            <w:r/>
            <w:r>
              <w:rPr>
                <w:rFonts w:ascii="Calibri" w:hAnsi="Calibri"/>
                <w:b/>
                <w:color w:val="FFFFFF"/>
                <w:sz w:val="19"/>
              </w:rPr>
              <w:t>Term</w:t>
            </w:r>
          </w:p>
        </w:tc>
        <w:tc>
          <w:tcPr>
            <w:tcW w:type="dxa" w:w="6624"/>
            <w:shd w:val="clear" w:color="auto" w:fill="C8102E"/>
          </w:tcPr>
          <w:p>
            <w:pPr>
              <w:spacing w:after="0" w:before="0"/>
            </w:pPr>
            <w:r/>
            <w:r>
              <w:rPr>
                <w:rFonts w:ascii="Calibri" w:hAnsi="Calibri"/>
                <w:b/>
                <w:color w:val="FFFFFF"/>
                <w:sz w:val="19"/>
              </w:rPr>
              <w:t>Plain meaning</w:t>
            </w:r>
          </w:p>
        </w:tc>
      </w:tr>
      <w:tr>
        <w:tc>
          <w:tcPr>
            <w:tcW w:type="dxa" w:w="3456"/>
          </w:tcPr>
          <w:p>
            <w:pPr>
              <w:spacing w:after="0" w:before="0"/>
            </w:pPr>
            <w:r/>
            <w:r>
              <w:rPr>
                <w:rFonts w:ascii="Calibri" w:hAnsi="Calibri"/>
                <w:b w:val="0"/>
                <w:sz w:val="19"/>
              </w:rPr>
              <w:t>Azure subscription / resource group</w:t>
            </w:r>
          </w:p>
        </w:tc>
        <w:tc>
          <w:tcPr>
            <w:tcW w:type="dxa" w:w="6624"/>
          </w:tcPr>
          <w:p>
            <w:pPr>
              <w:spacing w:after="0" w:before="0"/>
            </w:pPr>
            <w:r/>
            <w:r>
              <w:rPr>
                <w:rFonts w:ascii="Calibri" w:hAnsi="Calibri"/>
                <w:b w:val="0"/>
                <w:sz w:val="19"/>
              </w:rPr>
              <w:t>Shell's billing account in Azure / a labelled folder grouping related resources.</w:t>
            </w:r>
          </w:p>
        </w:tc>
      </w:tr>
      <w:tr>
        <w:tc>
          <w:tcPr>
            <w:tcW w:type="dxa" w:w="3456"/>
            <w:shd w:val="clear" w:color="auto" w:fill="F5F6F8"/>
          </w:tcPr>
          <w:p>
            <w:pPr>
              <w:spacing w:after="0" w:before="0"/>
            </w:pPr>
            <w:r/>
            <w:r>
              <w:rPr>
                <w:rFonts w:ascii="Calibri" w:hAnsi="Calibri"/>
                <w:b w:val="0"/>
                <w:sz w:val="19"/>
              </w:rPr>
              <w:t>Azure VM</w:t>
            </w:r>
          </w:p>
        </w:tc>
        <w:tc>
          <w:tcPr>
            <w:tcW w:type="dxa" w:w="6624"/>
            <w:shd w:val="clear" w:color="auto" w:fill="F5F6F8"/>
          </w:tcPr>
          <w:p>
            <w:pPr>
              <w:spacing w:after="0" w:before="0"/>
            </w:pPr>
            <w:r/>
            <w:r>
              <w:rPr>
                <w:rFonts w:ascii="Calibri" w:hAnsi="Calibri"/>
                <w:b w:val="0"/>
                <w:sz w:val="19"/>
              </w:rPr>
              <w:t>The virtual machine running the FastAPI + MAF backend (D4as v6 / D8as v6).</w:t>
            </w:r>
          </w:p>
        </w:tc>
      </w:tr>
      <w:tr>
        <w:tc>
          <w:tcPr>
            <w:tcW w:type="dxa" w:w="3456"/>
          </w:tcPr>
          <w:p>
            <w:pPr>
              <w:spacing w:after="0" w:before="0"/>
            </w:pPr>
            <w:r/>
            <w:r>
              <w:rPr>
                <w:rFonts w:ascii="Calibri" w:hAnsi="Calibri"/>
                <w:b w:val="0"/>
                <w:sz w:val="19"/>
              </w:rPr>
              <w:t>Azure Static Web Apps</w:t>
            </w:r>
          </w:p>
        </w:tc>
        <w:tc>
          <w:tcPr>
            <w:tcW w:type="dxa" w:w="6624"/>
          </w:tcPr>
          <w:p>
            <w:pPr>
              <w:spacing w:after="0" w:before="0"/>
            </w:pPr>
            <w:r/>
            <w:r>
              <w:rPr>
                <w:rFonts w:ascii="Calibri" w:hAnsi="Calibri"/>
                <w:b w:val="0"/>
                <w:sz w:val="19"/>
              </w:rPr>
              <w:t xml:space="preserve">A cheap, fast Azure service for hosting the built </w:t>
            </w:r>
            <w:r>
              <w:rPr>
                <w:rFonts w:ascii="Calibri" w:hAnsi="Calibri"/>
                <w:b/>
                <w:sz w:val="19"/>
              </w:rPr>
              <w:t>React</w:t>
            </w:r>
            <w:r>
              <w:rPr>
                <w:rFonts w:ascii="Calibri" w:hAnsi="Calibri"/>
                <w:b w:val="0"/>
                <w:sz w:val="19"/>
              </w:rPr>
              <w:t xml:space="preserve"> front-end, delivered globally via CDN.</w:t>
            </w:r>
          </w:p>
        </w:tc>
      </w:tr>
      <w:tr>
        <w:tc>
          <w:tcPr>
            <w:tcW w:type="dxa" w:w="3456"/>
            <w:shd w:val="clear" w:color="auto" w:fill="F5F6F8"/>
          </w:tcPr>
          <w:p>
            <w:pPr>
              <w:spacing w:after="0" w:before="0"/>
            </w:pPr>
            <w:r/>
            <w:r>
              <w:rPr>
                <w:rFonts w:ascii="Calibri" w:hAnsi="Calibri"/>
                <w:b w:val="0"/>
                <w:sz w:val="19"/>
              </w:rPr>
              <w:t>Azure Container Apps / App Service</w:t>
            </w:r>
          </w:p>
        </w:tc>
        <w:tc>
          <w:tcPr>
            <w:tcW w:type="dxa" w:w="6624"/>
            <w:shd w:val="clear" w:color="auto" w:fill="F5F6F8"/>
          </w:tcPr>
          <w:p>
            <w:pPr>
              <w:spacing w:after="0" w:before="0"/>
            </w:pPr>
            <w:r/>
            <w:r>
              <w:rPr>
                <w:rFonts w:ascii="Calibri" w:hAnsi="Calibri"/>
                <w:b w:val="0"/>
                <w:sz w:val="19"/>
              </w:rPr>
              <w:t xml:space="preserve">Managed (PaaS) ways to run the backend without managing a VM — </w:t>
            </w:r>
            <w:r>
              <w:rPr>
                <w:rFonts w:ascii="Calibri" w:hAnsi="Calibri"/>
                <w:b/>
                <w:sz w:val="19"/>
              </w:rPr>
              <w:t>alternatives</w:t>
            </w:r>
            <w:r>
              <w:rPr>
                <w:rFonts w:ascii="Calibri" w:hAnsi="Calibri"/>
                <w:b w:val="0"/>
                <w:sz w:val="19"/>
              </w:rPr>
              <w:t xml:space="preserve"> to the VM, same code.</w:t>
            </w:r>
          </w:p>
        </w:tc>
      </w:tr>
      <w:tr>
        <w:tc>
          <w:tcPr>
            <w:tcW w:type="dxa" w:w="3456"/>
          </w:tcPr>
          <w:p>
            <w:pPr>
              <w:spacing w:after="0" w:before="0"/>
            </w:pPr>
            <w:r/>
            <w:r>
              <w:rPr>
                <w:rFonts w:ascii="Calibri" w:hAnsi="Calibri"/>
                <w:b w:val="0"/>
                <w:sz w:val="19"/>
              </w:rPr>
              <w:t>Azure Container Registry (ACR)</w:t>
            </w:r>
          </w:p>
        </w:tc>
        <w:tc>
          <w:tcPr>
            <w:tcW w:type="dxa" w:w="6624"/>
          </w:tcPr>
          <w:p>
            <w:pPr>
              <w:spacing w:after="0" w:before="0"/>
            </w:pPr>
            <w:r/>
            <w:r>
              <w:rPr>
                <w:rFonts w:ascii="Calibri" w:hAnsi="Calibri"/>
                <w:b w:val="0"/>
                <w:sz w:val="19"/>
              </w:rPr>
              <w:t xml:space="preserve">A private store for the app's </w:t>
            </w:r>
            <w:r>
              <w:rPr>
                <w:rFonts w:ascii="Calibri" w:hAnsi="Calibri"/>
                <w:b/>
                <w:sz w:val="19"/>
              </w:rPr>
              <w:t>Docker container images</w:t>
            </w:r>
            <w:r>
              <w:rPr>
                <w:rFonts w:ascii="Calibri" w:hAnsi="Calibri"/>
                <w:b w:val="0"/>
                <w:sz w:val="19"/>
              </w:rPr>
              <w:t>.</w:t>
            </w:r>
          </w:p>
        </w:tc>
      </w:tr>
      <w:tr>
        <w:tc>
          <w:tcPr>
            <w:tcW w:type="dxa" w:w="3456"/>
            <w:shd w:val="clear" w:color="auto" w:fill="F5F6F8"/>
          </w:tcPr>
          <w:p>
            <w:pPr>
              <w:spacing w:after="0" w:before="0"/>
            </w:pPr>
            <w:r/>
            <w:r>
              <w:rPr>
                <w:rFonts w:ascii="Calibri" w:hAnsi="Calibri"/>
                <w:b w:val="0"/>
                <w:sz w:val="19"/>
              </w:rPr>
              <w:t>Azure PostgreSQL Flexible Server</w:t>
            </w:r>
          </w:p>
        </w:tc>
        <w:tc>
          <w:tcPr>
            <w:tcW w:type="dxa" w:w="6624"/>
            <w:shd w:val="clear" w:color="auto" w:fill="F5F6F8"/>
          </w:tcPr>
          <w:p>
            <w:pPr>
              <w:spacing w:after="0" w:before="0"/>
            </w:pPr>
            <w:r/>
            <w:r>
              <w:rPr>
                <w:rFonts w:ascii="Calibri" w:hAnsi="Calibri"/>
                <w:b w:val="0"/>
                <w:sz w:val="19"/>
              </w:rPr>
              <w:t xml:space="preserve">The managed </w:t>
            </w:r>
            <w:r>
              <w:rPr>
                <w:rFonts w:ascii="Calibri" w:hAnsi="Calibri"/>
                <w:b/>
                <w:sz w:val="19"/>
              </w:rPr>
              <w:t>database</w:t>
            </w:r>
            <w:r>
              <w:rPr>
                <w:rFonts w:ascii="Calibri" w:hAnsi="Calibri"/>
                <w:b w:val="0"/>
                <w:sz w:val="19"/>
              </w:rPr>
              <w:t xml:space="preserve"> (open-source PostgreSQL). "Flexible Server" is the deployment option; </w:t>
            </w:r>
            <w:r>
              <w:rPr>
                <w:rFonts w:ascii="Calibri" w:hAnsi="Calibri"/>
                <w:b/>
                <w:sz w:val="19"/>
              </w:rPr>
              <w:t>GP</w:t>
            </w:r>
            <w:r>
              <w:rPr>
                <w:rFonts w:ascii="Calibri" w:hAnsi="Calibri"/>
                <w:b w:val="0"/>
                <w:sz w:val="19"/>
              </w:rPr>
              <w:t xml:space="preserve"> = General Purpose tier, </w:t>
            </w:r>
            <w:r>
              <w:rPr>
                <w:rFonts w:ascii="Calibri" w:hAnsi="Calibri"/>
                <w:b/>
                <w:sz w:val="19"/>
              </w:rPr>
              <w:t>Burstable</w:t>
            </w:r>
            <w:r>
              <w:rPr>
                <w:rFonts w:ascii="Calibri" w:hAnsi="Calibri"/>
                <w:b w:val="0"/>
                <w:sz w:val="19"/>
              </w:rPr>
              <w:t xml:space="preserve"> = cheap dev tier.</w:t>
            </w:r>
          </w:p>
        </w:tc>
      </w:tr>
      <w:tr>
        <w:tc>
          <w:tcPr>
            <w:tcW w:type="dxa" w:w="3456"/>
          </w:tcPr>
          <w:p>
            <w:pPr>
              <w:spacing w:after="0" w:before="0"/>
            </w:pPr>
            <w:r/>
            <w:r>
              <w:rPr>
                <w:rFonts w:ascii="Calibri" w:hAnsi="Calibri"/>
                <w:b w:val="0"/>
                <w:sz w:val="19"/>
              </w:rPr>
              <w:t>Azure Key Vault</w:t>
            </w:r>
          </w:p>
        </w:tc>
        <w:tc>
          <w:tcPr>
            <w:tcW w:type="dxa" w:w="6624"/>
          </w:tcPr>
          <w:p>
            <w:pPr>
              <w:spacing w:after="0" w:before="0"/>
            </w:pPr>
            <w:r/>
            <w:r>
              <w:rPr>
                <w:rFonts w:ascii="Calibri" w:hAnsi="Calibri"/>
                <w:b w:val="0"/>
                <w:sz w:val="19"/>
              </w:rPr>
              <w:t xml:space="preserve">A secure safe for </w:t>
            </w:r>
            <w:r>
              <w:rPr>
                <w:rFonts w:ascii="Calibri" w:hAnsi="Calibri"/>
                <w:b/>
                <w:sz w:val="19"/>
              </w:rPr>
              <w:t>secrets</w:t>
            </w:r>
            <w:r>
              <w:rPr>
                <w:rFonts w:ascii="Calibri" w:hAnsi="Calibri"/>
                <w:b w:val="0"/>
                <w:sz w:val="19"/>
              </w:rPr>
              <w:t xml:space="preserve"> — passwords, API keys, certificates — so they're never in code or config files.</w:t>
            </w:r>
          </w:p>
        </w:tc>
      </w:tr>
      <w:tr>
        <w:tc>
          <w:tcPr>
            <w:tcW w:type="dxa" w:w="3456"/>
            <w:shd w:val="clear" w:color="auto" w:fill="F5F6F8"/>
          </w:tcPr>
          <w:p>
            <w:pPr>
              <w:spacing w:after="0" w:before="0"/>
            </w:pPr>
            <w:r/>
            <w:r>
              <w:rPr>
                <w:rFonts w:ascii="Calibri" w:hAnsi="Calibri"/>
                <w:b w:val="0"/>
                <w:sz w:val="19"/>
              </w:rPr>
              <w:t>Azure Front Door + WAF</w:t>
            </w:r>
          </w:p>
        </w:tc>
        <w:tc>
          <w:tcPr>
            <w:tcW w:type="dxa" w:w="6624"/>
            <w:shd w:val="clear" w:color="auto" w:fill="F5F6F8"/>
          </w:tcPr>
          <w:p>
            <w:pPr>
              <w:spacing w:after="0" w:before="0"/>
            </w:pPr>
            <w:r/>
            <w:r>
              <w:rPr>
                <w:rFonts w:ascii="Calibri" w:hAnsi="Calibri"/>
                <w:b w:val="0"/>
                <w:sz w:val="19"/>
              </w:rPr>
              <w:t xml:space="preserve">The global secure entry point. </w:t>
            </w:r>
            <w:r>
              <w:rPr>
                <w:rFonts w:ascii="Calibri" w:hAnsi="Calibri"/>
                <w:b/>
                <w:sz w:val="19"/>
              </w:rPr>
              <w:t>WAF</w:t>
            </w:r>
            <w:r>
              <w:rPr>
                <w:rFonts w:ascii="Calibri" w:hAnsi="Calibri"/>
                <w:b w:val="0"/>
                <w:sz w:val="19"/>
              </w:rPr>
              <w:t xml:space="preserve"> (Web Application Firewall) blocks common web attacks using </w:t>
            </w:r>
            <w:r>
              <w:rPr>
                <w:rFonts w:ascii="Calibri" w:hAnsi="Calibri"/>
                <w:b/>
                <w:sz w:val="19"/>
              </w:rPr>
              <w:t>OWASP</w:t>
            </w:r>
            <w:r>
              <w:rPr>
                <w:rFonts w:ascii="Calibri" w:hAnsi="Calibri"/>
                <w:b w:val="0"/>
                <w:sz w:val="19"/>
              </w:rPr>
              <w:t xml:space="preserve"> rules.</w:t>
            </w:r>
          </w:p>
        </w:tc>
      </w:tr>
      <w:tr>
        <w:tc>
          <w:tcPr>
            <w:tcW w:type="dxa" w:w="3456"/>
          </w:tcPr>
          <w:p>
            <w:pPr>
              <w:spacing w:after="0" w:before="0"/>
            </w:pPr>
            <w:r/>
            <w:r>
              <w:rPr>
                <w:rFonts w:ascii="Calibri" w:hAnsi="Calibri"/>
                <w:b w:val="0"/>
                <w:sz w:val="19"/>
              </w:rPr>
              <w:t>OWASP</w:t>
            </w:r>
          </w:p>
        </w:tc>
        <w:tc>
          <w:tcPr>
            <w:tcW w:type="dxa" w:w="6624"/>
          </w:tcPr>
          <w:p>
            <w:pPr>
              <w:spacing w:after="0" w:before="0"/>
            </w:pPr>
            <w:r/>
            <w:r>
              <w:rPr>
                <w:rFonts w:ascii="Calibri" w:hAnsi="Calibri"/>
                <w:b w:val="0"/>
                <w:sz w:val="19"/>
              </w:rPr>
              <w:t>An industry-standard list of the top web-application security risks; the WAF enforces rules against them.</w:t>
            </w:r>
          </w:p>
        </w:tc>
      </w:tr>
      <w:tr>
        <w:tc>
          <w:tcPr>
            <w:tcW w:type="dxa" w:w="3456"/>
            <w:shd w:val="clear" w:color="auto" w:fill="F5F6F8"/>
          </w:tcPr>
          <w:p>
            <w:pPr>
              <w:spacing w:after="0" w:before="0"/>
            </w:pPr>
            <w:r/>
            <w:r>
              <w:rPr>
                <w:rFonts w:ascii="Calibri" w:hAnsi="Calibri"/>
                <w:b w:val="0"/>
                <w:sz w:val="19"/>
              </w:rPr>
              <w:t>App Insights / Azure Monitor / Log Analytics</w:t>
            </w:r>
          </w:p>
        </w:tc>
        <w:tc>
          <w:tcPr>
            <w:tcW w:type="dxa" w:w="6624"/>
            <w:shd w:val="clear" w:color="auto" w:fill="F5F6F8"/>
          </w:tcPr>
          <w:p>
            <w:pPr>
              <w:spacing w:after="0" w:before="0"/>
            </w:pPr>
            <w:r/>
            <w:r>
              <w:rPr>
                <w:rFonts w:ascii="Calibri" w:hAnsi="Calibri"/>
                <w:b w:val="0"/>
                <w:sz w:val="19"/>
              </w:rPr>
              <w:t xml:space="preserve">Azure's </w:t>
            </w:r>
            <w:r>
              <w:rPr>
                <w:rFonts w:ascii="Calibri" w:hAnsi="Calibri"/>
                <w:b/>
                <w:sz w:val="19"/>
              </w:rPr>
              <w:t>observability</w:t>
            </w:r>
            <w:r>
              <w:rPr>
                <w:rFonts w:ascii="Calibri" w:hAnsi="Calibri"/>
                <w:b w:val="0"/>
                <w:sz w:val="19"/>
              </w:rPr>
              <w:t xml:space="preserve"> stack — collects logs, metrics, and traces; also our immutable </w:t>
            </w:r>
            <w:r>
              <w:rPr>
                <w:rFonts w:ascii="Calibri" w:hAnsi="Calibri"/>
                <w:b/>
                <w:sz w:val="19"/>
              </w:rPr>
              <w:t>audit</w:t>
            </w:r>
            <w:r>
              <w:rPr>
                <w:rFonts w:ascii="Calibri" w:hAnsi="Calibri"/>
                <w:b w:val="0"/>
                <w:sz w:val="19"/>
              </w:rPr>
              <w:t xml:space="preserve"> mirror.</w:t>
            </w:r>
          </w:p>
        </w:tc>
      </w:tr>
      <w:tr>
        <w:tc>
          <w:tcPr>
            <w:tcW w:type="dxa" w:w="3456"/>
          </w:tcPr>
          <w:p>
            <w:pPr>
              <w:spacing w:after="0" w:before="0"/>
            </w:pPr>
            <w:r/>
            <w:r>
              <w:rPr>
                <w:rFonts w:ascii="Calibri" w:hAnsi="Calibri"/>
                <w:b w:val="0"/>
                <w:sz w:val="19"/>
              </w:rPr>
              <w:t>Azure Blob Storage</w:t>
            </w:r>
          </w:p>
        </w:tc>
        <w:tc>
          <w:tcPr>
            <w:tcW w:type="dxa" w:w="6624"/>
          </w:tcPr>
          <w:p>
            <w:pPr>
              <w:spacing w:after="0" w:before="0"/>
            </w:pPr>
            <w:r/>
            <w:r>
              <w:rPr>
                <w:rFonts w:ascii="Calibri" w:hAnsi="Calibri"/>
                <w:b w:val="0"/>
                <w:sz w:val="19"/>
              </w:rPr>
              <w:t>Cheap object storage for files (future: meeting minutes / transcripts).</w:t>
            </w:r>
          </w:p>
        </w:tc>
      </w:tr>
      <w:tr>
        <w:tc>
          <w:tcPr>
            <w:tcW w:type="dxa" w:w="3456"/>
            <w:shd w:val="clear" w:color="auto" w:fill="F5F6F8"/>
          </w:tcPr>
          <w:p>
            <w:pPr>
              <w:spacing w:after="0" w:before="0"/>
            </w:pPr>
            <w:r/>
            <w:r>
              <w:rPr>
                <w:rFonts w:ascii="Calibri" w:hAnsi="Calibri"/>
                <w:b w:val="0"/>
                <w:sz w:val="19"/>
              </w:rPr>
              <w:t>VNet (Virtual Network)</w:t>
            </w:r>
          </w:p>
        </w:tc>
        <w:tc>
          <w:tcPr>
            <w:tcW w:type="dxa" w:w="6624"/>
            <w:shd w:val="clear" w:color="auto" w:fill="F5F6F8"/>
          </w:tcPr>
          <w:p>
            <w:pPr>
              <w:spacing w:after="0" w:before="0"/>
            </w:pPr>
            <w:r/>
            <w:r>
              <w:rPr>
                <w:rFonts w:ascii="Calibri" w:hAnsi="Calibri"/>
                <w:b w:val="0"/>
                <w:sz w:val="19"/>
              </w:rPr>
              <w:t xml:space="preserve">A </w:t>
            </w:r>
            <w:r>
              <w:rPr>
                <w:rFonts w:ascii="Calibri" w:hAnsi="Calibri"/>
                <w:b/>
                <w:sz w:val="19"/>
              </w:rPr>
              <w:t>private network</w:t>
            </w:r>
            <w:r>
              <w:rPr>
                <w:rFonts w:ascii="Calibri" w:hAnsi="Calibri"/>
                <w:b w:val="0"/>
                <w:sz w:val="19"/>
              </w:rPr>
              <w:t xml:space="preserve"> in Azure; our VM lives inside it, isolated from the public internet.</w:t>
            </w:r>
          </w:p>
        </w:tc>
      </w:tr>
      <w:tr>
        <w:tc>
          <w:tcPr>
            <w:tcW w:type="dxa" w:w="3456"/>
          </w:tcPr>
          <w:p>
            <w:pPr>
              <w:spacing w:after="0" w:before="0"/>
            </w:pPr>
            <w:r/>
            <w:r>
              <w:rPr>
                <w:rFonts w:ascii="Calibri" w:hAnsi="Calibri"/>
                <w:b w:val="0"/>
                <w:sz w:val="19"/>
              </w:rPr>
              <w:t>Private Endpoint / Private Link</w:t>
            </w:r>
          </w:p>
        </w:tc>
        <w:tc>
          <w:tcPr>
            <w:tcW w:type="dxa" w:w="6624"/>
          </w:tcPr>
          <w:p>
            <w:pPr>
              <w:spacing w:after="0" w:before="0"/>
            </w:pPr>
            <w:r/>
            <w:r>
              <w:rPr>
                <w:rFonts w:ascii="Calibri" w:hAnsi="Calibri"/>
                <w:b w:val="0"/>
                <w:sz w:val="19"/>
              </w:rPr>
              <w:t xml:space="preserve">A private, internal-only connection to an Azure service (database, Key Vault, Foundry) so traffic </w:t>
            </w:r>
            <w:r>
              <w:rPr>
                <w:rFonts w:ascii="Calibri" w:hAnsi="Calibri"/>
                <w:b/>
                <w:sz w:val="19"/>
              </w:rPr>
              <w:t>never traverses the public internet</w:t>
            </w:r>
            <w:r>
              <w:rPr>
                <w:rFonts w:ascii="Calibri" w:hAnsi="Calibri"/>
                <w:b w:val="0"/>
                <w:sz w:val="19"/>
              </w:rPr>
              <w:t>.</w:t>
            </w:r>
          </w:p>
        </w:tc>
      </w:tr>
      <w:tr>
        <w:tc>
          <w:tcPr>
            <w:tcW w:type="dxa" w:w="3456"/>
            <w:shd w:val="clear" w:color="auto" w:fill="F5F6F8"/>
          </w:tcPr>
          <w:p>
            <w:pPr>
              <w:spacing w:after="0" w:before="0"/>
            </w:pPr>
            <w:r/>
            <w:r>
              <w:rPr>
                <w:rFonts w:ascii="Calibri" w:hAnsi="Calibri"/>
                <w:b w:val="0"/>
                <w:sz w:val="19"/>
              </w:rPr>
              <w:t>Egress proxy</w:t>
            </w:r>
          </w:p>
        </w:tc>
        <w:tc>
          <w:tcPr>
            <w:tcW w:type="dxa" w:w="6624"/>
            <w:shd w:val="clear" w:color="auto" w:fill="F5F6F8"/>
          </w:tcPr>
          <w:p>
            <w:pPr>
              <w:spacing w:after="0" w:before="0"/>
            </w:pPr>
            <w:r/>
            <w:r>
              <w:rPr>
                <w:rFonts w:ascii="Calibri" w:hAnsi="Calibri"/>
                <w:b w:val="0"/>
                <w:sz w:val="19"/>
              </w:rPr>
              <w:t>Shell's controlled outbound gateway — the only way the app reaches external services (Graph, Entra).</w:t>
            </w:r>
          </w:p>
        </w:tc>
      </w:tr>
      <w:tr>
        <w:tc>
          <w:tcPr>
            <w:tcW w:type="dxa" w:w="3456"/>
          </w:tcPr>
          <w:p>
            <w:pPr>
              <w:spacing w:after="0" w:before="0"/>
            </w:pPr>
            <w:r/>
            <w:r>
              <w:rPr>
                <w:rFonts w:ascii="Calibri" w:hAnsi="Calibri"/>
                <w:b w:val="0"/>
                <w:sz w:val="19"/>
              </w:rPr>
              <w:t>Origin-lock / Service Tag</w:t>
            </w:r>
          </w:p>
        </w:tc>
        <w:tc>
          <w:tcPr>
            <w:tcW w:type="dxa" w:w="6624"/>
          </w:tcPr>
          <w:p>
            <w:pPr>
              <w:spacing w:after="0" w:before="0"/>
            </w:pPr>
            <w:r/>
            <w:r>
              <w:rPr>
                <w:rFonts w:ascii="Calibri" w:hAnsi="Calibri"/>
                <w:b w:val="0"/>
                <w:sz w:val="19"/>
              </w:rPr>
              <w:t>Configuration ensuring the backend only accepts traffic from Front Door, not directly from the internet.</w:t>
            </w:r>
          </w:p>
        </w:tc>
      </w:tr>
      <w:tr>
        <w:tc>
          <w:tcPr>
            <w:tcW w:type="dxa" w:w="3456"/>
            <w:shd w:val="clear" w:color="auto" w:fill="F5F6F8"/>
          </w:tcPr>
          <w:p>
            <w:pPr>
              <w:spacing w:after="0" w:before="0"/>
            </w:pPr>
            <w:r/>
            <w:r>
              <w:rPr>
                <w:rFonts w:ascii="Calibri" w:hAnsi="Calibri"/>
                <w:b w:val="0"/>
                <w:sz w:val="19"/>
              </w:rPr>
              <w:t>TLS / TLS 1.2+</w:t>
            </w:r>
          </w:p>
        </w:tc>
        <w:tc>
          <w:tcPr>
            <w:tcW w:type="dxa" w:w="6624"/>
            <w:shd w:val="clear" w:color="auto" w:fill="F5F6F8"/>
          </w:tcPr>
          <w:p>
            <w:pPr>
              <w:spacing w:after="0" w:before="0"/>
            </w:pPr>
            <w:r/>
            <w:r>
              <w:rPr>
                <w:rFonts w:ascii="Calibri" w:hAnsi="Calibri"/>
                <w:b w:val="0"/>
                <w:sz w:val="19"/>
              </w:rPr>
              <w:t>The encryption protocol behind HTTPS that protects data in transit.</w:t>
            </w:r>
          </w:p>
        </w:tc>
      </w:tr>
    </w:tbl>
    <w:p/>
    <w:p>
      <w:pPr>
        <w:spacing w:before="200" w:after="40"/>
      </w:pPr>
      <w:r>
        <w:rPr>
          <w:rFonts w:ascii="Calibri" w:hAnsi="Calibri"/>
          <w:b/>
          <w:color w:val="1A1A1A"/>
          <w:sz w:val="24"/>
        </w:rPr>
        <w:t>6.3 Identity &amp; access</w:t>
      </w:r>
    </w:p>
    <w:tbl>
      <w:tblPr>
        <w:tblStyle w:val="TableGrid"/>
        <w:tblW w:type="auto" w:w="0"/>
        <w:tblLayout w:type="autofit"/>
        <w:tblLook w:firstColumn="1" w:firstRow="1" w:lastColumn="0" w:lastRow="0" w:noHBand="0" w:noVBand="1" w:val="04A0"/>
      </w:tblPr>
      <w:tblGrid>
        <w:gridCol w:w="4320"/>
        <w:gridCol w:w="4320"/>
      </w:tblGrid>
      <w:tr>
        <w:tc>
          <w:tcPr>
            <w:tcW w:type="dxa" w:w="3168"/>
            <w:shd w:val="clear" w:color="auto" w:fill="C8102E"/>
          </w:tcPr>
          <w:p>
            <w:pPr>
              <w:spacing w:after="0" w:before="0"/>
            </w:pPr>
            <w:r/>
            <w:r>
              <w:rPr>
                <w:rFonts w:ascii="Calibri" w:hAnsi="Calibri"/>
                <w:b/>
                <w:color w:val="FFFFFF"/>
                <w:sz w:val="19"/>
              </w:rPr>
              <w:t>Term</w:t>
            </w:r>
          </w:p>
        </w:tc>
        <w:tc>
          <w:tcPr>
            <w:tcW w:type="dxa" w:w="6912"/>
            <w:shd w:val="clear" w:color="auto" w:fill="C8102E"/>
          </w:tcPr>
          <w:p>
            <w:pPr>
              <w:spacing w:after="0" w:before="0"/>
            </w:pPr>
            <w:r/>
            <w:r>
              <w:rPr>
                <w:rFonts w:ascii="Calibri" w:hAnsi="Calibri"/>
                <w:b/>
                <w:color w:val="FFFFFF"/>
                <w:sz w:val="19"/>
              </w:rPr>
              <w:t>Plain meaning</w:t>
            </w:r>
          </w:p>
        </w:tc>
      </w:tr>
      <w:tr>
        <w:tc>
          <w:tcPr>
            <w:tcW w:type="dxa" w:w="3168"/>
          </w:tcPr>
          <w:p>
            <w:pPr>
              <w:spacing w:after="0" w:before="0"/>
            </w:pPr>
            <w:r/>
            <w:r>
              <w:rPr>
                <w:rFonts w:ascii="Calibri" w:hAnsi="Calibri"/>
                <w:b w:val="0"/>
                <w:sz w:val="19"/>
              </w:rPr>
              <w:t>Microsoft Entra ID</w:t>
            </w:r>
          </w:p>
        </w:tc>
        <w:tc>
          <w:tcPr>
            <w:tcW w:type="dxa" w:w="6912"/>
          </w:tcPr>
          <w:p>
            <w:pPr>
              <w:spacing w:after="0" w:before="0"/>
            </w:pPr>
            <w:r/>
            <w:r>
              <w:rPr>
                <w:rFonts w:ascii="Calibri" w:hAnsi="Calibri"/>
                <w:b w:val="0"/>
                <w:sz w:val="19"/>
              </w:rPr>
              <w:t xml:space="preserve">Microsoft's identity service — </w:t>
            </w:r>
            <w:r>
              <w:rPr>
                <w:rFonts w:ascii="Calibri" w:hAnsi="Calibri"/>
                <w:b/>
                <w:sz w:val="19"/>
              </w:rPr>
              <w:t>formerly called Azure Active Directory (Azure AD)</w:t>
            </w:r>
            <w:r>
              <w:rPr>
                <w:rFonts w:ascii="Calibri" w:hAnsi="Calibri"/>
                <w:b w:val="0"/>
                <w:sz w:val="19"/>
              </w:rPr>
              <w:t>. It's how users log in and how the app proves its identity.</w:t>
            </w:r>
          </w:p>
        </w:tc>
      </w:tr>
      <w:tr>
        <w:tc>
          <w:tcPr>
            <w:tcW w:type="dxa" w:w="3168"/>
            <w:shd w:val="clear" w:color="auto" w:fill="F5F6F8"/>
          </w:tcPr>
          <w:p>
            <w:pPr>
              <w:spacing w:after="0" w:before="0"/>
            </w:pPr>
            <w:r/>
            <w:r>
              <w:rPr>
                <w:rFonts w:ascii="Calibri" w:hAnsi="Calibri"/>
                <w:b w:val="0"/>
                <w:sz w:val="19"/>
              </w:rPr>
              <w:t>SSO (Single Sign-On)</w:t>
            </w:r>
          </w:p>
        </w:tc>
        <w:tc>
          <w:tcPr>
            <w:tcW w:type="dxa" w:w="6912"/>
            <w:shd w:val="clear" w:color="auto" w:fill="F5F6F8"/>
          </w:tcPr>
          <w:p>
            <w:pPr>
              <w:spacing w:after="0" w:before="0"/>
            </w:pPr>
            <w:r/>
            <w:r>
              <w:rPr>
                <w:rFonts w:ascii="Calibri" w:hAnsi="Calibri"/>
                <w:b w:val="0"/>
                <w:sz w:val="19"/>
              </w:rPr>
              <w:t>Users log in with their existing Shell account — no separate password for VendorPulse.</w:t>
            </w:r>
          </w:p>
        </w:tc>
      </w:tr>
      <w:tr>
        <w:tc>
          <w:tcPr>
            <w:tcW w:type="dxa" w:w="3168"/>
          </w:tcPr>
          <w:p>
            <w:pPr>
              <w:spacing w:after="0" w:before="0"/>
            </w:pPr>
            <w:r/>
            <w:r>
              <w:rPr>
                <w:rFonts w:ascii="Calibri" w:hAnsi="Calibri"/>
                <w:b w:val="0"/>
                <w:sz w:val="19"/>
              </w:rPr>
              <w:t>OIDC (OpenID Connect)</w:t>
            </w:r>
          </w:p>
        </w:tc>
        <w:tc>
          <w:tcPr>
            <w:tcW w:type="dxa" w:w="6912"/>
          </w:tcPr>
          <w:p>
            <w:pPr>
              <w:spacing w:after="0" w:before="0"/>
            </w:pPr>
            <w:r/>
            <w:r>
              <w:rPr>
                <w:rFonts w:ascii="Calibri" w:hAnsi="Calibri"/>
                <w:b w:val="0"/>
                <w:sz w:val="19"/>
              </w:rPr>
              <w:t>The standard protocol behind that SSO login.</w:t>
            </w:r>
          </w:p>
        </w:tc>
      </w:tr>
      <w:tr>
        <w:tc>
          <w:tcPr>
            <w:tcW w:type="dxa" w:w="3168"/>
            <w:shd w:val="clear" w:color="auto" w:fill="F5F6F8"/>
          </w:tcPr>
          <w:p>
            <w:pPr>
              <w:spacing w:after="0" w:before="0"/>
            </w:pPr>
            <w:r/>
            <w:r>
              <w:rPr>
                <w:rFonts w:ascii="Calibri" w:hAnsi="Calibri"/>
                <w:b w:val="0"/>
                <w:sz w:val="19"/>
              </w:rPr>
              <w:t>RBAC (Role-Based Access Control)</w:t>
            </w:r>
          </w:p>
        </w:tc>
        <w:tc>
          <w:tcPr>
            <w:tcW w:type="dxa" w:w="6912"/>
            <w:shd w:val="clear" w:color="auto" w:fill="F5F6F8"/>
          </w:tcPr>
          <w:p>
            <w:pPr>
              <w:spacing w:after="0" w:before="0"/>
            </w:pPr>
            <w:r/>
            <w:r>
              <w:rPr>
                <w:rFonts w:ascii="Calibri" w:hAnsi="Calibri"/>
                <w:b w:val="0"/>
                <w:sz w:val="19"/>
              </w:rPr>
              <w:t>Permissions by role — e.g. Coordinator vs Viewer — so people only see/do what their role allows.</w:t>
            </w:r>
          </w:p>
        </w:tc>
      </w:tr>
      <w:tr>
        <w:tc>
          <w:tcPr>
            <w:tcW w:type="dxa" w:w="3168"/>
          </w:tcPr>
          <w:p>
            <w:pPr>
              <w:spacing w:after="0" w:before="0"/>
            </w:pPr>
            <w:r/>
            <w:r>
              <w:rPr>
                <w:rFonts w:ascii="Calibri" w:hAnsi="Calibri"/>
                <w:b w:val="0"/>
                <w:sz w:val="19"/>
              </w:rPr>
              <w:t>JWT (JSON Web Token)</w:t>
            </w:r>
          </w:p>
        </w:tc>
        <w:tc>
          <w:tcPr>
            <w:tcW w:type="dxa" w:w="6912"/>
          </w:tcPr>
          <w:p>
            <w:pPr>
              <w:spacing w:after="0" w:before="0"/>
            </w:pPr>
            <w:r/>
            <w:r>
              <w:rPr>
                <w:rFonts w:ascii="Calibri" w:hAnsi="Calibri"/>
                <w:b w:val="0"/>
                <w:sz w:val="19"/>
              </w:rPr>
              <w:t>The signed digital "badge" a user carries after login to prove who they are on each request.</w:t>
            </w:r>
          </w:p>
        </w:tc>
      </w:tr>
      <w:tr>
        <w:tc>
          <w:tcPr>
            <w:tcW w:type="dxa" w:w="3168"/>
            <w:shd w:val="clear" w:color="auto" w:fill="F5F6F8"/>
          </w:tcPr>
          <w:p>
            <w:pPr>
              <w:spacing w:after="0" w:before="0"/>
            </w:pPr>
            <w:r/>
            <w:r>
              <w:rPr>
                <w:rFonts w:ascii="Calibri" w:hAnsi="Calibri"/>
                <w:b w:val="0"/>
                <w:sz w:val="19"/>
              </w:rPr>
              <w:t>Managed Identity</w:t>
            </w:r>
          </w:p>
        </w:tc>
        <w:tc>
          <w:tcPr>
            <w:tcW w:type="dxa" w:w="6912"/>
            <w:shd w:val="clear" w:color="auto" w:fill="F5F6F8"/>
          </w:tcPr>
          <w:p>
            <w:pPr>
              <w:spacing w:after="0" w:before="0"/>
            </w:pPr>
            <w:r/>
            <w:r>
              <w:rPr>
                <w:rFonts w:ascii="Calibri" w:hAnsi="Calibri"/>
                <w:b w:val="0"/>
                <w:sz w:val="19"/>
              </w:rPr>
              <w:t xml:space="preserve">An automatic, password-less identity Azure gives the VM so it can access Key Vault, the database, and Foundry </w:t>
            </w:r>
            <w:r>
              <w:rPr>
                <w:rFonts w:ascii="Calibri" w:hAnsi="Calibri"/>
                <w:b/>
                <w:sz w:val="19"/>
              </w:rPr>
              <w:t>without any stored secret</w:t>
            </w:r>
            <w:r>
              <w:rPr>
                <w:rFonts w:ascii="Calibri" w:hAnsi="Calibri"/>
                <w:b w:val="0"/>
                <w:sz w:val="19"/>
              </w:rPr>
              <w:t>.</w:t>
            </w:r>
          </w:p>
        </w:tc>
      </w:tr>
      <w:tr>
        <w:tc>
          <w:tcPr>
            <w:tcW w:type="dxa" w:w="3168"/>
          </w:tcPr>
          <w:p>
            <w:pPr>
              <w:spacing w:after="0" w:before="0"/>
            </w:pPr>
            <w:r/>
            <w:r>
              <w:rPr>
                <w:rFonts w:ascii="Calibri" w:hAnsi="Calibri"/>
                <w:b w:val="0"/>
                <w:sz w:val="19"/>
              </w:rPr>
              <w:t>MSAL</w:t>
            </w:r>
          </w:p>
        </w:tc>
        <w:tc>
          <w:tcPr>
            <w:tcW w:type="dxa" w:w="6912"/>
          </w:tcPr>
          <w:p>
            <w:pPr>
              <w:spacing w:after="0" w:before="0"/>
            </w:pPr>
            <w:r/>
            <w:r>
              <w:rPr>
                <w:rFonts w:ascii="Calibri" w:hAnsi="Calibri"/>
                <w:b w:val="0"/>
                <w:sz w:val="19"/>
              </w:rPr>
              <w:t>Microsoft's auth library used for the app-to-Graph login.</w:t>
            </w:r>
          </w:p>
        </w:tc>
      </w:tr>
      <w:tr>
        <w:tc>
          <w:tcPr>
            <w:tcW w:type="dxa" w:w="3168"/>
            <w:shd w:val="clear" w:color="auto" w:fill="F5F6F8"/>
          </w:tcPr>
          <w:p>
            <w:pPr>
              <w:spacing w:after="0" w:before="0"/>
            </w:pPr>
            <w:r/>
            <w:r>
              <w:rPr>
                <w:rFonts w:ascii="Calibri" w:hAnsi="Calibri"/>
                <w:b w:val="0"/>
                <w:sz w:val="19"/>
              </w:rPr>
              <w:t>App registration</w:t>
            </w:r>
          </w:p>
        </w:tc>
        <w:tc>
          <w:tcPr>
            <w:tcW w:type="dxa" w:w="6912"/>
            <w:shd w:val="clear" w:color="auto" w:fill="F5F6F8"/>
          </w:tcPr>
          <w:p>
            <w:pPr>
              <w:spacing w:after="0" w:before="0"/>
            </w:pPr>
            <w:r/>
            <w:r>
              <w:rPr>
                <w:rFonts w:ascii="Calibri" w:hAnsi="Calibri"/>
                <w:b w:val="0"/>
                <w:sz w:val="19"/>
              </w:rPr>
              <w:t>The app's identity record in Entra, defining what it's allowed to do.</w:t>
            </w:r>
          </w:p>
        </w:tc>
      </w:tr>
      <w:tr>
        <w:tc>
          <w:tcPr>
            <w:tcW w:type="dxa" w:w="3168"/>
          </w:tcPr>
          <w:p>
            <w:pPr>
              <w:spacing w:after="0" w:before="0"/>
            </w:pPr>
            <w:r/>
            <w:r>
              <w:rPr>
                <w:rFonts w:ascii="Calibri" w:hAnsi="Calibri"/>
                <w:b w:val="0"/>
                <w:sz w:val="19"/>
              </w:rPr>
              <w:t>Client-credentials flow</w:t>
            </w:r>
          </w:p>
        </w:tc>
        <w:tc>
          <w:tcPr>
            <w:tcW w:type="dxa" w:w="6912"/>
          </w:tcPr>
          <w:p>
            <w:pPr>
              <w:spacing w:after="0" w:before="0"/>
            </w:pPr>
            <w:r/>
            <w:r>
              <w:rPr>
                <w:rFonts w:ascii="Calibri" w:hAnsi="Calibri"/>
                <w:b w:val="0"/>
                <w:sz w:val="19"/>
              </w:rPr>
              <w:t>App-to-service login (no human involved) — lets VendorPulse send mail or read calendars unattended.</w:t>
            </w:r>
          </w:p>
        </w:tc>
      </w:tr>
      <w:tr>
        <w:tc>
          <w:tcPr>
            <w:tcW w:type="dxa" w:w="3168"/>
            <w:shd w:val="clear" w:color="auto" w:fill="F5F6F8"/>
          </w:tcPr>
          <w:p>
            <w:pPr>
              <w:spacing w:after="0" w:before="0"/>
            </w:pPr>
            <w:r/>
            <w:r>
              <w:rPr>
                <w:rFonts w:ascii="Calibri" w:hAnsi="Calibri"/>
                <w:b w:val="0"/>
                <w:sz w:val="19"/>
              </w:rPr>
              <w:t>Admin consent</w:t>
            </w:r>
          </w:p>
        </w:tc>
        <w:tc>
          <w:tcPr>
            <w:tcW w:type="dxa" w:w="6912"/>
            <w:shd w:val="clear" w:color="auto" w:fill="F5F6F8"/>
          </w:tcPr>
          <w:p>
            <w:pPr>
              <w:spacing w:after="0" w:before="0"/>
            </w:pPr>
            <w:r/>
            <w:r>
              <w:rPr>
                <w:rFonts w:ascii="Calibri" w:hAnsi="Calibri"/>
                <w:b w:val="0"/>
                <w:sz w:val="19"/>
              </w:rPr>
              <w:t xml:space="preserve">A Shell global admin's one-time approval of the permissions the app requests (a </w:t>
            </w:r>
            <w:r>
              <w:rPr>
                <w:rFonts w:ascii="Calibri" w:hAnsi="Calibri"/>
                <w:b/>
                <w:sz w:val="19"/>
              </w:rPr>
              <w:t>2–4 week</w:t>
            </w:r>
            <w:r>
              <w:rPr>
                <w:rFonts w:ascii="Calibri" w:hAnsi="Calibri"/>
                <w:b w:val="0"/>
                <w:sz w:val="19"/>
              </w:rPr>
              <w:t xml:space="preserve"> lead-time item).</w:t>
            </w:r>
          </w:p>
        </w:tc>
      </w:tr>
      <w:tr>
        <w:tc>
          <w:tcPr>
            <w:tcW w:type="dxa" w:w="3168"/>
          </w:tcPr>
          <w:p>
            <w:pPr>
              <w:spacing w:after="0" w:before="0"/>
            </w:pPr>
            <w:r/>
            <w:r>
              <w:rPr>
                <w:rFonts w:ascii="Calibri" w:hAnsi="Calibri"/>
                <w:b w:val="0"/>
                <w:sz w:val="19"/>
              </w:rPr>
              <w:t>Application Access Policy</w:t>
            </w:r>
          </w:p>
        </w:tc>
        <w:tc>
          <w:tcPr>
            <w:tcW w:type="dxa" w:w="6912"/>
          </w:tcPr>
          <w:p>
            <w:pPr>
              <w:spacing w:after="0" w:before="0"/>
            </w:pPr>
            <w:r/>
            <w:r>
              <w:rPr>
                <w:rFonts w:ascii="Calibri" w:hAnsi="Calibri"/>
                <w:b w:val="0"/>
                <w:sz w:val="19"/>
              </w:rPr>
              <w:t xml:space="preserve">An Exchange control limiting the app's mail permission to </w:t>
            </w:r>
            <w:r>
              <w:rPr>
                <w:rFonts w:ascii="Calibri" w:hAnsi="Calibri"/>
                <w:b/>
                <w:sz w:val="19"/>
              </w:rPr>
              <w:t>one specific mailbox</w:t>
            </w:r>
            <w:r>
              <w:rPr>
                <w:rFonts w:ascii="Calibri" w:hAnsi="Calibri"/>
                <w:b w:val="0"/>
                <w:sz w:val="19"/>
              </w:rPr>
              <w:t>, not everyone's.</w:t>
            </w:r>
          </w:p>
        </w:tc>
      </w:tr>
      <w:tr>
        <w:tc>
          <w:tcPr>
            <w:tcW w:type="dxa" w:w="3168"/>
            <w:shd w:val="clear" w:color="auto" w:fill="F5F6F8"/>
          </w:tcPr>
          <w:p>
            <w:pPr>
              <w:spacing w:after="0" w:before="0"/>
            </w:pPr>
            <w:r/>
            <w:r>
              <w:rPr>
                <w:rFonts w:ascii="Calibri" w:hAnsi="Calibri"/>
                <w:b w:val="0"/>
                <w:sz w:val="19"/>
              </w:rPr>
              <w:t>App-only / certificate auth</w:t>
            </w:r>
          </w:p>
        </w:tc>
        <w:tc>
          <w:tcPr>
            <w:tcW w:type="dxa" w:w="6912"/>
            <w:shd w:val="clear" w:color="auto" w:fill="F5F6F8"/>
          </w:tcPr>
          <w:p>
            <w:pPr>
              <w:spacing w:after="0" w:before="0"/>
            </w:pPr>
            <w:r/>
            <w:r>
              <w:rPr>
                <w:rFonts w:ascii="Calibri" w:hAnsi="Calibri"/>
                <w:b w:val="0"/>
                <w:sz w:val="19"/>
              </w:rPr>
              <w:t xml:space="preserve">The production app authenticates as itself using a </w:t>
            </w:r>
            <w:r>
              <w:rPr>
                <w:rFonts w:ascii="Calibri" w:hAnsi="Calibri"/>
                <w:b/>
                <w:sz w:val="19"/>
              </w:rPr>
              <w:t>certificate</w:t>
            </w:r>
            <w:r>
              <w:rPr>
                <w:rFonts w:ascii="Calibri" w:hAnsi="Calibri"/>
                <w:b w:val="0"/>
                <w:sz w:val="19"/>
              </w:rPr>
              <w:t xml:space="preserve"> (stronger than a secret), replacing the PoC's pasted 1-hour token.</w:t>
            </w:r>
          </w:p>
        </w:tc>
      </w:tr>
    </w:tbl>
    <w:p/>
    <w:p>
      <w:pPr>
        <w:spacing w:before="200" w:after="40"/>
      </w:pPr>
      <w:r>
        <w:rPr>
          <w:rFonts w:ascii="Calibri" w:hAnsi="Calibri"/>
          <w:b/>
          <w:color w:val="1A1A1A"/>
          <w:sz w:val="24"/>
        </w:rPr>
        <w:t>6.4 Microsoft Graph &amp; Microsoft 365</w:t>
      </w:r>
    </w:p>
    <w:tbl>
      <w:tblPr>
        <w:tblStyle w:val="TableGrid"/>
        <w:tblW w:type="auto" w:w="0"/>
        <w:tblLayout w:type="autofit"/>
        <w:tblLook w:firstColumn="1" w:firstRow="1" w:lastColumn="0" w:lastRow="0" w:noHBand="0" w:noVBand="1" w:val="04A0"/>
      </w:tblPr>
      <w:tblGrid>
        <w:gridCol w:w="4320"/>
        <w:gridCol w:w="4320"/>
      </w:tblGrid>
      <w:tr>
        <w:tc>
          <w:tcPr>
            <w:tcW w:type="dxa" w:w="3168"/>
            <w:shd w:val="clear" w:color="auto" w:fill="C8102E"/>
          </w:tcPr>
          <w:p>
            <w:pPr>
              <w:spacing w:after="0" w:before="0"/>
            </w:pPr>
            <w:r/>
            <w:r>
              <w:rPr>
                <w:rFonts w:ascii="Calibri" w:hAnsi="Calibri"/>
                <w:b/>
                <w:color w:val="FFFFFF"/>
                <w:sz w:val="19"/>
              </w:rPr>
              <w:t>Term</w:t>
            </w:r>
          </w:p>
        </w:tc>
        <w:tc>
          <w:tcPr>
            <w:tcW w:type="dxa" w:w="6912"/>
            <w:shd w:val="clear" w:color="auto" w:fill="C8102E"/>
          </w:tcPr>
          <w:p>
            <w:pPr>
              <w:spacing w:after="0" w:before="0"/>
            </w:pPr>
            <w:r/>
            <w:r>
              <w:rPr>
                <w:rFonts w:ascii="Calibri" w:hAnsi="Calibri"/>
                <w:b/>
                <w:color w:val="FFFFFF"/>
                <w:sz w:val="19"/>
              </w:rPr>
              <w:t>Plain meaning</w:t>
            </w:r>
          </w:p>
        </w:tc>
      </w:tr>
      <w:tr>
        <w:tc>
          <w:tcPr>
            <w:tcW w:type="dxa" w:w="3168"/>
          </w:tcPr>
          <w:p>
            <w:pPr>
              <w:spacing w:after="0" w:before="0"/>
            </w:pPr>
            <w:r/>
            <w:r>
              <w:rPr>
                <w:rFonts w:ascii="Calibri" w:hAnsi="Calibri"/>
                <w:b w:val="0"/>
                <w:sz w:val="19"/>
              </w:rPr>
              <w:t>Microsoft Graph</w:t>
            </w:r>
          </w:p>
        </w:tc>
        <w:tc>
          <w:tcPr>
            <w:tcW w:type="dxa" w:w="6912"/>
          </w:tcPr>
          <w:p>
            <w:pPr>
              <w:spacing w:after="0" w:before="0"/>
            </w:pPr>
            <w:r/>
            <w:r>
              <w:rPr>
                <w:rFonts w:ascii="Calibri" w:hAnsi="Calibri"/>
                <w:b w:val="0"/>
                <w:sz w:val="19"/>
              </w:rPr>
              <w:t xml:space="preserve">The single API to reach Microsoft 365 data — </w:t>
            </w:r>
            <w:r>
              <w:rPr>
                <w:rFonts w:ascii="Calibri" w:hAnsi="Calibri"/>
                <w:b/>
                <w:sz w:val="19"/>
              </w:rPr>
              <w:t>Outlook mail, calendars, Teams meetings, user lookups</w:t>
            </w:r>
            <w:r>
              <w:rPr>
                <w:rFonts w:ascii="Calibri" w:hAnsi="Calibri"/>
                <w:b w:val="0"/>
                <w:sz w:val="19"/>
              </w:rPr>
              <w:t>. VendorPulse uses it to send invites and schedule meetings.</w:t>
            </w:r>
          </w:p>
        </w:tc>
      </w:tr>
      <w:tr>
        <w:tc>
          <w:tcPr>
            <w:tcW w:type="dxa" w:w="3168"/>
            <w:shd w:val="clear" w:color="auto" w:fill="F5F6F8"/>
          </w:tcPr>
          <w:p>
            <w:pPr>
              <w:spacing w:after="0" w:before="0"/>
            </w:pPr>
            <w:r/>
            <w:r>
              <w:rPr>
                <w:rFonts w:ascii="Calibri" w:hAnsi="Calibri"/>
                <w:b w:val="0"/>
                <w:sz w:val="19"/>
              </w:rPr>
              <w:t>Mail.Send / Mail.Read</w:t>
            </w:r>
          </w:p>
        </w:tc>
        <w:tc>
          <w:tcPr>
            <w:tcW w:type="dxa" w:w="6912"/>
            <w:shd w:val="clear" w:color="auto" w:fill="F5F6F8"/>
          </w:tcPr>
          <w:p>
            <w:pPr>
              <w:spacing w:after="0" w:before="0"/>
            </w:pPr>
            <w:r/>
            <w:r>
              <w:rPr>
                <w:rFonts w:ascii="Calibri" w:hAnsi="Calibri"/>
                <w:b w:val="0"/>
                <w:sz w:val="19"/>
              </w:rPr>
              <w:t>Graph permissions: send email / read replies.</w:t>
            </w:r>
          </w:p>
        </w:tc>
      </w:tr>
      <w:tr>
        <w:tc>
          <w:tcPr>
            <w:tcW w:type="dxa" w:w="3168"/>
          </w:tcPr>
          <w:p>
            <w:pPr>
              <w:spacing w:after="0" w:before="0"/>
            </w:pPr>
            <w:r/>
            <w:r>
              <w:rPr>
                <w:rFonts w:ascii="Calibri" w:hAnsi="Calibri"/>
                <w:b w:val="0"/>
                <w:sz w:val="19"/>
              </w:rPr>
              <w:t>Calendars.ReadWrite</w:t>
            </w:r>
          </w:p>
        </w:tc>
        <w:tc>
          <w:tcPr>
            <w:tcW w:type="dxa" w:w="6912"/>
          </w:tcPr>
          <w:p>
            <w:pPr>
              <w:spacing w:after="0" w:before="0"/>
            </w:pPr>
            <w:r/>
            <w:r>
              <w:rPr>
                <w:rFonts w:ascii="Calibri" w:hAnsi="Calibri"/>
                <w:b w:val="0"/>
                <w:sz w:val="19"/>
              </w:rPr>
              <w:t>Graph permission: read free/busy and create calendar events.</w:t>
            </w:r>
          </w:p>
        </w:tc>
      </w:tr>
      <w:tr>
        <w:tc>
          <w:tcPr>
            <w:tcW w:type="dxa" w:w="3168"/>
            <w:shd w:val="clear" w:color="auto" w:fill="F5F6F8"/>
          </w:tcPr>
          <w:p>
            <w:pPr>
              <w:spacing w:after="0" w:before="0"/>
            </w:pPr>
            <w:r/>
            <w:r>
              <w:rPr>
                <w:rFonts w:ascii="Calibri" w:hAnsi="Calibri"/>
                <w:b w:val="0"/>
                <w:sz w:val="19"/>
              </w:rPr>
              <w:t>OnlineMeetings.ReadWrite.All</w:t>
            </w:r>
          </w:p>
        </w:tc>
        <w:tc>
          <w:tcPr>
            <w:tcW w:type="dxa" w:w="6912"/>
            <w:shd w:val="clear" w:color="auto" w:fill="F5F6F8"/>
          </w:tcPr>
          <w:p>
            <w:pPr>
              <w:spacing w:after="0" w:before="0"/>
            </w:pPr>
            <w:r/>
            <w:r>
              <w:rPr>
                <w:rFonts w:ascii="Calibri" w:hAnsi="Calibri"/>
                <w:b w:val="0"/>
                <w:sz w:val="19"/>
              </w:rPr>
              <w:t>Graph permission: create Teams meetings.</w:t>
            </w:r>
          </w:p>
        </w:tc>
      </w:tr>
      <w:tr>
        <w:tc>
          <w:tcPr>
            <w:tcW w:type="dxa" w:w="3168"/>
          </w:tcPr>
          <w:p>
            <w:pPr>
              <w:spacing w:after="0" w:before="0"/>
            </w:pPr>
            <w:r/>
            <w:r>
              <w:rPr>
                <w:rFonts w:ascii="Calibri" w:hAnsi="Calibri"/>
                <w:b w:val="0"/>
                <w:sz w:val="19"/>
              </w:rPr>
              <w:t>User.Read.All</w:t>
            </w:r>
          </w:p>
        </w:tc>
        <w:tc>
          <w:tcPr>
            <w:tcW w:type="dxa" w:w="6912"/>
          </w:tcPr>
          <w:p>
            <w:pPr>
              <w:spacing w:after="0" w:before="0"/>
            </w:pPr>
            <w:r/>
            <w:r>
              <w:rPr>
                <w:rFonts w:ascii="Calibri" w:hAnsi="Calibri"/>
                <w:b w:val="0"/>
                <w:sz w:val="19"/>
              </w:rPr>
              <w:t>Graph permission: look up users in the directory (for attendee lists).</w:t>
            </w:r>
          </w:p>
        </w:tc>
      </w:tr>
      <w:tr>
        <w:tc>
          <w:tcPr>
            <w:tcW w:type="dxa" w:w="3168"/>
            <w:shd w:val="clear" w:color="auto" w:fill="F5F6F8"/>
          </w:tcPr>
          <w:p>
            <w:pPr>
              <w:spacing w:after="0" w:before="0"/>
            </w:pPr>
            <w:r/>
            <w:r>
              <w:rPr>
                <w:rFonts w:ascii="Calibri" w:hAnsi="Calibri"/>
                <w:b w:val="0"/>
                <w:sz w:val="19"/>
              </w:rPr>
              <w:t>Microsoft 365 E3 / E5</w:t>
            </w:r>
          </w:p>
        </w:tc>
        <w:tc>
          <w:tcPr>
            <w:tcW w:type="dxa" w:w="6912"/>
            <w:shd w:val="clear" w:color="auto" w:fill="F5F6F8"/>
          </w:tcPr>
          <w:p>
            <w:pPr>
              <w:spacing w:after="0" w:before="0"/>
            </w:pPr>
            <w:r/>
            <w:r>
              <w:rPr>
                <w:rFonts w:ascii="Calibri" w:hAnsi="Calibri"/>
                <w:b w:val="0"/>
                <w:sz w:val="19"/>
              </w:rPr>
              <w:t>Microsoft's productivity+security licence tiers; needed for the service mailbox the app sends from. E5 adds advanced security/compliance.</w:t>
            </w:r>
          </w:p>
        </w:tc>
      </w:tr>
    </w:tbl>
    <w:p/>
    <w:p>
      <w:pPr>
        <w:spacing w:before="200" w:after="40"/>
      </w:pPr>
      <w:r>
        <w:rPr>
          <w:rFonts w:ascii="Calibri" w:hAnsi="Calibri"/>
          <w:b/>
          <w:color w:val="1A1A1A"/>
          <w:sz w:val="24"/>
        </w:rPr>
        <w:t>6.5 AI / agent stack</w:t>
      </w:r>
    </w:p>
    <w:tbl>
      <w:tblPr>
        <w:tblStyle w:val="TableGrid"/>
        <w:tblW w:type="auto" w:w="0"/>
        <w:tblLayout w:type="autofit"/>
        <w:tblLook w:firstColumn="1" w:firstRow="1" w:lastColumn="0" w:lastRow="0" w:noHBand="0" w:noVBand="1" w:val="04A0"/>
      </w:tblPr>
      <w:tblGrid>
        <w:gridCol w:w="4320"/>
        <w:gridCol w:w="4320"/>
      </w:tblGrid>
      <w:tr>
        <w:tc>
          <w:tcPr>
            <w:tcW w:type="dxa" w:w="3312"/>
            <w:shd w:val="clear" w:color="auto" w:fill="C8102E"/>
          </w:tcPr>
          <w:p>
            <w:pPr>
              <w:spacing w:after="0" w:before="0"/>
            </w:pPr>
            <w:r/>
            <w:r>
              <w:rPr>
                <w:rFonts w:ascii="Calibri" w:hAnsi="Calibri"/>
                <w:b/>
                <w:color w:val="FFFFFF"/>
                <w:sz w:val="19"/>
              </w:rPr>
              <w:t>Term</w:t>
            </w:r>
          </w:p>
        </w:tc>
        <w:tc>
          <w:tcPr>
            <w:tcW w:type="dxa" w:w="6768"/>
            <w:shd w:val="clear" w:color="auto" w:fill="C8102E"/>
          </w:tcPr>
          <w:p>
            <w:pPr>
              <w:spacing w:after="0" w:before="0"/>
            </w:pPr>
            <w:r/>
            <w:r>
              <w:rPr>
                <w:rFonts w:ascii="Calibri" w:hAnsi="Calibri"/>
                <w:b/>
                <w:color w:val="FFFFFF"/>
                <w:sz w:val="19"/>
              </w:rPr>
              <w:t>Plain meaning</w:t>
            </w:r>
          </w:p>
        </w:tc>
      </w:tr>
      <w:tr>
        <w:tc>
          <w:tcPr>
            <w:tcW w:type="dxa" w:w="3312"/>
          </w:tcPr>
          <w:p>
            <w:pPr>
              <w:spacing w:after="0" w:before="0"/>
            </w:pPr>
            <w:r/>
            <w:r>
              <w:rPr>
                <w:rFonts w:ascii="Calibri" w:hAnsi="Calibri"/>
                <w:b w:val="0"/>
                <w:sz w:val="19"/>
              </w:rPr>
              <w:t>LLM (Large Language Model)</w:t>
            </w:r>
          </w:p>
        </w:tc>
        <w:tc>
          <w:tcPr>
            <w:tcW w:type="dxa" w:w="6768"/>
          </w:tcPr>
          <w:p>
            <w:pPr>
              <w:spacing w:after="0" w:before="0"/>
            </w:pPr>
            <w:r/>
            <w:r>
              <w:rPr>
                <w:rFonts w:ascii="Calibri" w:hAnsi="Calibri"/>
                <w:b w:val="0"/>
                <w:sz w:val="19"/>
              </w:rPr>
              <w:t xml:space="preserve">The AI that generates text (here, </w:t>
            </w:r>
            <w:r>
              <w:rPr>
                <w:rFonts w:ascii="Calibri" w:hAnsi="Calibri"/>
                <w:b/>
                <w:sz w:val="19"/>
              </w:rPr>
              <w:t>GPT-4o</w:t>
            </w:r>
            <w:r>
              <w:rPr>
                <w:rFonts w:ascii="Calibri" w:hAnsi="Calibri"/>
                <w:b w:val="0"/>
                <w:sz w:val="19"/>
              </w:rPr>
              <w:t xml:space="preserve">). In VendorPulse it only </w:t>
            </w:r>
            <w:r>
              <w:rPr>
                <w:rFonts w:ascii="Calibri" w:hAnsi="Calibri"/>
                <w:b/>
                <w:sz w:val="19"/>
              </w:rPr>
              <w:t>drafts</w:t>
            </w:r>
            <w:r>
              <w:rPr>
                <w:rFonts w:ascii="Calibri" w:hAnsi="Calibri"/>
                <w:b w:val="0"/>
                <w:sz w:val="19"/>
              </w:rPr>
              <w:t xml:space="preserve"> wording — it never decides or acts.</w:t>
            </w:r>
          </w:p>
        </w:tc>
      </w:tr>
      <w:tr>
        <w:tc>
          <w:tcPr>
            <w:tcW w:type="dxa" w:w="3312"/>
            <w:shd w:val="clear" w:color="auto" w:fill="F5F6F8"/>
          </w:tcPr>
          <w:p>
            <w:pPr>
              <w:spacing w:after="0" w:before="0"/>
            </w:pPr>
            <w:r/>
            <w:r>
              <w:rPr>
                <w:rFonts w:ascii="Calibri" w:hAnsi="Calibri"/>
                <w:b w:val="0"/>
                <w:sz w:val="19"/>
              </w:rPr>
              <w:t>GPT-4o / gpt-4.1</w:t>
            </w:r>
          </w:p>
        </w:tc>
        <w:tc>
          <w:tcPr>
            <w:tcW w:type="dxa" w:w="6768"/>
            <w:shd w:val="clear" w:color="auto" w:fill="F5F6F8"/>
          </w:tcPr>
          <w:p>
            <w:pPr>
              <w:spacing w:after="0" w:before="0"/>
            </w:pPr>
            <w:r/>
            <w:r>
              <w:rPr>
                <w:rFonts w:ascii="Calibri" w:hAnsi="Calibri"/>
                <w:b w:val="0"/>
                <w:sz w:val="19"/>
              </w:rPr>
              <w:t xml:space="preserve">Specific OpenAI model versions, deployed inside Shell's Foundry. </w:t>
            </w:r>
            <w:r>
              <w:rPr>
                <w:rFonts w:ascii="Calibri" w:hAnsi="Calibri"/>
                <w:b/>
                <w:sz w:val="19"/>
              </w:rPr>
              <w:t>GA</w:t>
            </w:r>
            <w:r>
              <w:rPr>
                <w:rFonts w:ascii="Calibri" w:hAnsi="Calibri"/>
                <w:b w:val="0"/>
                <w:sz w:val="19"/>
              </w:rPr>
              <w:t xml:space="preserve"> (Generally Available) = stable, production-grade, not preview.</w:t>
            </w:r>
          </w:p>
        </w:tc>
      </w:tr>
      <w:tr>
        <w:tc>
          <w:tcPr>
            <w:tcW w:type="dxa" w:w="3312"/>
          </w:tcPr>
          <w:p>
            <w:pPr>
              <w:spacing w:after="0" w:before="0"/>
            </w:pPr>
            <w:r/>
            <w:r>
              <w:rPr>
                <w:rFonts w:ascii="Calibri" w:hAnsi="Calibri"/>
                <w:b w:val="0"/>
                <w:sz w:val="19"/>
              </w:rPr>
              <w:t>Azure OpenAI</w:t>
            </w:r>
          </w:p>
        </w:tc>
        <w:tc>
          <w:tcPr>
            <w:tcW w:type="dxa" w:w="6768"/>
          </w:tcPr>
          <w:p>
            <w:pPr>
              <w:spacing w:after="0" w:before="0"/>
            </w:pPr>
            <w:r/>
            <w:r>
              <w:rPr>
                <w:rFonts w:ascii="Calibri" w:hAnsi="Calibri"/>
                <w:b w:val="0"/>
                <w:sz w:val="19"/>
              </w:rPr>
              <w:t>The Azure service that serves OpenAI models behind an API — the model layer.</w:t>
            </w:r>
          </w:p>
        </w:tc>
      </w:tr>
      <w:tr>
        <w:tc>
          <w:tcPr>
            <w:tcW w:type="dxa" w:w="3312"/>
            <w:shd w:val="clear" w:color="auto" w:fill="F5F6F8"/>
          </w:tcPr>
          <w:p>
            <w:pPr>
              <w:spacing w:after="0" w:before="0"/>
            </w:pPr>
            <w:r/>
            <w:r>
              <w:rPr>
                <w:rFonts w:ascii="Calibri" w:hAnsi="Calibri"/>
                <w:b w:val="0"/>
                <w:sz w:val="19"/>
              </w:rPr>
              <w:t>Azure AI Foundry</w:t>
            </w:r>
          </w:p>
        </w:tc>
        <w:tc>
          <w:tcPr>
            <w:tcW w:type="dxa" w:w="6768"/>
            <w:shd w:val="clear" w:color="auto" w:fill="F5F6F8"/>
          </w:tcPr>
          <w:p>
            <w:pPr>
              <w:spacing w:after="0" w:before="0"/>
            </w:pPr>
            <w:r/>
            <w:r>
              <w:rPr>
                <w:rFonts w:ascii="Calibri" w:hAnsi="Calibri"/>
                <w:b w:val="0"/>
                <w:sz w:val="19"/>
              </w:rPr>
              <w:t xml:space="preserve">Microsoft's </w:t>
            </w:r>
            <w:r>
              <w:rPr>
                <w:rFonts w:ascii="Calibri" w:hAnsi="Calibri"/>
                <w:b/>
                <w:sz w:val="19"/>
              </w:rPr>
              <w:t>platform</w:t>
            </w:r>
            <w:r>
              <w:rPr>
                <w:rFonts w:ascii="Calibri" w:hAnsi="Calibri"/>
                <w:b w:val="0"/>
                <w:sz w:val="19"/>
              </w:rPr>
              <w:t xml:space="preserve"> around those models: model catalog, agents, content safety, tracing. Our GPT-4o lives here, in Shell's tenant.</w:t>
            </w:r>
          </w:p>
        </w:tc>
      </w:tr>
      <w:tr>
        <w:tc>
          <w:tcPr>
            <w:tcW w:type="dxa" w:w="3312"/>
          </w:tcPr>
          <w:p>
            <w:pPr>
              <w:spacing w:after="0" w:before="0"/>
            </w:pPr>
            <w:r/>
            <w:r>
              <w:rPr>
                <w:rFonts w:ascii="Calibri" w:hAnsi="Calibri"/>
                <w:b w:val="0"/>
                <w:sz w:val="19"/>
              </w:rPr>
              <w:t>Responses API</w:t>
            </w:r>
          </w:p>
        </w:tc>
        <w:tc>
          <w:tcPr>
            <w:tcW w:type="dxa" w:w="6768"/>
          </w:tcPr>
          <w:p>
            <w:pPr>
              <w:spacing w:after="0" w:before="0"/>
            </w:pPr>
            <w:r/>
            <w:r>
              <w:rPr>
                <w:rFonts w:ascii="Calibri" w:hAnsi="Calibri"/>
                <w:b w:val="0"/>
                <w:sz w:val="19"/>
              </w:rPr>
              <w:t>The Foundry/OpenAI API our agents call to get model output and tool-calls. The single entry point we use.</w:t>
            </w:r>
          </w:p>
        </w:tc>
      </w:tr>
      <w:tr>
        <w:tc>
          <w:tcPr>
            <w:tcW w:type="dxa" w:w="3312"/>
            <w:shd w:val="clear" w:color="auto" w:fill="F5F6F8"/>
          </w:tcPr>
          <w:p>
            <w:pPr>
              <w:spacing w:after="0" w:before="0"/>
            </w:pPr>
            <w:r/>
            <w:r>
              <w:rPr>
                <w:rFonts w:ascii="Calibri" w:hAnsi="Calibri"/>
                <w:b w:val="0"/>
                <w:sz w:val="19"/>
              </w:rPr>
              <w:t>Microsoft Agent Framework (MAF)</w:t>
            </w:r>
          </w:p>
        </w:tc>
        <w:tc>
          <w:tcPr>
            <w:tcW w:type="dxa" w:w="6768"/>
            <w:shd w:val="clear" w:color="auto" w:fill="F5F6F8"/>
          </w:tcPr>
          <w:p>
            <w:pPr>
              <w:spacing w:after="0" w:before="0"/>
            </w:pPr>
            <w:r/>
            <w:r>
              <w:rPr>
                <w:rFonts w:ascii="Calibri" w:hAnsi="Calibri"/>
                <w:b w:val="0"/>
                <w:sz w:val="19"/>
              </w:rPr>
              <w:t xml:space="preserve">The open-source </w:t>
            </w:r>
            <w:r>
              <w:rPr>
                <w:rFonts w:ascii="Calibri" w:hAnsi="Calibri"/>
                <w:b/>
                <w:sz w:val="19"/>
              </w:rPr>
              <w:t>SDK</w:t>
            </w:r>
            <w:r>
              <w:rPr>
                <w:rFonts w:ascii="Calibri" w:hAnsi="Calibri"/>
                <w:b w:val="0"/>
                <w:sz w:val="19"/>
              </w:rPr>
              <w:t xml:space="preserve"> we build our agents with. Provides the agent loop, tool-calling, and a built-in approval mode. </w:t>
            </w:r>
            <w:r>
              <w:rPr>
                <w:rFonts w:ascii="Calibri" w:hAnsi="Calibri"/>
                <w:b/>
                <w:sz w:val="19"/>
              </w:rPr>
              <w:t>Our code</w:t>
            </w:r>
            <w:r>
              <w:rPr>
                <w:rFonts w:ascii="Calibri" w:hAnsi="Calibri"/>
                <w:b w:val="0"/>
                <w:sz w:val="19"/>
              </w:rPr>
              <w:t>, calling Foundry.</w:t>
            </w:r>
          </w:p>
        </w:tc>
      </w:tr>
      <w:tr>
        <w:tc>
          <w:tcPr>
            <w:tcW w:type="dxa" w:w="3312"/>
          </w:tcPr>
          <w:p>
            <w:pPr>
              <w:spacing w:after="0" w:before="0"/>
            </w:pPr>
            <w:r/>
            <w:r>
              <w:rPr>
                <w:rFonts w:ascii="Calibri" w:hAnsi="Calibri"/>
                <w:b w:val="0"/>
                <w:sz w:val="19"/>
              </w:rPr>
              <w:t>Agent</w:t>
            </w:r>
          </w:p>
        </w:tc>
        <w:tc>
          <w:tcPr>
            <w:tcW w:type="dxa" w:w="6768"/>
          </w:tcPr>
          <w:p>
            <w:pPr>
              <w:spacing w:after="0" w:before="0"/>
            </w:pPr>
            <w:r/>
            <w:r>
              <w:rPr>
                <w:rFonts w:ascii="Calibri" w:hAnsi="Calibri"/>
                <w:b w:val="0"/>
                <w:sz w:val="19"/>
              </w:rPr>
              <w:t>A small AI-driven routine for one module (e.g. SchedulingAgent) that, given a prompt, can call a set of tools and return a structured result.</w:t>
            </w:r>
          </w:p>
        </w:tc>
      </w:tr>
      <w:tr>
        <w:tc>
          <w:tcPr>
            <w:tcW w:type="dxa" w:w="3312"/>
            <w:shd w:val="clear" w:color="auto" w:fill="F5F6F8"/>
          </w:tcPr>
          <w:p>
            <w:pPr>
              <w:spacing w:after="0" w:before="0"/>
            </w:pPr>
            <w:r/>
            <w:r>
              <w:rPr>
                <w:rFonts w:ascii="Calibri" w:hAnsi="Calibri"/>
                <w:b w:val="0"/>
                <w:sz w:val="19"/>
              </w:rPr>
              <w:t>Tool / tool-calling / @tool</w:t>
            </w:r>
          </w:p>
        </w:tc>
        <w:tc>
          <w:tcPr>
            <w:tcW w:type="dxa" w:w="6768"/>
            <w:shd w:val="clear" w:color="auto" w:fill="F5F6F8"/>
          </w:tcPr>
          <w:p>
            <w:pPr>
              <w:spacing w:after="0" w:before="0"/>
            </w:pPr>
            <w:r/>
            <w:r>
              <w:rPr>
                <w:rFonts w:ascii="Calibri" w:hAnsi="Calibri"/>
                <w:b w:val="0"/>
                <w:sz w:val="19"/>
              </w:rPr>
              <w:t xml:space="preserve">Functions the agent is allowed to call (e.g. "rank slots", "draft invite"). The model picks which to call; our code runs them. The result is </w:t>
            </w:r>
            <w:r>
              <w:rPr>
                <w:rFonts w:ascii="Calibri" w:hAnsi="Calibri"/>
                <w:b/>
                <w:sz w:val="19"/>
              </w:rPr>
              <w:t>structured data</w:t>
            </w:r>
            <w:r>
              <w:rPr>
                <w:rFonts w:ascii="Calibri" w:hAnsi="Calibri"/>
                <w:b w:val="0"/>
                <w:sz w:val="19"/>
              </w:rPr>
              <w:t>, not free text.</w:t>
            </w:r>
          </w:p>
        </w:tc>
      </w:tr>
      <w:tr>
        <w:tc>
          <w:tcPr>
            <w:tcW w:type="dxa" w:w="3312"/>
          </w:tcPr>
          <w:p>
            <w:pPr>
              <w:spacing w:after="0" w:before="0"/>
            </w:pPr>
            <w:r/>
            <w:r>
              <w:rPr>
                <w:rFonts w:ascii="Calibri" w:hAnsi="Calibri"/>
                <w:b w:val="0"/>
                <w:sz w:val="19"/>
              </w:rPr>
              <w:t>HITL (Human-in-the-loop) / approval_mode</w:t>
            </w:r>
          </w:p>
        </w:tc>
        <w:tc>
          <w:tcPr>
            <w:tcW w:type="dxa" w:w="6768"/>
          </w:tcPr>
          <w:p>
            <w:pPr>
              <w:spacing w:after="0" w:before="0"/>
            </w:pPr>
            <w:r/>
            <w:r>
              <w:rPr>
                <w:rFonts w:ascii="Calibri" w:hAnsi="Calibri"/>
                <w:b w:val="0"/>
                <w:sz w:val="19"/>
              </w:rPr>
              <w:t xml:space="preserve">The control where a human must approve before a sensitive action runs. VendorPulse gates this both in the app </w:t>
            </w:r>
            <w:r>
              <w:rPr>
                <w:rFonts w:ascii="Calibri" w:hAnsi="Calibri"/>
                <w:b/>
                <w:sz w:val="19"/>
              </w:rPr>
              <w:t>and</w:t>
            </w:r>
            <w:r>
              <w:rPr>
                <w:rFonts w:ascii="Calibri" w:hAnsi="Calibri"/>
                <w:b w:val="0"/>
                <w:sz w:val="19"/>
              </w:rPr>
              <w:t xml:space="preserve"> natively in MAF (belt-and-suspenders).</w:t>
            </w:r>
          </w:p>
        </w:tc>
      </w:tr>
      <w:tr>
        <w:tc>
          <w:tcPr>
            <w:tcW w:type="dxa" w:w="3312"/>
            <w:shd w:val="clear" w:color="auto" w:fill="F5F6F8"/>
          </w:tcPr>
          <w:p>
            <w:pPr>
              <w:spacing w:after="0" w:before="0"/>
            </w:pPr>
            <w:r/>
            <w:r>
              <w:rPr>
                <w:rFonts w:ascii="Calibri" w:hAnsi="Calibri"/>
                <w:b w:val="0"/>
                <w:sz w:val="19"/>
              </w:rPr>
              <w:t>Content safety / content filters</w:t>
            </w:r>
          </w:p>
        </w:tc>
        <w:tc>
          <w:tcPr>
            <w:tcW w:type="dxa" w:w="6768"/>
            <w:shd w:val="clear" w:color="auto" w:fill="F5F6F8"/>
          </w:tcPr>
          <w:p>
            <w:pPr>
              <w:spacing w:after="0" w:before="0"/>
            </w:pPr>
            <w:r/>
            <w:r>
              <w:rPr>
                <w:rFonts w:ascii="Calibri" w:hAnsi="Calibri"/>
                <w:b w:val="0"/>
                <w:sz w:val="19"/>
              </w:rPr>
              <w:t xml:space="preserve">Foundry's built-in filters that block harmful or unsafe model input/output. </w:t>
            </w:r>
            <w:r>
              <w:rPr>
                <w:rFonts w:ascii="Calibri" w:hAnsi="Calibri"/>
                <w:b/>
                <w:sz w:val="19"/>
              </w:rPr>
              <w:t>XPIA</w:t>
            </w:r>
            <w:r>
              <w:rPr>
                <w:rFonts w:ascii="Calibri" w:hAnsi="Calibri"/>
                <w:b w:val="0"/>
                <w:sz w:val="19"/>
              </w:rPr>
              <w:t xml:space="preserve"> = protection against prompt-injection attacks.</w:t>
            </w:r>
          </w:p>
        </w:tc>
      </w:tr>
      <w:tr>
        <w:tc>
          <w:tcPr>
            <w:tcW w:type="dxa" w:w="3312"/>
          </w:tcPr>
          <w:p>
            <w:pPr>
              <w:spacing w:after="0" w:before="0"/>
            </w:pPr>
            <w:r/>
            <w:r>
              <w:rPr>
                <w:rFonts w:ascii="Calibri" w:hAnsi="Calibri"/>
                <w:b w:val="0"/>
                <w:sz w:val="19"/>
              </w:rPr>
              <w:t>OpenTelemetry (OTel) / tracing</w:t>
            </w:r>
          </w:p>
        </w:tc>
        <w:tc>
          <w:tcPr>
            <w:tcW w:type="dxa" w:w="6768"/>
          </w:tcPr>
          <w:p>
            <w:pPr>
              <w:spacing w:after="0" w:before="0"/>
            </w:pPr>
            <w:r/>
            <w:r>
              <w:rPr>
                <w:rFonts w:ascii="Calibri" w:hAnsi="Calibri"/>
                <w:b w:val="0"/>
                <w:sz w:val="19"/>
              </w:rPr>
              <w:t>An open standard for emitting logs/traces. MAF emits these by default; they flow to App Insights for the audit trail.</w:t>
            </w:r>
          </w:p>
        </w:tc>
      </w:tr>
      <w:tr>
        <w:tc>
          <w:tcPr>
            <w:tcW w:type="dxa" w:w="3312"/>
            <w:shd w:val="clear" w:color="auto" w:fill="F5F6F8"/>
          </w:tcPr>
          <w:p>
            <w:pPr>
              <w:spacing w:after="0" w:before="0"/>
            </w:pPr>
            <w:r/>
            <w:r>
              <w:rPr>
                <w:rFonts w:ascii="Calibri" w:hAnsi="Calibri"/>
                <w:b w:val="0"/>
                <w:sz w:val="19"/>
              </w:rPr>
              <w:t>Hallucination</w:t>
            </w:r>
          </w:p>
        </w:tc>
        <w:tc>
          <w:tcPr>
            <w:tcW w:type="dxa" w:w="6768"/>
            <w:shd w:val="clear" w:color="auto" w:fill="F5F6F8"/>
          </w:tcPr>
          <w:p>
            <w:pPr>
              <w:spacing w:after="0" w:before="0"/>
            </w:pPr>
            <w:r/>
            <w:r>
              <w:rPr>
                <w:rFonts w:ascii="Calibri" w:hAnsi="Calibri"/>
                <w:b w:val="0"/>
                <w:sz w:val="19"/>
              </w:rPr>
              <w:t xml:space="preserve">When an LLM confidently states something false. We mitigate it by keeping all facts/numbers/IDs in </w:t>
            </w:r>
            <w:r>
              <w:rPr>
                <w:rFonts w:ascii="Calibri" w:hAnsi="Calibri"/>
                <w:b/>
                <w:sz w:val="19"/>
              </w:rPr>
              <w:t>deterministic code</w:t>
            </w:r>
            <w:r>
              <w:rPr>
                <w:rFonts w:ascii="Calibri" w:hAnsi="Calibri"/>
                <w:b w:val="0"/>
                <w:sz w:val="19"/>
              </w:rPr>
              <w:t>, not the model.</w:t>
            </w:r>
          </w:p>
        </w:tc>
      </w:tr>
      <w:tr>
        <w:tc>
          <w:tcPr>
            <w:tcW w:type="dxa" w:w="3312"/>
          </w:tcPr>
          <w:p>
            <w:pPr>
              <w:spacing w:after="0" w:before="0"/>
            </w:pPr>
            <w:r/>
            <w:r>
              <w:rPr>
                <w:rFonts w:ascii="Calibri" w:hAnsi="Calibri"/>
                <w:b w:val="0"/>
                <w:sz w:val="19"/>
              </w:rPr>
              <w:t>Deterministic</w:t>
            </w:r>
          </w:p>
        </w:tc>
        <w:tc>
          <w:tcPr>
            <w:tcW w:type="dxa" w:w="6768"/>
          </w:tcPr>
          <w:p>
            <w:pPr>
              <w:spacing w:after="0" w:before="0"/>
            </w:pPr>
            <w:r/>
            <w:r>
              <w:rPr>
                <w:rFonts w:ascii="Calibri" w:hAnsi="Calibri"/>
                <w:b w:val="0"/>
                <w:sz w:val="19"/>
              </w:rPr>
              <w:t>Code that always gives the same output for the same input (the opposite of an LLM's variability). All VendorPulse decisions are deterministic.</w:t>
            </w:r>
          </w:p>
        </w:tc>
      </w:tr>
      <w:tr>
        <w:tc>
          <w:tcPr>
            <w:tcW w:type="dxa" w:w="3312"/>
            <w:shd w:val="clear" w:color="auto" w:fill="F5F6F8"/>
          </w:tcPr>
          <w:p>
            <w:pPr>
              <w:spacing w:after="0" w:before="0"/>
            </w:pPr>
            <w:r/>
            <w:r>
              <w:rPr>
                <w:rFonts w:ascii="Calibri" w:hAnsi="Calibri"/>
                <w:b w:val="0"/>
                <w:sz w:val="19"/>
              </w:rPr>
              <w:t>LLMProvider abstraction</w:t>
            </w:r>
          </w:p>
        </w:tc>
        <w:tc>
          <w:tcPr>
            <w:tcW w:type="dxa" w:w="6768"/>
            <w:shd w:val="clear" w:color="auto" w:fill="F5F6F8"/>
          </w:tcPr>
          <w:p>
            <w:pPr>
              <w:spacing w:after="0" w:before="0"/>
            </w:pPr>
            <w:r/>
            <w:r>
              <w:rPr>
                <w:rFonts w:ascii="Calibri" w:hAnsi="Calibri"/>
                <w:b w:val="0"/>
                <w:sz w:val="19"/>
              </w:rPr>
              <w:t xml:space="preserve">A config switch that lets us swap the model vendor (Foundry </w:t>
            </w:r>
            <w:r>
              <w:rPr>
                <w:rFonts w:ascii="Calibri" w:hAnsi="Calibri"/>
                <w:b/>
                <w:sz w:val="19"/>
              </w:rPr>
              <w:t>or</w:t>
            </w:r>
            <w:r>
              <w:rPr>
                <w:rFonts w:ascii="Calibri" w:hAnsi="Calibri"/>
                <w:b w:val="0"/>
                <w:sz w:val="19"/>
              </w:rPr>
              <w:t xml:space="preserve"> Anthropic/Claude) without changing application code.</w:t>
            </w:r>
          </w:p>
        </w:tc>
      </w:tr>
      <w:tr>
        <w:tc>
          <w:tcPr>
            <w:tcW w:type="dxa" w:w="3312"/>
          </w:tcPr>
          <w:p>
            <w:pPr>
              <w:spacing w:after="0" w:before="0"/>
            </w:pPr>
            <w:r/>
            <w:r>
              <w:rPr>
                <w:rFonts w:ascii="Calibri" w:hAnsi="Calibri"/>
                <w:b w:val="0"/>
                <w:sz w:val="19"/>
              </w:rPr>
              <w:t>AgentResponse / adapter</w:t>
            </w:r>
          </w:p>
        </w:tc>
        <w:tc>
          <w:tcPr>
            <w:tcW w:type="dxa" w:w="6768"/>
          </w:tcPr>
          <w:p>
            <w:pPr>
              <w:spacing w:after="0" w:before="0"/>
            </w:pPr>
            <w:r/>
            <w:r>
              <w:rPr>
                <w:rFonts w:ascii="Calibri" w:hAnsi="Calibri"/>
                <w:b w:val="0"/>
                <w:sz w:val="19"/>
              </w:rPr>
              <w:t>The single, fixed response shape every agent returns, so the front-end never has to guess the output format.</w:t>
            </w:r>
          </w:p>
        </w:tc>
      </w:tr>
      <w:tr>
        <w:tc>
          <w:tcPr>
            <w:tcW w:type="dxa" w:w="3312"/>
            <w:shd w:val="clear" w:color="auto" w:fill="F5F6F8"/>
          </w:tcPr>
          <w:p>
            <w:pPr>
              <w:spacing w:after="0" w:before="0"/>
            </w:pPr>
            <w:r/>
            <w:r>
              <w:rPr>
                <w:rFonts w:ascii="Calibri" w:hAnsi="Calibri"/>
                <w:b w:val="0"/>
                <w:sz w:val="19"/>
              </w:rPr>
              <w:t>Foundry Hosted Agents</w:t>
            </w:r>
          </w:p>
        </w:tc>
        <w:tc>
          <w:tcPr>
            <w:tcW w:type="dxa" w:w="6768"/>
            <w:shd w:val="clear" w:color="auto" w:fill="F5F6F8"/>
          </w:tcPr>
          <w:p>
            <w:pPr>
              <w:spacing w:after="0" w:before="0"/>
            </w:pPr>
            <w:r/>
            <w:r>
              <w:rPr>
                <w:rFonts w:ascii="Calibri" w:hAnsi="Calibri"/>
                <w:b w:val="0"/>
                <w:sz w:val="19"/>
              </w:rPr>
              <w:t xml:space="preserve">A (preview) Foundry option to host </w:t>
            </w:r>
            <w:r>
              <w:rPr>
                <w:rFonts w:ascii="Calibri" w:hAnsi="Calibri"/>
                <w:b/>
                <w:sz w:val="19"/>
              </w:rPr>
              <w:t>our</w:t>
            </w:r>
            <w:r>
              <w:rPr>
                <w:rFonts w:ascii="Calibri" w:hAnsi="Calibri"/>
                <w:b w:val="0"/>
                <w:sz w:val="19"/>
              </w:rPr>
              <w:t xml:space="preserve"> agent code as a managed endpoint — a possible future upgrade from the VM, same code.</w:t>
            </w:r>
          </w:p>
        </w:tc>
      </w:tr>
      <w:tr>
        <w:tc>
          <w:tcPr>
            <w:tcW w:type="dxa" w:w="3312"/>
          </w:tcPr>
          <w:p>
            <w:pPr>
              <w:spacing w:after="0" w:before="0"/>
            </w:pPr>
            <w:r/>
            <w:r>
              <w:rPr>
                <w:rFonts w:ascii="Calibri" w:hAnsi="Calibri"/>
                <w:b w:val="0"/>
                <w:sz w:val="19"/>
              </w:rPr>
              <w:t>Claude / Anthropic</w:t>
            </w:r>
          </w:p>
        </w:tc>
        <w:tc>
          <w:tcPr>
            <w:tcW w:type="dxa" w:w="6768"/>
          </w:tcPr>
          <w:p>
            <w:pPr>
              <w:spacing w:after="0" w:before="0"/>
            </w:pPr>
            <w:r/>
            <w:r>
              <w:rPr>
                <w:rFonts w:ascii="Calibri" w:hAnsi="Calibri"/>
                <w:b w:val="0"/>
                <w:sz w:val="19"/>
              </w:rPr>
              <w:t xml:space="preserve">An alternative LLM vendor, selectable via the abstraction. </w:t>
            </w:r>
            <w:r>
              <w:rPr>
                <w:rFonts w:ascii="Calibri" w:hAnsi="Calibri"/>
                <w:b/>
                <w:sz w:val="19"/>
              </w:rPr>
              <w:t>Claude Code</w:t>
            </w:r>
            <w:r>
              <w:rPr>
                <w:rFonts w:ascii="Calibri" w:hAnsi="Calibri"/>
                <w:b w:val="0"/>
                <w:sz w:val="19"/>
              </w:rPr>
              <w:t xml:space="preserve"> is separately the AI coding assistant the dev team uses to build faster.</w:t>
            </w:r>
          </w:p>
        </w:tc>
      </w:tr>
    </w:tbl>
    <w:p/>
    <w:p>
      <w:pPr>
        <w:spacing w:before="200" w:after="40"/>
      </w:pPr>
      <w:r>
        <w:rPr>
          <w:rFonts w:ascii="Calibri" w:hAnsi="Calibri"/>
          <w:b/>
          <w:color w:val="1A1A1A"/>
          <w:sz w:val="24"/>
        </w:rPr>
        <w:t>6.6 Application &amp; developer stack</w:t>
      </w:r>
    </w:p>
    <w:tbl>
      <w:tblPr>
        <w:tblStyle w:val="TableGrid"/>
        <w:tblW w:type="auto" w:w="0"/>
        <w:tblLayout w:type="autofit"/>
        <w:tblLook w:firstColumn="1" w:firstRow="1" w:lastColumn="0" w:lastRow="0" w:noHBand="0" w:noVBand="1" w:val="04A0"/>
      </w:tblPr>
      <w:tblGrid>
        <w:gridCol w:w="4320"/>
        <w:gridCol w:w="4320"/>
      </w:tblGrid>
      <w:tr>
        <w:tc>
          <w:tcPr>
            <w:tcW w:type="dxa" w:w="3456"/>
            <w:shd w:val="clear" w:color="auto" w:fill="C8102E"/>
          </w:tcPr>
          <w:p>
            <w:pPr>
              <w:spacing w:after="0" w:before="0"/>
            </w:pPr>
            <w:r/>
            <w:r>
              <w:rPr>
                <w:rFonts w:ascii="Calibri" w:hAnsi="Calibri"/>
                <w:b/>
                <w:color w:val="FFFFFF"/>
                <w:sz w:val="19"/>
              </w:rPr>
              <w:t>Term</w:t>
            </w:r>
          </w:p>
        </w:tc>
        <w:tc>
          <w:tcPr>
            <w:tcW w:type="dxa" w:w="6624"/>
            <w:shd w:val="clear" w:color="auto" w:fill="C8102E"/>
          </w:tcPr>
          <w:p>
            <w:pPr>
              <w:spacing w:after="0" w:before="0"/>
            </w:pPr>
            <w:r/>
            <w:r>
              <w:rPr>
                <w:rFonts w:ascii="Calibri" w:hAnsi="Calibri"/>
                <w:b/>
                <w:color w:val="FFFFFF"/>
                <w:sz w:val="19"/>
              </w:rPr>
              <w:t>Plain meaning</w:t>
            </w:r>
          </w:p>
        </w:tc>
      </w:tr>
      <w:tr>
        <w:tc>
          <w:tcPr>
            <w:tcW w:type="dxa" w:w="3456"/>
          </w:tcPr>
          <w:p>
            <w:pPr>
              <w:spacing w:after="0" w:before="0"/>
            </w:pPr>
            <w:r/>
            <w:r>
              <w:rPr>
                <w:rFonts w:ascii="Calibri" w:hAnsi="Calibri"/>
                <w:b w:val="0"/>
                <w:sz w:val="19"/>
              </w:rPr>
              <w:t>FastAPI</w:t>
            </w:r>
          </w:p>
        </w:tc>
        <w:tc>
          <w:tcPr>
            <w:tcW w:type="dxa" w:w="6624"/>
          </w:tcPr>
          <w:p>
            <w:pPr>
              <w:spacing w:after="0" w:before="0"/>
            </w:pPr>
            <w:r/>
            <w:r>
              <w:rPr>
                <w:rFonts w:ascii="Calibri" w:hAnsi="Calibri"/>
                <w:b w:val="0"/>
                <w:sz w:val="19"/>
              </w:rPr>
              <w:t>The Python web framework the backend is built on — serves the REST API.</w:t>
            </w:r>
          </w:p>
        </w:tc>
      </w:tr>
      <w:tr>
        <w:tc>
          <w:tcPr>
            <w:tcW w:type="dxa" w:w="3456"/>
            <w:shd w:val="clear" w:color="auto" w:fill="F5F6F8"/>
          </w:tcPr>
          <w:p>
            <w:pPr>
              <w:spacing w:after="0" w:before="0"/>
            </w:pPr>
            <w:r/>
            <w:r>
              <w:rPr>
                <w:rFonts w:ascii="Calibri" w:hAnsi="Calibri"/>
                <w:b w:val="0"/>
                <w:sz w:val="19"/>
              </w:rPr>
              <w:t>Python 3.11</w:t>
            </w:r>
          </w:p>
        </w:tc>
        <w:tc>
          <w:tcPr>
            <w:tcW w:type="dxa" w:w="6624"/>
            <w:shd w:val="clear" w:color="auto" w:fill="F5F6F8"/>
          </w:tcPr>
          <w:p>
            <w:pPr>
              <w:spacing w:after="0" w:before="0"/>
            </w:pPr>
            <w:r/>
            <w:r>
              <w:rPr>
                <w:rFonts w:ascii="Calibri" w:hAnsi="Calibri"/>
                <w:b w:val="0"/>
                <w:sz w:val="19"/>
              </w:rPr>
              <w:t>The backend programming language/version.</w:t>
            </w:r>
          </w:p>
        </w:tc>
      </w:tr>
      <w:tr>
        <w:tc>
          <w:tcPr>
            <w:tcW w:type="dxa" w:w="3456"/>
          </w:tcPr>
          <w:p>
            <w:pPr>
              <w:spacing w:after="0" w:before="0"/>
            </w:pPr>
            <w:r/>
            <w:r>
              <w:rPr>
                <w:rFonts w:ascii="Calibri" w:hAnsi="Calibri"/>
                <w:b w:val="0"/>
                <w:sz w:val="19"/>
              </w:rPr>
              <w:t>Uvicorn / ASGI</w:t>
            </w:r>
          </w:p>
        </w:tc>
        <w:tc>
          <w:tcPr>
            <w:tcW w:type="dxa" w:w="6624"/>
          </w:tcPr>
          <w:p>
            <w:pPr>
              <w:spacing w:after="0" w:before="0"/>
            </w:pPr>
            <w:r/>
            <w:r>
              <w:rPr>
                <w:rFonts w:ascii="Calibri" w:hAnsi="Calibri"/>
                <w:b w:val="0"/>
                <w:sz w:val="19"/>
              </w:rPr>
              <w:t>The server that runs the FastAPI app.</w:t>
            </w:r>
          </w:p>
        </w:tc>
      </w:tr>
      <w:tr>
        <w:tc>
          <w:tcPr>
            <w:tcW w:type="dxa" w:w="3456"/>
            <w:shd w:val="clear" w:color="auto" w:fill="F5F6F8"/>
          </w:tcPr>
          <w:p>
            <w:pPr>
              <w:spacing w:after="0" w:before="0"/>
            </w:pPr>
            <w:r/>
            <w:r>
              <w:rPr>
                <w:rFonts w:ascii="Calibri" w:hAnsi="Calibri"/>
                <w:b w:val="0"/>
                <w:sz w:val="19"/>
              </w:rPr>
              <w:t>Pydantic</w:t>
            </w:r>
          </w:p>
        </w:tc>
        <w:tc>
          <w:tcPr>
            <w:tcW w:type="dxa" w:w="6624"/>
            <w:shd w:val="clear" w:color="auto" w:fill="F5F6F8"/>
          </w:tcPr>
          <w:p>
            <w:pPr>
              <w:spacing w:after="0" w:before="0"/>
            </w:pPr>
            <w:r/>
            <w:r>
              <w:rPr>
                <w:rFonts w:ascii="Calibri" w:hAnsi="Calibri"/>
                <w:b w:val="0"/>
                <w:sz w:val="19"/>
              </w:rPr>
              <w:t>Library that validates data shapes — guarantees inputs/outputs match the defined schema.</w:t>
            </w:r>
          </w:p>
        </w:tc>
      </w:tr>
      <w:tr>
        <w:tc>
          <w:tcPr>
            <w:tcW w:type="dxa" w:w="3456"/>
          </w:tcPr>
          <w:p>
            <w:pPr>
              <w:spacing w:after="0" w:before="0"/>
            </w:pPr>
            <w:r/>
            <w:r>
              <w:rPr>
                <w:rFonts w:ascii="Calibri" w:hAnsi="Calibri"/>
                <w:b w:val="0"/>
                <w:sz w:val="19"/>
              </w:rPr>
              <w:t>React 19 / SPA</w:t>
            </w:r>
          </w:p>
        </w:tc>
        <w:tc>
          <w:tcPr>
            <w:tcW w:type="dxa" w:w="6624"/>
          </w:tcPr>
          <w:p>
            <w:pPr>
              <w:spacing w:after="0" w:before="0"/>
            </w:pPr>
            <w:r/>
            <w:r>
              <w:rPr>
                <w:rFonts w:ascii="Calibri" w:hAnsi="Calibri"/>
                <w:b w:val="0"/>
                <w:sz w:val="19"/>
              </w:rPr>
              <w:t xml:space="preserve">The front-end framework. </w:t>
            </w:r>
            <w:r>
              <w:rPr>
                <w:rFonts w:ascii="Calibri" w:hAnsi="Calibri"/>
                <w:b/>
                <w:sz w:val="19"/>
              </w:rPr>
              <w:t>SPA</w:t>
            </w:r>
            <w:r>
              <w:rPr>
                <w:rFonts w:ascii="Calibri" w:hAnsi="Calibri"/>
                <w:b w:val="0"/>
                <w:sz w:val="19"/>
              </w:rPr>
              <w:t xml:space="preserve"> = Single-Page Application: the UI runs in the browser and updates without full page reloads.</w:t>
            </w:r>
          </w:p>
        </w:tc>
      </w:tr>
      <w:tr>
        <w:tc>
          <w:tcPr>
            <w:tcW w:type="dxa" w:w="3456"/>
            <w:shd w:val="clear" w:color="auto" w:fill="F5F6F8"/>
          </w:tcPr>
          <w:p>
            <w:pPr>
              <w:spacing w:after="0" w:before="0"/>
            </w:pPr>
            <w:r/>
            <w:r>
              <w:rPr>
                <w:rFonts w:ascii="Calibri" w:hAnsi="Calibri"/>
                <w:b w:val="0"/>
                <w:sz w:val="19"/>
              </w:rPr>
              <w:t>Vite / TypeScript / Zustand / Recharts / Tailwind</w:t>
            </w:r>
          </w:p>
        </w:tc>
        <w:tc>
          <w:tcPr>
            <w:tcW w:type="dxa" w:w="6624"/>
            <w:shd w:val="clear" w:color="auto" w:fill="F5F6F8"/>
          </w:tcPr>
          <w:p>
            <w:pPr>
              <w:spacing w:after="0" w:before="0"/>
            </w:pPr>
            <w:r/>
            <w:r>
              <w:rPr>
                <w:rFonts w:ascii="Calibri" w:hAnsi="Calibri"/>
                <w:b w:val="0"/>
                <w:sz w:val="19"/>
              </w:rPr>
              <w:t>Front-end build tool / typed JavaScript / state management / charts / styling.</w:t>
            </w:r>
          </w:p>
        </w:tc>
      </w:tr>
      <w:tr>
        <w:tc>
          <w:tcPr>
            <w:tcW w:type="dxa" w:w="3456"/>
          </w:tcPr>
          <w:p>
            <w:pPr>
              <w:spacing w:after="0" w:before="0"/>
            </w:pPr>
            <w:r/>
            <w:r>
              <w:rPr>
                <w:rFonts w:ascii="Calibri" w:hAnsi="Calibri"/>
                <w:b w:val="0"/>
                <w:sz w:val="19"/>
              </w:rPr>
              <w:t>WorkflowEngine / 12-state machine</w:t>
            </w:r>
          </w:p>
        </w:tc>
        <w:tc>
          <w:tcPr>
            <w:tcW w:type="dxa" w:w="6624"/>
          </w:tcPr>
          <w:p>
            <w:pPr>
              <w:spacing w:after="0" w:before="0"/>
            </w:pPr>
            <w:r/>
            <w:r>
              <w:rPr>
                <w:rFonts w:ascii="Calibri" w:hAnsi="Calibri"/>
                <w:b w:val="0"/>
                <w:sz w:val="19"/>
              </w:rPr>
              <w:t xml:space="preserve">The deterministic core that enforces the </w:t>
            </w:r>
            <w:r>
              <w:rPr>
                <w:rFonts w:ascii="Calibri" w:hAnsi="Calibri"/>
                <w:b/>
                <w:sz w:val="19"/>
              </w:rPr>
              <w:t>forward-only</w:t>
            </w:r>
            <w:r>
              <w:rPr>
                <w:rFonts w:ascii="Calibri" w:hAnsi="Calibri"/>
                <w:b w:val="0"/>
                <w:sz w:val="19"/>
              </w:rPr>
              <w:t xml:space="preserve"> 12-step process — the single source of truth for what's allowed next.</w:t>
            </w:r>
          </w:p>
        </w:tc>
      </w:tr>
      <w:tr>
        <w:tc>
          <w:tcPr>
            <w:tcW w:type="dxa" w:w="3456"/>
            <w:shd w:val="clear" w:color="auto" w:fill="F5F6F8"/>
          </w:tcPr>
          <w:p>
            <w:pPr>
              <w:spacing w:after="0" w:before="0"/>
            </w:pPr>
            <w:r/>
            <w:r>
              <w:rPr>
                <w:rFonts w:ascii="Calibri" w:hAnsi="Calibri"/>
                <w:b w:val="0"/>
                <w:sz w:val="19"/>
              </w:rPr>
              <w:t>Module A–F / the 6 agents</w:t>
            </w:r>
          </w:p>
        </w:tc>
        <w:tc>
          <w:tcPr>
            <w:tcW w:type="dxa" w:w="6624"/>
            <w:shd w:val="clear" w:color="auto" w:fill="F5F6F8"/>
          </w:tcPr>
          <w:p>
            <w:pPr>
              <w:spacing w:after="0" w:before="0"/>
            </w:pPr>
            <w:r/>
            <w:r>
              <w:rPr>
                <w:rFonts w:ascii="Calibri" w:hAnsi="Calibri"/>
                <w:b w:val="0"/>
                <w:sz w:val="19"/>
              </w:rPr>
              <w:t>Scheduling, Scorecard, Alignment, Vendor Prep, Meeting, Analytics — each a functional area with its own agent.</w:t>
            </w:r>
          </w:p>
        </w:tc>
      </w:tr>
      <w:tr>
        <w:tc>
          <w:tcPr>
            <w:tcW w:type="dxa" w:w="3456"/>
          </w:tcPr>
          <w:p>
            <w:pPr>
              <w:spacing w:after="0" w:before="0"/>
            </w:pPr>
            <w:r/>
            <w:r>
              <w:rPr>
                <w:rFonts w:ascii="Calibri" w:hAnsi="Calibri"/>
                <w:b w:val="0"/>
                <w:sz w:val="19"/>
              </w:rPr>
              <w:t>Repository pattern / BaseRepository</w:t>
            </w:r>
          </w:p>
        </w:tc>
        <w:tc>
          <w:tcPr>
            <w:tcW w:type="dxa" w:w="6624"/>
          </w:tcPr>
          <w:p>
            <w:pPr>
              <w:spacing w:after="0" w:before="0"/>
            </w:pPr>
            <w:r/>
            <w:r>
              <w:rPr>
                <w:rFonts w:ascii="Calibri" w:hAnsi="Calibri"/>
                <w:b w:val="0"/>
                <w:sz w:val="19"/>
              </w:rPr>
              <w:t xml:space="preserve">The single code layer that touches storage. Swapping JSON files → PostgreSQL means changing </w:t>
            </w:r>
            <w:r>
              <w:rPr>
                <w:rFonts w:ascii="Calibri" w:hAnsi="Calibri"/>
                <w:b/>
                <w:sz w:val="19"/>
              </w:rPr>
              <w:t>only</w:t>
            </w:r>
            <w:r>
              <w:rPr>
                <w:rFonts w:ascii="Calibri" w:hAnsi="Calibri"/>
                <w:b w:val="0"/>
                <w:sz w:val="19"/>
              </w:rPr>
              <w:t xml:space="preserve"> this layer.</w:t>
            </w:r>
          </w:p>
        </w:tc>
      </w:tr>
      <w:tr>
        <w:tc>
          <w:tcPr>
            <w:tcW w:type="dxa" w:w="3456"/>
            <w:shd w:val="clear" w:color="auto" w:fill="F5F6F8"/>
          </w:tcPr>
          <w:p>
            <w:pPr>
              <w:spacing w:after="0" w:before="0"/>
            </w:pPr>
            <w:r/>
            <w:r>
              <w:rPr>
                <w:rFonts w:ascii="Calibri" w:hAnsi="Calibri"/>
                <w:b w:val="0"/>
                <w:sz w:val="19"/>
              </w:rPr>
              <w:t>PostgreSQL / SQLite / JSON files</w:t>
            </w:r>
          </w:p>
        </w:tc>
        <w:tc>
          <w:tcPr>
            <w:tcW w:type="dxa" w:w="6624"/>
            <w:shd w:val="clear" w:color="auto" w:fill="F5F6F8"/>
          </w:tcPr>
          <w:p>
            <w:pPr>
              <w:spacing w:after="0" w:before="0"/>
            </w:pPr>
            <w:r/>
            <w:r>
              <w:rPr>
                <w:rFonts w:ascii="Calibri" w:hAnsi="Calibri"/>
                <w:b w:val="0"/>
                <w:sz w:val="19"/>
              </w:rPr>
              <w:t>The production database / the lightweight dev database / the original file-based storage being replaced.</w:t>
            </w:r>
          </w:p>
        </w:tc>
      </w:tr>
      <w:tr>
        <w:tc>
          <w:tcPr>
            <w:tcW w:type="dxa" w:w="3456"/>
          </w:tcPr>
          <w:p>
            <w:pPr>
              <w:spacing w:after="0" w:before="0"/>
            </w:pPr>
            <w:r/>
            <w:r>
              <w:rPr>
                <w:rFonts w:ascii="Calibri" w:hAnsi="Calibri"/>
                <w:b w:val="0"/>
                <w:sz w:val="19"/>
              </w:rPr>
              <w:t>SQLAlchemy / Alembic</w:t>
            </w:r>
          </w:p>
        </w:tc>
        <w:tc>
          <w:tcPr>
            <w:tcW w:type="dxa" w:w="6624"/>
          </w:tcPr>
          <w:p>
            <w:pPr>
              <w:spacing w:after="0" w:before="0"/>
            </w:pPr>
            <w:r/>
            <w:r>
              <w:rPr>
                <w:rFonts w:ascii="Calibri" w:hAnsi="Calibri"/>
                <w:b w:val="0"/>
                <w:sz w:val="19"/>
              </w:rPr>
              <w:t>Database toolkit / database-migration tool for evolving the schema safely.</w:t>
            </w:r>
          </w:p>
        </w:tc>
      </w:tr>
      <w:tr>
        <w:tc>
          <w:tcPr>
            <w:tcW w:type="dxa" w:w="3456"/>
            <w:shd w:val="clear" w:color="auto" w:fill="F5F6F8"/>
          </w:tcPr>
          <w:p>
            <w:pPr>
              <w:spacing w:after="0" w:before="0"/>
            </w:pPr>
            <w:r/>
            <w:r>
              <w:rPr>
                <w:rFonts w:ascii="Calibri" w:hAnsi="Calibri"/>
                <w:b w:val="0"/>
                <w:sz w:val="19"/>
              </w:rPr>
              <w:t>Magic-link / one-time token</w:t>
            </w:r>
          </w:p>
        </w:tc>
        <w:tc>
          <w:tcPr>
            <w:tcW w:type="dxa" w:w="6624"/>
            <w:shd w:val="clear" w:color="auto" w:fill="F5F6F8"/>
          </w:tcPr>
          <w:p>
            <w:pPr>
              <w:spacing w:after="0" w:before="0"/>
            </w:pPr>
            <w:r/>
            <w:r>
              <w:rPr>
                <w:rFonts w:ascii="Calibri" w:hAnsi="Calibri"/>
                <w:b w:val="0"/>
                <w:sz w:val="19"/>
              </w:rPr>
              <w:t>A secure single-use link emailed to a stakeholder to open the scorecard form without a full account.</w:t>
            </w:r>
          </w:p>
        </w:tc>
      </w:tr>
      <w:tr>
        <w:tc>
          <w:tcPr>
            <w:tcW w:type="dxa" w:w="3456"/>
          </w:tcPr>
          <w:p>
            <w:pPr>
              <w:spacing w:after="0" w:before="0"/>
            </w:pPr>
            <w:r/>
            <w:r>
              <w:rPr>
                <w:rFonts w:ascii="Calibri" w:hAnsi="Calibri"/>
                <w:b w:val="0"/>
                <w:sz w:val="19"/>
              </w:rPr>
              <w:t>CI/CD</w:t>
            </w:r>
          </w:p>
        </w:tc>
        <w:tc>
          <w:tcPr>
            <w:tcW w:type="dxa" w:w="6624"/>
          </w:tcPr>
          <w:p>
            <w:pPr>
              <w:spacing w:after="0" w:before="0"/>
            </w:pPr>
            <w:r/>
            <w:r>
              <w:rPr>
                <w:rFonts w:ascii="Calibri" w:hAnsi="Calibri"/>
                <w:b w:val="0"/>
                <w:sz w:val="19"/>
              </w:rPr>
              <w:t>Continuous Integration / Continuous Delivery — the automated pipeline that lints, tests, builds, scans, and deploys code (GitHub Actions / Azure DevOps).</w:t>
            </w:r>
          </w:p>
        </w:tc>
      </w:tr>
      <w:tr>
        <w:tc>
          <w:tcPr>
            <w:tcW w:type="dxa" w:w="3456"/>
            <w:shd w:val="clear" w:color="auto" w:fill="F5F6F8"/>
          </w:tcPr>
          <w:p>
            <w:pPr>
              <w:spacing w:after="0" w:before="0"/>
            </w:pPr>
            <w:r/>
            <w:r>
              <w:rPr>
                <w:rFonts w:ascii="Calibri" w:hAnsi="Calibri"/>
                <w:b w:val="0"/>
                <w:sz w:val="19"/>
              </w:rPr>
              <w:t>Docker / container / image</w:t>
            </w:r>
          </w:p>
        </w:tc>
        <w:tc>
          <w:tcPr>
            <w:tcW w:type="dxa" w:w="6624"/>
            <w:shd w:val="clear" w:color="auto" w:fill="F5F6F8"/>
          </w:tcPr>
          <w:p>
            <w:pPr>
              <w:spacing w:after="0" w:before="0"/>
            </w:pPr>
            <w:r/>
            <w:r>
              <w:rPr>
                <w:rFonts w:ascii="Calibri" w:hAnsi="Calibri"/>
                <w:b w:val="0"/>
                <w:sz w:val="19"/>
              </w:rPr>
              <w:t xml:space="preserve">Packaging the app with everything it needs to run identically anywhere; the </w:t>
            </w:r>
            <w:r>
              <w:rPr>
                <w:rFonts w:ascii="Calibri" w:hAnsi="Calibri"/>
                <w:b/>
                <w:sz w:val="19"/>
              </w:rPr>
              <w:t>image</w:t>
            </w:r>
            <w:r>
              <w:rPr>
                <w:rFonts w:ascii="Calibri" w:hAnsi="Calibri"/>
                <w:b w:val="0"/>
                <w:sz w:val="19"/>
              </w:rPr>
              <w:t xml:space="preserve"> is the packaged artifact.</w:t>
            </w:r>
          </w:p>
        </w:tc>
      </w:tr>
      <w:tr>
        <w:tc>
          <w:tcPr>
            <w:tcW w:type="dxa" w:w="3456"/>
          </w:tcPr>
          <w:p>
            <w:pPr>
              <w:spacing w:after="0" w:before="0"/>
            </w:pPr>
            <w:r/>
            <w:r>
              <w:rPr>
                <w:rFonts w:ascii="Calibri" w:hAnsi="Calibri"/>
                <w:b w:val="0"/>
                <w:sz w:val="19"/>
              </w:rPr>
              <w:t>SAST / SonarQube / Trivy / GitLeaks</w:t>
            </w:r>
          </w:p>
        </w:tc>
        <w:tc>
          <w:tcPr>
            <w:tcW w:type="dxa" w:w="6624"/>
          </w:tcPr>
          <w:p>
            <w:pPr>
              <w:spacing w:after="0" w:before="0"/>
            </w:pPr>
            <w:r/>
            <w:r>
              <w:rPr>
                <w:rFonts w:ascii="Calibri" w:hAnsi="Calibri"/>
                <w:b w:val="0"/>
                <w:sz w:val="19"/>
              </w:rPr>
              <w:t>Security scanning in CI: static code analysis / image &amp; dependency scanning / secret-leak detection.</w:t>
            </w:r>
          </w:p>
        </w:tc>
      </w:tr>
      <w:tr>
        <w:tc>
          <w:tcPr>
            <w:tcW w:type="dxa" w:w="3456"/>
            <w:shd w:val="clear" w:color="auto" w:fill="F5F6F8"/>
          </w:tcPr>
          <w:p>
            <w:pPr>
              <w:spacing w:after="0" w:before="0"/>
            </w:pPr>
            <w:r/>
            <w:r>
              <w:rPr>
                <w:rFonts w:ascii="Calibri" w:hAnsi="Calibri"/>
                <w:b w:val="0"/>
                <w:sz w:val="19"/>
              </w:rPr>
              <w:t>ruff / eslint / tsc</w:t>
            </w:r>
          </w:p>
        </w:tc>
        <w:tc>
          <w:tcPr>
            <w:tcW w:type="dxa" w:w="6624"/>
            <w:shd w:val="clear" w:color="auto" w:fill="F5F6F8"/>
          </w:tcPr>
          <w:p>
            <w:pPr>
              <w:spacing w:after="0" w:before="0"/>
            </w:pPr>
            <w:r/>
            <w:r>
              <w:rPr>
                <w:rFonts w:ascii="Calibri" w:hAnsi="Calibri"/>
                <w:b w:val="0"/>
                <w:sz w:val="19"/>
              </w:rPr>
              <w:t>Automated code-quality/linting checks for Python and TypeScript.</w:t>
            </w:r>
          </w:p>
        </w:tc>
      </w:tr>
    </w:tbl>
    <w:p/>
    <w:p>
      <w:pPr>
        <w:spacing w:before="200" w:after="40"/>
      </w:pPr>
      <w:r>
        <w:rPr>
          <w:rFonts w:ascii="Calibri" w:hAnsi="Calibri"/>
          <w:b/>
          <w:color w:val="1A1A1A"/>
          <w:sz w:val="24"/>
        </w:rPr>
        <w:t>6.7 Governance &amp; compliance (Shell-specific)</w:t>
      </w:r>
    </w:p>
    <w:tbl>
      <w:tblPr>
        <w:tblStyle w:val="TableGrid"/>
        <w:tblW w:type="auto" w:w="0"/>
        <w:tblLayout w:type="autofit"/>
        <w:tblLook w:firstColumn="1" w:firstRow="1" w:lastColumn="0" w:lastRow="0" w:noHBand="0" w:noVBand="1" w:val="04A0"/>
      </w:tblPr>
      <w:tblGrid>
        <w:gridCol w:w="4320"/>
        <w:gridCol w:w="4320"/>
      </w:tblGrid>
      <w:tr>
        <w:tc>
          <w:tcPr>
            <w:tcW w:type="dxa" w:w="3312"/>
            <w:shd w:val="clear" w:color="auto" w:fill="C8102E"/>
          </w:tcPr>
          <w:p>
            <w:pPr>
              <w:spacing w:after="0" w:before="0"/>
            </w:pPr>
            <w:r/>
            <w:r>
              <w:rPr>
                <w:rFonts w:ascii="Calibri" w:hAnsi="Calibri"/>
                <w:b/>
                <w:color w:val="FFFFFF"/>
                <w:sz w:val="19"/>
              </w:rPr>
              <w:t>Term</w:t>
            </w:r>
          </w:p>
        </w:tc>
        <w:tc>
          <w:tcPr>
            <w:tcW w:type="dxa" w:w="6768"/>
            <w:shd w:val="clear" w:color="auto" w:fill="C8102E"/>
          </w:tcPr>
          <w:p>
            <w:pPr>
              <w:spacing w:after="0" w:before="0"/>
            </w:pPr>
            <w:r/>
            <w:r>
              <w:rPr>
                <w:rFonts w:ascii="Calibri" w:hAnsi="Calibri"/>
                <w:b/>
                <w:color w:val="FFFFFF"/>
                <w:sz w:val="19"/>
              </w:rPr>
              <w:t>Plain meaning</w:t>
            </w:r>
          </w:p>
        </w:tc>
      </w:tr>
      <w:tr>
        <w:tc>
          <w:tcPr>
            <w:tcW w:type="dxa" w:w="3312"/>
          </w:tcPr>
          <w:p>
            <w:pPr>
              <w:spacing w:after="0" w:before="0"/>
            </w:pPr>
            <w:r/>
            <w:r>
              <w:rPr>
                <w:rFonts w:ascii="Calibri" w:hAnsi="Calibri"/>
                <w:b w:val="0"/>
                <w:sz w:val="19"/>
              </w:rPr>
              <w:t>QBR (Quarterly Business Review)</w:t>
            </w:r>
          </w:p>
        </w:tc>
        <w:tc>
          <w:tcPr>
            <w:tcW w:type="dxa" w:w="6768"/>
          </w:tcPr>
          <w:p>
            <w:pPr>
              <w:spacing w:after="0" w:before="0"/>
            </w:pPr>
            <w:r/>
            <w:r>
              <w:rPr>
                <w:rFonts w:ascii="Calibri" w:hAnsi="Calibri"/>
                <w:b w:val="0"/>
                <w:sz w:val="19"/>
              </w:rPr>
              <w:t>The recurring vendor-performance meeting VendorPulse orchestrates.</w:t>
            </w:r>
          </w:p>
        </w:tc>
      </w:tr>
      <w:tr>
        <w:tc>
          <w:tcPr>
            <w:tcW w:type="dxa" w:w="3312"/>
            <w:shd w:val="clear" w:color="auto" w:fill="F5F6F8"/>
          </w:tcPr>
          <w:p>
            <w:pPr>
              <w:spacing w:after="0" w:before="0"/>
            </w:pPr>
            <w:r/>
            <w:r>
              <w:rPr>
                <w:rFonts w:ascii="Calibri" w:hAnsi="Calibri"/>
                <w:b w:val="0"/>
                <w:sz w:val="19"/>
              </w:rPr>
              <w:t>VMO (Vendor Management Office)</w:t>
            </w:r>
          </w:p>
        </w:tc>
        <w:tc>
          <w:tcPr>
            <w:tcW w:type="dxa" w:w="6768"/>
            <w:shd w:val="clear" w:color="auto" w:fill="F5F6F8"/>
          </w:tcPr>
          <w:p>
            <w:pPr>
              <w:spacing w:after="0" w:before="0"/>
            </w:pPr>
            <w:r/>
            <w:r>
              <w:rPr>
                <w:rFonts w:ascii="Calibri" w:hAnsi="Calibri"/>
                <w:b w:val="0"/>
                <w:sz w:val="19"/>
              </w:rPr>
              <w:t>The team that runs vendor governance — the primary users.</w:t>
            </w:r>
          </w:p>
        </w:tc>
      </w:tr>
      <w:tr>
        <w:tc>
          <w:tcPr>
            <w:tcW w:type="dxa" w:w="3312"/>
          </w:tcPr>
          <w:p>
            <w:pPr>
              <w:spacing w:after="0" w:before="0"/>
            </w:pPr>
            <w:r/>
            <w:r>
              <w:rPr>
                <w:rFonts w:ascii="Calibri" w:hAnsi="Calibri"/>
                <w:b w:val="0"/>
                <w:sz w:val="19"/>
              </w:rPr>
              <w:t>IRM 3.492</w:t>
            </w:r>
          </w:p>
        </w:tc>
        <w:tc>
          <w:tcPr>
            <w:tcW w:type="dxa" w:w="6768"/>
          </w:tcPr>
          <w:p>
            <w:pPr>
              <w:spacing w:after="0" w:before="0"/>
            </w:pPr>
            <w:r/>
            <w:r>
              <w:rPr>
                <w:rFonts w:ascii="Calibri" w:hAnsi="Calibri"/>
                <w:b w:val="0"/>
                <w:sz w:val="19"/>
              </w:rPr>
              <w:t>Shell's internal control standard for AI systems — the rulebook this design maps to.</w:t>
            </w:r>
          </w:p>
        </w:tc>
      </w:tr>
      <w:tr>
        <w:tc>
          <w:tcPr>
            <w:tcW w:type="dxa" w:w="3312"/>
            <w:shd w:val="clear" w:color="auto" w:fill="F5F6F8"/>
          </w:tcPr>
          <w:p>
            <w:pPr>
              <w:spacing w:after="0" w:before="0"/>
            </w:pPr>
            <w:r/>
            <w:r>
              <w:rPr>
                <w:rFonts w:ascii="Calibri" w:hAnsi="Calibri"/>
                <w:b w:val="0"/>
                <w:sz w:val="19"/>
              </w:rPr>
              <w:t>NIST AI RMF / ISO 42001</w:t>
            </w:r>
          </w:p>
        </w:tc>
        <w:tc>
          <w:tcPr>
            <w:tcW w:type="dxa" w:w="6768"/>
            <w:shd w:val="clear" w:color="auto" w:fill="F5F6F8"/>
          </w:tcPr>
          <w:p>
            <w:pPr>
              <w:spacing w:after="0" w:before="0"/>
            </w:pPr>
            <w:r/>
            <w:r>
              <w:rPr>
                <w:rFonts w:ascii="Calibri" w:hAnsi="Calibri"/>
                <w:b w:val="0"/>
                <w:sz w:val="19"/>
              </w:rPr>
              <w:t>External AI risk-management / AI-management-system standards that IRM 3.492 is built on.</w:t>
            </w:r>
          </w:p>
        </w:tc>
      </w:tr>
      <w:tr>
        <w:tc>
          <w:tcPr>
            <w:tcW w:type="dxa" w:w="3312"/>
          </w:tcPr>
          <w:p>
            <w:pPr>
              <w:spacing w:after="0" w:before="0"/>
            </w:pPr>
            <w:r/>
            <w:r>
              <w:rPr>
                <w:rFonts w:ascii="Calibri" w:hAnsi="Calibri"/>
                <w:b w:val="0"/>
                <w:sz w:val="19"/>
              </w:rPr>
              <w:t>EU AI Act</w:t>
            </w:r>
          </w:p>
        </w:tc>
        <w:tc>
          <w:tcPr>
            <w:tcW w:type="dxa" w:w="6768"/>
          </w:tcPr>
          <w:p>
            <w:pPr>
              <w:spacing w:after="0" w:before="0"/>
            </w:pPr>
            <w:r/>
            <w:r>
              <w:rPr>
                <w:rFonts w:ascii="Calibri" w:hAnsi="Calibri"/>
                <w:b w:val="0"/>
                <w:sz w:val="19"/>
              </w:rPr>
              <w:t>European regulation on AI use; requires transparency (e.g. labelling AI-generated content).</w:t>
            </w:r>
          </w:p>
        </w:tc>
      </w:tr>
      <w:tr>
        <w:tc>
          <w:tcPr>
            <w:tcW w:type="dxa" w:w="3312"/>
            <w:shd w:val="clear" w:color="auto" w:fill="F5F6F8"/>
          </w:tcPr>
          <w:p>
            <w:pPr>
              <w:spacing w:after="0" w:before="0"/>
            </w:pPr>
            <w:r/>
            <w:r>
              <w:rPr>
                <w:rFonts w:ascii="Calibri" w:hAnsi="Calibri"/>
                <w:b w:val="0"/>
                <w:sz w:val="19"/>
              </w:rPr>
              <w:t>AI Registry / ServiceNow / IAQ</w:t>
            </w:r>
          </w:p>
        </w:tc>
        <w:tc>
          <w:tcPr>
            <w:tcW w:type="dxa" w:w="6768"/>
            <w:shd w:val="clear" w:color="auto" w:fill="F5F6F8"/>
          </w:tcPr>
          <w:p>
            <w:pPr>
              <w:spacing w:after="0" w:before="0"/>
            </w:pPr>
            <w:r/>
            <w:r>
              <w:rPr>
                <w:rFonts w:ascii="Calibri" w:hAnsi="Calibri"/>
                <w:b w:val="0"/>
                <w:sz w:val="19"/>
              </w:rPr>
              <w:t xml:space="preserve">Shell's mandatory AI-system registration and risk-assessment (IRM Assessment Questionnaire) steps — must be done </w:t>
            </w:r>
            <w:r>
              <w:rPr>
                <w:rFonts w:ascii="Calibri" w:hAnsi="Calibri"/>
                <w:b/>
                <w:sz w:val="19"/>
              </w:rPr>
              <w:t>before production</w:t>
            </w:r>
            <w:r>
              <w:rPr>
                <w:rFonts w:ascii="Calibri" w:hAnsi="Calibri"/>
                <w:b w:val="0"/>
                <w:sz w:val="19"/>
              </w:rPr>
              <w:t>.</w:t>
            </w:r>
          </w:p>
        </w:tc>
      </w:tr>
      <w:tr>
        <w:tc>
          <w:tcPr>
            <w:tcW w:type="dxa" w:w="3312"/>
          </w:tcPr>
          <w:p>
            <w:pPr>
              <w:spacing w:after="0" w:before="0"/>
            </w:pPr>
            <w:r/>
            <w:r>
              <w:rPr>
                <w:rFonts w:ascii="Calibri" w:hAnsi="Calibri"/>
                <w:b w:val="0"/>
                <w:sz w:val="19"/>
              </w:rPr>
              <w:t>Shell.AI / TRB</w:t>
            </w:r>
          </w:p>
        </w:tc>
        <w:tc>
          <w:tcPr>
            <w:tcW w:type="dxa" w:w="6768"/>
          </w:tcPr>
          <w:p>
            <w:pPr>
              <w:spacing w:after="0" w:before="0"/>
            </w:pPr>
            <w:r/>
            <w:r>
              <w:rPr>
                <w:rFonts w:ascii="Calibri" w:hAnsi="Calibri"/>
                <w:b w:val="0"/>
                <w:sz w:val="19"/>
              </w:rPr>
              <w:t>Shell's AI governance body / Technology Review Board — must approve the model and design before production.</w:t>
            </w:r>
          </w:p>
        </w:tc>
      </w:tr>
      <w:tr>
        <w:tc>
          <w:tcPr>
            <w:tcW w:type="dxa" w:w="3312"/>
            <w:shd w:val="clear" w:color="auto" w:fill="F5F6F8"/>
          </w:tcPr>
          <w:p>
            <w:pPr>
              <w:spacing w:after="0" w:before="0"/>
            </w:pPr>
            <w:r/>
            <w:r>
              <w:rPr>
                <w:rFonts w:ascii="Calibri" w:hAnsi="Calibri"/>
                <w:b w:val="0"/>
                <w:sz w:val="19"/>
              </w:rPr>
              <w:t>IDT</w:t>
            </w:r>
          </w:p>
        </w:tc>
        <w:tc>
          <w:tcPr>
            <w:tcW w:type="dxa" w:w="6768"/>
            <w:shd w:val="clear" w:color="auto" w:fill="F5F6F8"/>
          </w:tcPr>
          <w:p>
            <w:pPr>
              <w:spacing w:after="0" w:before="0"/>
            </w:pPr>
            <w:r/>
            <w:r>
              <w:rPr>
                <w:rFonts w:ascii="Calibri" w:hAnsi="Calibri"/>
                <w:b w:val="0"/>
                <w:sz w:val="19"/>
              </w:rPr>
              <w:t xml:space="preserve">Shell's Information &amp; Digital Technology org — production </w:t>
            </w:r>
            <w:r>
              <w:rPr>
                <w:rFonts w:ascii="Calibri" w:hAnsi="Calibri"/>
                <w:b/>
                <w:sz w:val="19"/>
              </w:rPr>
              <w:t>must</w:t>
            </w:r>
            <w:r>
              <w:rPr>
                <w:rFonts w:ascii="Calibri" w:hAnsi="Calibri"/>
                <w:b w:val="0"/>
                <w:sz w:val="19"/>
              </w:rPr>
              <w:t xml:space="preserve"> run on IDT-managed Azure/Foundry.</w:t>
            </w:r>
          </w:p>
        </w:tc>
      </w:tr>
      <w:tr>
        <w:tc>
          <w:tcPr>
            <w:tcW w:type="dxa" w:w="3312"/>
          </w:tcPr>
          <w:p>
            <w:pPr>
              <w:spacing w:after="0" w:before="0"/>
            </w:pPr>
            <w:r/>
            <w:r>
              <w:rPr>
                <w:rFonts w:ascii="Calibri" w:hAnsi="Calibri"/>
                <w:b w:val="0"/>
                <w:sz w:val="19"/>
              </w:rPr>
              <w:t>DPA / no-training assurance</w:t>
            </w:r>
          </w:p>
        </w:tc>
        <w:tc>
          <w:tcPr>
            <w:tcW w:type="dxa" w:w="6768"/>
          </w:tcPr>
          <w:p>
            <w:pPr>
              <w:spacing w:after="0" w:before="0"/>
            </w:pPr>
            <w:r/>
            <w:r>
              <w:rPr>
                <w:rFonts w:ascii="Calibri" w:hAnsi="Calibri"/>
                <w:b w:val="0"/>
                <w:sz w:val="19"/>
              </w:rPr>
              <w:t xml:space="preserve">Data Processing Agreement; the contractual guarantee that Shell's data is </w:t>
            </w:r>
            <w:r>
              <w:rPr>
                <w:rFonts w:ascii="Calibri" w:hAnsi="Calibri"/>
                <w:b/>
                <w:sz w:val="19"/>
              </w:rPr>
              <w:t>not used to train</w:t>
            </w:r>
            <w:r>
              <w:rPr>
                <w:rFonts w:ascii="Calibri" w:hAnsi="Calibri"/>
                <w:b w:val="0"/>
                <w:sz w:val="19"/>
              </w:rPr>
              <w:t xml:space="preserve"> any model.</w:t>
            </w:r>
          </w:p>
        </w:tc>
      </w:tr>
      <w:tr>
        <w:tc>
          <w:tcPr>
            <w:tcW w:type="dxa" w:w="3312"/>
            <w:shd w:val="clear" w:color="auto" w:fill="F5F6F8"/>
          </w:tcPr>
          <w:p>
            <w:pPr>
              <w:spacing w:after="0" w:before="0"/>
            </w:pPr>
            <w:r/>
            <w:r>
              <w:rPr>
                <w:rFonts w:ascii="Calibri" w:hAnsi="Calibri"/>
                <w:b w:val="0"/>
                <w:sz w:val="19"/>
              </w:rPr>
              <w:t>Data classification</w:t>
            </w:r>
          </w:p>
        </w:tc>
        <w:tc>
          <w:tcPr>
            <w:tcW w:type="dxa" w:w="6768"/>
            <w:shd w:val="clear" w:color="auto" w:fill="F5F6F8"/>
          </w:tcPr>
          <w:p>
            <w:pPr>
              <w:spacing w:after="0" w:before="0"/>
            </w:pPr>
            <w:r/>
            <w:r>
              <w:rPr>
                <w:rFonts w:ascii="Calibri" w:hAnsi="Calibri"/>
                <w:b w:val="0"/>
                <w:sz w:val="19"/>
              </w:rPr>
              <w:t xml:space="preserve">Labelling data by sensitivity — scorecards are likely </w:t>
            </w:r>
            <w:r>
              <w:rPr>
                <w:rFonts w:ascii="Calibri" w:hAnsi="Calibri"/>
                <w:b/>
                <w:sz w:val="19"/>
              </w:rPr>
              <w:t>Commercially Sensitive</w:t>
            </w:r>
            <w:r>
              <w:rPr>
                <w:rFonts w:ascii="Calibri" w:hAnsi="Calibri"/>
                <w:b w:val="0"/>
                <w:sz w:val="19"/>
              </w:rPr>
              <w:t xml:space="preserve">, attendee data is </w:t>
            </w:r>
            <w:r>
              <w:rPr>
                <w:rFonts w:ascii="Calibri" w:hAnsi="Calibri"/>
                <w:b/>
                <w:sz w:val="19"/>
              </w:rPr>
              <w:t>PII/GDPR</w:t>
            </w:r>
            <w:r>
              <w:rPr>
                <w:rFonts w:ascii="Calibri" w:hAnsi="Calibri"/>
                <w:b w:val="0"/>
                <w:sz w:val="19"/>
              </w:rPr>
              <w:t>. (No SOX / export-controlled data is in scope.)</w:t>
            </w:r>
          </w:p>
        </w:tc>
      </w:tr>
    </w:tbl>
    <w:p/>
    <w:p>
      <w:pPr>
        <w:spacing w:before="320" w:after="80"/>
      </w:pPr>
      <w:r>
        <w:rPr>
          <w:rFonts w:ascii="Calibri" w:hAnsi="Calibri"/>
          <w:b/>
          <w:color w:val="C8102E"/>
          <w:sz w:val="32"/>
        </w:rPr>
        <w:t>7. Anticipated questions &amp; crisp answers</w:t>
      </w:r>
    </w:p>
    <w:p>
      <w:pPr>
        <w:spacing w:after="120"/>
      </w:pPr>
      <w:r>
        <w:rPr>
          <w:rFonts w:ascii="Calibri" w:hAnsi="Calibri"/>
          <w:b w:val="0"/>
          <w:color w:val="1A1A1A"/>
          <w:sz w:val="20"/>
        </w:rPr>
        <w:t>Organised by who's likely to ask. Answers are written to be said out loud.</w:t>
      </w:r>
    </w:p>
    <w:p>
      <w:pPr>
        <w:spacing w:before="200" w:after="40"/>
      </w:pPr>
      <w:r>
        <w:rPr>
          <w:rFonts w:ascii="Calibri" w:hAnsi="Calibri"/>
          <w:b/>
          <w:color w:val="1A1A1A"/>
          <w:sz w:val="24"/>
        </w:rPr>
        <w:t>7.1 From the Product Owner (value, scope, users)</w:t>
      </w:r>
    </w:p>
    <w:p>
      <w:pPr>
        <w:spacing w:before="160" w:after="20"/>
      </w:pPr>
      <w:r>
        <w:rPr>
          <w:rFonts w:ascii="Calibri" w:hAnsi="Calibri"/>
          <w:b/>
          <w:color w:val="C8102E"/>
          <w:sz w:val="20"/>
        </w:rPr>
        <w:t>Q.  What does this actually save us?</w:t>
      </w:r>
    </w:p>
    <w:p>
      <w:pPr>
        <w:spacing w:after="80"/>
        <w:ind w:left="403"/>
      </w:pPr>
      <w:r>
        <w:rPr>
          <w:rFonts w:ascii="Calibri" w:hAnsi="Calibri"/>
          <w:b w:val="0"/>
          <w:color w:val="1A1A1A"/>
          <w:sz w:val="20"/>
        </w:rPr>
        <w:t>It removes the manual chasing in every QBR — scheduling, scorecard collection, compiling, briefing, minutes — into one guided, auditable workflow. Coordinators approve drafts instead of writing from scratch; leadership gets consistent briefs; nothing falls through the cracks because the workflow enforces every step.</w:t>
      </w:r>
    </w:p>
    <w:p>
      <w:pPr>
        <w:spacing w:before="160" w:after="20"/>
      </w:pPr>
      <w:r>
        <w:rPr>
          <w:rFonts w:ascii="Calibri" w:hAnsi="Calibri"/>
          <w:b/>
          <w:color w:val="C8102E"/>
          <w:sz w:val="20"/>
        </w:rPr>
        <w:t>Q.  Who are the users and how do they log in?</w:t>
      </w:r>
    </w:p>
    <w:p>
      <w:pPr>
        <w:spacing w:after="80"/>
        <w:ind w:left="403"/>
      </w:pPr>
      <w:r>
        <w:rPr>
          <w:rFonts w:ascii="Calibri" w:hAnsi="Calibri"/>
          <w:b w:val="0"/>
          <w:color w:val="1A1A1A"/>
          <w:sz w:val="20"/>
        </w:rPr>
        <w:t>Three roles — VMO Coordinator, Sponsor, and Viewer — all logging in with their normal Shell account via single sign-on. No new passwords, permissions are role-based.</w:t>
      </w:r>
    </w:p>
    <w:p>
      <w:pPr>
        <w:spacing w:before="160" w:after="20"/>
      </w:pPr>
      <w:r>
        <w:rPr>
          <w:rFonts w:ascii="Calibri" w:hAnsi="Calibri"/>
          <w:b/>
          <w:color w:val="C8102E"/>
          <w:sz w:val="20"/>
        </w:rPr>
        <w:t>Q.  How much of this is AI 'making decisions'?</w:t>
      </w:r>
    </w:p>
    <w:p>
      <w:pPr>
        <w:spacing w:after="80"/>
        <w:ind w:left="403"/>
      </w:pPr>
      <w:r>
        <w:rPr>
          <w:rFonts w:ascii="Calibri" w:hAnsi="Calibri"/>
          <w:b/>
          <w:color w:val="1A1A1A"/>
          <w:sz w:val="20"/>
        </w:rPr>
        <w:t>None.</w:t>
      </w:r>
      <w:r>
        <w:rPr>
          <w:rFonts w:ascii="Calibri" w:hAnsi="Calibri"/>
          <w:b w:val="0"/>
          <w:color w:val="1A1A1A"/>
          <w:sz w:val="20"/>
        </w:rPr>
        <w:t xml:space="preserve"> Every decision — slot ranking, score validation, workflow progression — is deterministic code. The AI only drafts human-readable text, and a person approves it before anything happens.</w:t>
      </w:r>
    </w:p>
    <w:p>
      <w:pPr>
        <w:spacing w:before="160" w:after="20"/>
      </w:pPr>
      <w:r>
        <w:rPr>
          <w:rFonts w:ascii="Calibri" w:hAnsi="Calibri"/>
          <w:b/>
          <w:color w:val="C8102E"/>
          <w:sz w:val="20"/>
        </w:rPr>
        <w:t>Q.  What's live today vs still to build?</w:t>
      </w:r>
    </w:p>
    <w:p>
      <w:pPr>
        <w:spacing w:after="80"/>
        <w:ind w:left="403"/>
      </w:pPr>
      <w:r>
        <w:rPr>
          <w:rFonts w:ascii="Calibri" w:hAnsi="Calibri"/>
          <w:b w:val="0"/>
          <w:color w:val="1A1A1A"/>
          <w:sz w:val="20"/>
        </w:rPr>
        <w:t>A working proof of concept proves the agentic pattern and the approval gate on real Foundry (2 agents). Production work — full Azure infra, identity hardening, database migration, porting all agents, and clearing Shell's compliance gates — is the build phase ahead.</w:t>
      </w:r>
    </w:p>
    <w:p>
      <w:pPr>
        <w:spacing w:before="200" w:after="40"/>
      </w:pPr>
      <w:r>
        <w:rPr>
          <w:rFonts w:ascii="Calibri" w:hAnsi="Calibri"/>
          <w:b/>
          <w:color w:val="1A1A1A"/>
          <w:sz w:val="24"/>
        </w:rPr>
        <w:t>7.2 From the Solution Architect (hosting, integration, data)</w:t>
      </w:r>
    </w:p>
    <w:p>
      <w:pPr>
        <w:spacing w:before="160" w:after="20"/>
      </w:pPr>
      <w:r>
        <w:rPr>
          <w:rFonts w:ascii="Calibri" w:hAnsi="Calibri"/>
          <w:b/>
          <w:color w:val="C8102E"/>
          <w:sz w:val="20"/>
        </w:rPr>
        <w:t>Q.  Is this serverless, PaaS, or a VM? And why?</w:t>
      </w:r>
    </w:p>
    <w:p>
      <w:pPr>
        <w:spacing w:after="80"/>
        <w:ind w:left="403"/>
      </w:pPr>
      <w:r>
        <w:rPr>
          <w:rFonts w:ascii="Calibri" w:hAnsi="Calibri"/>
          <w:b w:val="0"/>
          <w:color w:val="1A1A1A"/>
          <w:sz w:val="20"/>
        </w:rPr>
        <w:t xml:space="preserve">Cloud IaaS — a single right-sized </w:t>
      </w:r>
      <w:r>
        <w:rPr>
          <w:rFonts w:ascii="Calibri" w:hAnsi="Calibri"/>
          <w:b/>
          <w:color w:val="1A1A1A"/>
          <w:sz w:val="20"/>
        </w:rPr>
        <w:t>Azure VM</w:t>
      </w:r>
      <w:r>
        <w:rPr>
          <w:rFonts w:ascii="Calibri" w:hAnsi="Calibri"/>
          <w:b w:val="0"/>
          <w:color w:val="1A1A1A"/>
          <w:sz w:val="20"/>
        </w:rPr>
        <w:t xml:space="preserve"> in a private VNet in Shell's subscription. We chose a VM for the simplest security review and full control; the app is containerised so we can move to Container Apps (PaaS) or a Foundry Hosted Agent later without a rewrite. It is </w:t>
      </w:r>
      <w:r>
        <w:rPr>
          <w:rFonts w:ascii="Calibri" w:hAnsi="Calibri"/>
          <w:b/>
          <w:color w:val="1A1A1A"/>
          <w:sz w:val="20"/>
        </w:rPr>
        <w:t>not</w:t>
      </w:r>
      <w:r>
        <w:rPr>
          <w:rFonts w:ascii="Calibri" w:hAnsi="Calibri"/>
          <w:b w:val="0"/>
          <w:color w:val="1A1A1A"/>
          <w:sz w:val="20"/>
        </w:rPr>
        <w:t xml:space="preserve"> on-prem and </w:t>
      </w:r>
      <w:r>
        <w:rPr>
          <w:rFonts w:ascii="Calibri" w:hAnsi="Calibri"/>
          <w:b/>
          <w:color w:val="1A1A1A"/>
          <w:sz w:val="20"/>
        </w:rPr>
        <w:t>not</w:t>
      </w:r>
      <w:r>
        <w:rPr>
          <w:rFonts w:ascii="Calibri" w:hAnsi="Calibri"/>
          <w:b w:val="0"/>
          <w:color w:val="1A1A1A"/>
          <w:sz w:val="20"/>
        </w:rPr>
        <w:t xml:space="preserve"> serverless today.</w:t>
      </w:r>
    </w:p>
    <w:p>
      <w:pPr>
        <w:spacing w:before="160" w:after="20"/>
      </w:pPr>
      <w:r>
        <w:rPr>
          <w:rFonts w:ascii="Calibri" w:hAnsi="Calibri"/>
          <w:b/>
          <w:color w:val="C8102E"/>
          <w:sz w:val="20"/>
        </w:rPr>
        <w:t>Q.  How does it talk to Microsoft 365 / our data?</w:t>
      </w:r>
    </w:p>
    <w:p>
      <w:pPr>
        <w:spacing w:after="80"/>
        <w:ind w:left="403"/>
      </w:pPr>
      <w:r>
        <w:rPr>
          <w:rFonts w:ascii="Calibri" w:hAnsi="Calibri"/>
          <w:b w:val="0"/>
          <w:color w:val="1A1A1A"/>
          <w:sz w:val="20"/>
        </w:rPr>
        <w:t xml:space="preserve">Through </w:t>
      </w:r>
      <w:r>
        <w:rPr>
          <w:rFonts w:ascii="Calibri" w:hAnsi="Calibri"/>
          <w:b/>
          <w:color w:val="1A1A1A"/>
          <w:sz w:val="20"/>
        </w:rPr>
        <w:t>Microsoft Graph</w:t>
      </w:r>
      <w:r>
        <w:rPr>
          <w:rFonts w:ascii="Calibri" w:hAnsi="Calibri"/>
          <w:b w:val="0"/>
          <w:color w:val="1A1A1A"/>
          <w:sz w:val="20"/>
        </w:rPr>
        <w:t xml:space="preserve">, authenticating app-only with a </w:t>
      </w:r>
      <w:r>
        <w:rPr>
          <w:rFonts w:ascii="Calibri" w:hAnsi="Calibri"/>
          <w:b/>
          <w:color w:val="1A1A1A"/>
          <w:sz w:val="20"/>
        </w:rPr>
        <w:t>certificate</w:t>
      </w:r>
      <w:r>
        <w:rPr>
          <w:rFonts w:ascii="Calibri" w:hAnsi="Calibri"/>
          <w:b w:val="0"/>
          <w:color w:val="1A1A1A"/>
          <w:sz w:val="20"/>
        </w:rPr>
        <w:t xml:space="preserve">, scoped to a single mailbox via an Application Access Policy. Database, Key Vault, and Foundry are reached over </w:t>
      </w:r>
      <w:r>
        <w:rPr>
          <w:rFonts w:ascii="Calibri" w:hAnsi="Calibri"/>
          <w:b/>
          <w:color w:val="1A1A1A"/>
          <w:sz w:val="20"/>
        </w:rPr>
        <w:t>Private Endpoints</w:t>
      </w:r>
      <w:r>
        <w:rPr>
          <w:rFonts w:ascii="Calibri" w:hAnsi="Calibri"/>
          <w:b w:val="0"/>
          <w:color w:val="1A1A1A"/>
          <w:sz w:val="20"/>
        </w:rPr>
        <w:t xml:space="preserve"> — nothing sensitive crosses the public internet.</w:t>
      </w:r>
    </w:p>
    <w:p>
      <w:pPr>
        <w:spacing w:before="160" w:after="20"/>
      </w:pPr>
      <w:r>
        <w:rPr>
          <w:rFonts w:ascii="Calibri" w:hAnsi="Calibri"/>
          <w:b/>
          <w:color w:val="C8102E"/>
          <w:sz w:val="20"/>
        </w:rPr>
        <w:t>Q.  Where does our data live, and does it leave our tenant?</w:t>
      </w:r>
    </w:p>
    <w:p>
      <w:pPr>
        <w:spacing w:after="80"/>
        <w:ind w:left="403"/>
      </w:pPr>
      <w:r>
        <w:rPr>
          <w:rFonts w:ascii="Calibri" w:hAnsi="Calibri"/>
          <w:b w:val="0"/>
          <w:color w:val="1A1A1A"/>
          <w:sz w:val="20"/>
        </w:rPr>
        <w:t xml:space="preserve">Everything stays </w:t>
      </w:r>
      <w:r>
        <w:rPr>
          <w:rFonts w:ascii="Calibri" w:hAnsi="Calibri"/>
          <w:b/>
          <w:color w:val="1A1A1A"/>
          <w:sz w:val="20"/>
        </w:rPr>
        <w:t>single-tenant inside Shell's Azure and chosen region</w:t>
      </w:r>
      <w:r>
        <w:rPr>
          <w:rFonts w:ascii="Calibri" w:hAnsi="Calibri"/>
          <w:b w:val="0"/>
          <w:color w:val="1A1A1A"/>
          <w:sz w:val="20"/>
        </w:rPr>
        <w:t>. Foundry runs in Shell's tenant. Data is not used for model training (confirmed in the DPA). Secrets live in Key Vault, accessed via Managed Identity — none in code.</w:t>
      </w:r>
    </w:p>
    <w:p>
      <w:pPr>
        <w:spacing w:before="160" w:after="20"/>
      </w:pPr>
      <w:r>
        <w:rPr>
          <w:rFonts w:ascii="Calibri" w:hAnsi="Calibri"/>
          <w:b/>
          <w:color w:val="C8102E"/>
          <w:sz w:val="20"/>
        </w:rPr>
        <w:t>Q.  How do you handle secrets, identity, and audit?</w:t>
      </w:r>
    </w:p>
    <w:p>
      <w:pPr>
        <w:spacing w:after="80"/>
        <w:ind w:left="403"/>
      </w:pPr>
      <w:r>
        <w:rPr>
          <w:rFonts w:ascii="Calibri" w:hAnsi="Calibri"/>
          <w:b w:val="0"/>
          <w:color w:val="1A1A1A"/>
          <w:sz w:val="20"/>
        </w:rPr>
        <w:t xml:space="preserve">Secrets in </w:t>
      </w:r>
      <w:r>
        <w:rPr>
          <w:rFonts w:ascii="Calibri" w:hAnsi="Calibri"/>
          <w:b/>
          <w:color w:val="1A1A1A"/>
          <w:sz w:val="20"/>
        </w:rPr>
        <w:t>Key Vault</w:t>
      </w:r>
      <w:r>
        <w:rPr>
          <w:rFonts w:ascii="Calibri" w:hAnsi="Calibri"/>
          <w:b w:val="0"/>
          <w:color w:val="1A1A1A"/>
          <w:sz w:val="20"/>
        </w:rPr>
        <w:t xml:space="preserve"> via </w:t>
      </w:r>
      <w:r>
        <w:rPr>
          <w:rFonts w:ascii="Calibri" w:hAnsi="Calibri"/>
          <w:b/>
          <w:color w:val="1A1A1A"/>
          <w:sz w:val="20"/>
        </w:rPr>
        <w:t>Managed Identity</w:t>
      </w:r>
      <w:r>
        <w:rPr>
          <w:rFonts w:ascii="Calibri" w:hAnsi="Calibri"/>
          <w:b w:val="0"/>
          <w:color w:val="1A1A1A"/>
          <w:sz w:val="20"/>
        </w:rPr>
        <w:t xml:space="preserve"> (no stored passwords). Users authenticate with </w:t>
      </w:r>
      <w:r>
        <w:rPr>
          <w:rFonts w:ascii="Calibri" w:hAnsi="Calibri"/>
          <w:b/>
          <w:color w:val="1A1A1A"/>
          <w:sz w:val="20"/>
        </w:rPr>
        <w:t>Entra SSO + RBAC</w:t>
      </w:r>
      <w:r>
        <w:rPr>
          <w:rFonts w:ascii="Calibri" w:hAnsi="Calibri"/>
          <w:b w:val="0"/>
          <w:color w:val="1A1A1A"/>
          <w:sz w:val="20"/>
        </w:rPr>
        <w:t xml:space="preserve">. Every agent run and action is logged with correlation IDs to an immutable </w:t>
      </w:r>
      <w:r>
        <w:rPr>
          <w:rFonts w:ascii="Calibri" w:hAnsi="Calibri"/>
          <w:b/>
          <w:color w:val="1A1A1A"/>
          <w:sz w:val="20"/>
        </w:rPr>
        <w:t>App Insights / Log Analytics</w:t>
      </w:r>
      <w:r>
        <w:rPr>
          <w:rFonts w:ascii="Calibri" w:hAnsi="Calibri"/>
          <w:b w:val="0"/>
          <w:color w:val="1A1A1A"/>
          <w:sz w:val="20"/>
        </w:rPr>
        <w:t xml:space="preserve"> audit trail.</w:t>
      </w:r>
    </w:p>
    <w:p>
      <w:pPr>
        <w:spacing w:before="160" w:after="20"/>
      </w:pPr>
      <w:r>
        <w:rPr>
          <w:rFonts w:ascii="Calibri" w:hAnsi="Calibri"/>
          <w:b/>
          <w:color w:val="C8102E"/>
          <w:sz w:val="20"/>
        </w:rPr>
        <w:t>Q.  What about the missing automated tests / tech debt?</w:t>
      </w:r>
    </w:p>
    <w:p>
      <w:pPr>
        <w:spacing w:after="80"/>
        <w:ind w:left="403"/>
      </w:pPr>
      <w:r>
        <w:rPr>
          <w:rFonts w:ascii="Calibri" w:hAnsi="Calibri"/>
          <w:b w:val="0"/>
          <w:color w:val="1A1A1A"/>
          <w:sz w:val="20"/>
        </w:rPr>
        <w:t xml:space="preserve">Honestly stated: the PoC has no automated suite yet. The production CI pipeline adds a </w:t>
      </w:r>
      <w:r>
        <w:rPr>
          <w:rFonts w:ascii="Calibri" w:hAnsi="Calibri"/>
          <w:b/>
          <w:color w:val="1A1A1A"/>
          <w:sz w:val="20"/>
        </w:rPr>
        <w:t>regression stage</w:t>
      </w:r>
      <w:r>
        <w:rPr>
          <w:rFonts w:ascii="Calibri" w:hAnsi="Calibri"/>
          <w:b w:val="0"/>
          <w:color w:val="1A1A1A"/>
          <w:sz w:val="20"/>
        </w:rPr>
        <w:t xml:space="preserve"> that gates every deploy and must cover the approval gate, the deterministic path, and the response contract before any agent change ships.</w:t>
      </w:r>
    </w:p>
    <w:p>
      <w:pPr>
        <w:spacing w:before="200" w:after="40"/>
      </w:pPr>
      <w:r>
        <w:rPr>
          <w:rFonts w:ascii="Calibri" w:hAnsi="Calibri"/>
          <w:b/>
          <w:color w:val="1A1A1A"/>
          <w:sz w:val="24"/>
        </w:rPr>
        <w:t>7.3 From the AI Architect (the agentic layer, safety, model)</w:t>
      </w:r>
    </w:p>
    <w:p>
      <w:pPr>
        <w:spacing w:before="160" w:after="20"/>
      </w:pPr>
      <w:r>
        <w:rPr>
          <w:rFonts w:ascii="Calibri" w:hAnsi="Calibri"/>
          <w:b/>
          <w:color w:val="C8102E"/>
          <w:sz w:val="20"/>
        </w:rPr>
        <w:t>Q.  Why MAF over just calling the model directly?</w:t>
      </w:r>
    </w:p>
    <w:p>
      <w:pPr>
        <w:spacing w:after="80"/>
        <w:ind w:left="403"/>
      </w:pPr>
      <w:r>
        <w:rPr>
          <w:rFonts w:ascii="Calibri" w:hAnsi="Calibri"/>
          <w:b w:val="0"/>
          <w:color w:val="1A1A1A"/>
          <w:sz w:val="20"/>
        </w:rPr>
        <w:t>MAF gives us platform-built human-in-the-loop approval, content safety, and on-by-default tracing — so we hand-roll fewer controls, which means a smaller surface for Shell's code-security review. We proved both the direct-call and the MAF path in the PoC; production builds on MAF, with direct-Responses kept as a fallback.</w:t>
      </w:r>
    </w:p>
    <w:p>
      <w:pPr>
        <w:spacing w:before="160" w:after="20"/>
      </w:pPr>
      <w:r>
        <w:rPr>
          <w:rFonts w:ascii="Calibri" w:hAnsi="Calibri"/>
          <w:b/>
          <w:color w:val="C8102E"/>
          <w:sz w:val="20"/>
        </w:rPr>
        <w:t>Q.  How do you stop hallucinations from doing damage?</w:t>
      </w:r>
    </w:p>
    <w:p>
      <w:pPr>
        <w:spacing w:after="80"/>
        <w:ind w:left="403"/>
      </w:pPr>
      <w:r>
        <w:rPr>
          <w:rFonts w:ascii="Calibri" w:hAnsi="Calibri"/>
          <w:b w:val="0"/>
          <w:color w:val="1A1A1A"/>
          <w:sz w:val="20"/>
        </w:rPr>
        <w:t xml:space="preserve">The model never touches facts, numbers, IDs, or decisions — those are deterministic code. The LLM only produces draft prose, which is grounded in supplied context and </w:t>
      </w:r>
      <w:r>
        <w:rPr>
          <w:rFonts w:ascii="Calibri" w:hAnsi="Calibri"/>
          <w:b/>
          <w:color w:val="1A1A1A"/>
          <w:sz w:val="20"/>
        </w:rPr>
        <w:t>always</w:t>
      </w:r>
      <w:r>
        <w:rPr>
          <w:rFonts w:ascii="Calibri" w:hAnsi="Calibri"/>
          <w:b w:val="0"/>
          <w:color w:val="1A1A1A"/>
          <w:sz w:val="20"/>
        </w:rPr>
        <w:t xml:space="preserve"> human-approved before use. So a hallucination is a wording a reviewer rejects, never a wrong action taken.</w:t>
      </w:r>
    </w:p>
    <w:p>
      <w:pPr>
        <w:spacing w:before="160" w:after="20"/>
      </w:pPr>
      <w:r>
        <w:rPr>
          <w:rFonts w:ascii="Calibri" w:hAnsi="Calibri"/>
          <w:b/>
          <w:color w:val="C8102E"/>
          <w:sz w:val="20"/>
        </w:rPr>
        <w:t>Q.  Which model, and are we locked into Microsoft?</w:t>
      </w:r>
    </w:p>
    <w:p>
      <w:pPr>
        <w:spacing w:after="80"/>
        <w:ind w:left="403"/>
      </w:pPr>
      <w:r>
        <w:rPr>
          <w:rFonts w:ascii="Calibri" w:hAnsi="Calibri"/>
          <w:b w:val="0"/>
          <w:color w:val="1A1A1A"/>
          <w:sz w:val="20"/>
        </w:rPr>
        <w:t xml:space="preserve">GPT-4o (GA) deployed in Shell's Foundry today. We're </w:t>
      </w:r>
      <w:r>
        <w:rPr>
          <w:rFonts w:ascii="Calibri" w:hAnsi="Calibri"/>
          <w:b/>
          <w:color w:val="1A1A1A"/>
          <w:sz w:val="20"/>
        </w:rPr>
        <w:t>not locked in</w:t>
      </w:r>
      <w:r>
        <w:rPr>
          <w:rFonts w:ascii="Calibri" w:hAnsi="Calibri"/>
          <w:b w:val="0"/>
          <w:color w:val="1A1A1A"/>
          <w:sz w:val="20"/>
        </w:rPr>
        <w:t>: an LLMProvider abstraction keeps Anthropic/Claude selectable as a configuration choice if procurement prefers it.</w:t>
      </w:r>
    </w:p>
    <w:p>
      <w:pPr>
        <w:spacing w:before="160" w:after="20"/>
      </w:pPr>
      <w:r>
        <w:rPr>
          <w:rFonts w:ascii="Calibri" w:hAnsi="Calibri"/>
          <w:b/>
          <w:color w:val="C8102E"/>
          <w:sz w:val="20"/>
        </w:rPr>
        <w:t>Q.  How is the agent prevented from sending things on its own?</w:t>
      </w:r>
    </w:p>
    <w:p>
      <w:pPr>
        <w:spacing w:after="80"/>
        <w:ind w:left="403"/>
      </w:pPr>
      <w:r>
        <w:rPr>
          <w:rFonts w:ascii="Calibri" w:hAnsi="Calibri"/>
          <w:b w:val="0"/>
          <w:color w:val="1A1A1A"/>
          <w:sz w:val="20"/>
        </w:rPr>
        <w:t xml:space="preserve">Two layers. The </w:t>
      </w:r>
      <w:r>
        <w:rPr>
          <w:rFonts w:ascii="Calibri" w:hAnsi="Calibri"/>
          <w:b/>
          <w:color w:val="1A1A1A"/>
          <w:sz w:val="20"/>
        </w:rPr>
        <w:t>app-layer gate</w:t>
      </w:r>
      <w:r>
        <w:rPr>
          <w:rFonts w:ascii="Calibri" w:hAnsi="Calibri"/>
          <w:b w:val="0"/>
          <w:color w:val="1A1A1A"/>
          <w:sz w:val="20"/>
        </w:rPr>
        <w:t xml:space="preserve">: side-effecting actions (send invite, send mail) are removed from the agent and only fire from deterministic routes after a human approves. Plus MAF's native </w:t>
      </w:r>
      <w:r>
        <w:rPr>
          <w:rFonts w:ascii="Calibri" w:hAnsi="Calibri"/>
          <w:b/>
          <w:color w:val="1A1A1A"/>
          <w:sz w:val="20"/>
        </w:rPr>
        <w:t>approval_mode</w:t>
      </w:r>
      <w:r>
        <w:rPr>
          <w:rFonts w:ascii="Calibri" w:hAnsi="Calibri"/>
          <w:b w:val="0"/>
          <w:color w:val="1A1A1A"/>
          <w:sz w:val="20"/>
        </w:rPr>
        <w:t xml:space="preserve"> on any in-run tool. The agent drafts; it never sends.</w:t>
      </w:r>
    </w:p>
    <w:p>
      <w:pPr>
        <w:spacing w:before="160" w:after="20"/>
      </w:pPr>
      <w:r>
        <w:rPr>
          <w:rFonts w:ascii="Calibri" w:hAnsi="Calibri"/>
          <w:b/>
          <w:color w:val="C8102E"/>
          <w:sz w:val="20"/>
        </w:rPr>
        <w:t>Q.  Do you need GPUs / how heavy is the compute?</w:t>
      </w:r>
    </w:p>
    <w:p>
      <w:pPr>
        <w:spacing w:after="80"/>
        <w:ind w:left="403"/>
      </w:pPr>
      <w:r>
        <w:rPr>
          <w:rFonts w:ascii="Calibri" w:hAnsi="Calibri"/>
          <w:b w:val="0"/>
          <w:color w:val="1A1A1A"/>
          <w:sz w:val="20"/>
        </w:rPr>
        <w:t>No GPUs anywhere. All inference is remote in Foundry. The VM only runs a light FastAPI app, so 4–8 vCPUs and 16–32 GB RAM is ample.</w:t>
      </w:r>
    </w:p>
    <w:p>
      <w:pPr>
        <w:spacing w:before="200" w:after="40"/>
      </w:pPr>
      <w:r>
        <w:rPr>
          <w:rFonts w:ascii="Calibri" w:hAnsi="Calibri"/>
          <w:b/>
          <w:color w:val="1A1A1A"/>
          <w:sz w:val="24"/>
        </w:rPr>
        <w:t>7.4 Deployment, cost &amp; timeline</w:t>
      </w:r>
    </w:p>
    <w:p>
      <w:pPr>
        <w:spacing w:before="160" w:after="20"/>
      </w:pPr>
      <w:r>
        <w:rPr>
          <w:rFonts w:ascii="Calibri" w:hAnsi="Calibri"/>
          <w:b/>
          <w:color w:val="C8102E"/>
          <w:sz w:val="20"/>
        </w:rPr>
        <w:t>Q.  What size server and what does it cost to run?</w:t>
      </w:r>
    </w:p>
    <w:p>
      <w:pPr>
        <w:spacing w:after="80"/>
        <w:ind w:left="403"/>
      </w:pPr>
      <w:r>
        <w:rPr>
          <w:rFonts w:ascii="Calibri" w:hAnsi="Calibri"/>
          <w:b w:val="0"/>
          <w:color w:val="1A1A1A"/>
          <w:sz w:val="20"/>
        </w:rPr>
        <w:t xml:space="preserve">A general-purpose </w:t>
      </w:r>
      <w:r>
        <w:rPr>
          <w:rFonts w:ascii="Calibri" w:hAnsi="Calibri"/>
          <w:b/>
          <w:color w:val="1A1A1A"/>
          <w:sz w:val="20"/>
        </w:rPr>
        <w:t>D4as v6 (4 vCPU / 16 GB)</w:t>
      </w:r>
      <w:r>
        <w:rPr>
          <w:rFonts w:ascii="Calibri" w:hAnsi="Calibri"/>
          <w:b w:val="0"/>
          <w:color w:val="1A1A1A"/>
          <w:sz w:val="20"/>
        </w:rPr>
        <w:t xml:space="preserve">, up to </w:t>
      </w:r>
      <w:r>
        <w:rPr>
          <w:rFonts w:ascii="Calibri" w:hAnsi="Calibri"/>
          <w:b/>
          <w:color w:val="1A1A1A"/>
          <w:sz w:val="20"/>
        </w:rPr>
        <w:t>D8as v6 (8 vCPU / 32 GB)</w:t>
      </w:r>
      <w:r>
        <w:rPr>
          <w:rFonts w:ascii="Calibri" w:hAnsi="Calibri"/>
          <w:b w:val="0"/>
          <w:color w:val="1A1A1A"/>
          <w:sz w:val="20"/>
        </w:rPr>
        <w:t xml:space="preserve"> in production. Indicative Azure run-cost is roughly </w:t>
      </w:r>
      <w:r>
        <w:rPr>
          <w:rFonts w:ascii="Calibri" w:hAnsi="Calibri"/>
          <w:b/>
          <w:color w:val="1A1A1A"/>
          <w:sz w:val="20"/>
        </w:rPr>
        <w:t>$450–650/month</w:t>
      </w:r>
      <w:r>
        <w:rPr>
          <w:rFonts w:ascii="Calibri" w:hAnsi="Calibri"/>
          <w:b w:val="0"/>
          <w:color w:val="1A1A1A"/>
          <w:sz w:val="20"/>
        </w:rPr>
        <w:t xml:space="preserve"> for the whole production stack plus </w:t>
      </w:r>
      <w:r>
        <w:rPr>
          <w:rFonts w:ascii="Calibri" w:hAnsi="Calibri"/>
          <w:b/>
          <w:color w:val="1A1A1A"/>
          <w:sz w:val="20"/>
        </w:rPr>
        <w:t>~$1,000/month</w:t>
      </w:r>
      <w:r>
        <w:rPr>
          <w:rFonts w:ascii="Calibri" w:hAnsi="Calibri"/>
          <w:b w:val="0"/>
          <w:color w:val="1A1A1A"/>
          <w:sz w:val="20"/>
        </w:rPr>
        <w:t xml:space="preserve"> of Foundry model usage — order-of-magnitude, lower with reserved instances. Non-prod adds ~$80–120/month.</w:t>
      </w:r>
    </w:p>
    <w:p>
      <w:pPr>
        <w:spacing w:before="160" w:after="20"/>
      </w:pPr>
      <w:r>
        <w:rPr>
          <w:rFonts w:ascii="Calibri" w:hAnsi="Calibri"/>
          <w:b/>
          <w:color w:val="C8102E"/>
          <w:sz w:val="20"/>
        </w:rPr>
        <w:t>Q.  What's the biggest thing standing between us and production?</w:t>
      </w:r>
    </w:p>
    <w:p>
      <w:pPr>
        <w:spacing w:after="80"/>
        <w:ind w:left="403"/>
      </w:pPr>
      <w:r>
        <w:rPr>
          <w:rFonts w:ascii="Calibri" w:hAnsi="Calibri"/>
          <w:b w:val="0"/>
          <w:color w:val="1A1A1A"/>
          <w:sz w:val="20"/>
        </w:rPr>
        <w:t xml:space="preserve">Not the technology — it's </w:t>
      </w:r>
      <w:r>
        <w:rPr>
          <w:rFonts w:ascii="Calibri" w:hAnsi="Calibri"/>
          <w:b/>
          <w:color w:val="1A1A1A"/>
          <w:sz w:val="20"/>
        </w:rPr>
        <w:t>Shell's own compliance gates</w:t>
      </w:r>
      <w:r>
        <w:rPr>
          <w:rFonts w:ascii="Calibri" w:hAnsi="Calibri"/>
          <w:b w:val="0"/>
          <w:color w:val="1A1A1A"/>
          <w:sz w:val="20"/>
        </w:rPr>
        <w:t xml:space="preserve">: AI Registry + ServiceNow registration, the IRM risk assessment (IAQ), EU AI Act classification, and Shell.AI + TRB approval, all on IDT-managed Azure. These have external lead time, so they should start </w:t>
      </w:r>
      <w:r>
        <w:rPr>
          <w:rFonts w:ascii="Calibri" w:hAnsi="Calibri"/>
          <w:b/>
          <w:color w:val="1A1A1A"/>
          <w:sz w:val="20"/>
        </w:rPr>
        <w:t>in parallel, now</w:t>
      </w:r>
      <w:r>
        <w:rPr>
          <w:rFonts w:ascii="Calibri" w:hAnsi="Calibri"/>
          <w:b w:val="0"/>
          <w:color w:val="1A1A1A"/>
          <w:sz w:val="20"/>
        </w:rPr>
        <w:t>.</w:t>
      </w:r>
    </w:p>
    <w:p>
      <w:pPr>
        <w:spacing w:before="160" w:after="20"/>
      </w:pPr>
      <w:r>
        <w:rPr>
          <w:rFonts w:ascii="Calibri" w:hAnsi="Calibri"/>
          <w:b/>
          <w:color w:val="C8102E"/>
          <w:sz w:val="20"/>
        </w:rPr>
        <w:t>Q.  Can it scale if adoption grows?</w:t>
      </w:r>
    </w:p>
    <w:p>
      <w:pPr>
        <w:spacing w:after="80"/>
        <w:ind w:left="403"/>
      </w:pPr>
      <w:r>
        <w:rPr>
          <w:rFonts w:ascii="Calibri" w:hAnsi="Calibri"/>
          <w:b w:val="0"/>
          <w:color w:val="1A1A1A"/>
          <w:sz w:val="20"/>
        </w:rPr>
        <w:t>Yes — vertically by resizing the VM in minutes, or by moving the containerised app to autoscaling Container Apps / a Foundry Hosted Agent with no code change. The database is already HA and can scale its tier independently.</w:t>
      </w:r>
    </w:p>
    <w:p>
      <w:pPr>
        <w:spacing w:before="320" w:after="80"/>
      </w:pPr>
      <w:r>
        <w:rPr>
          <w:rFonts w:ascii="Calibri" w:hAnsi="Calibri"/>
          <w:b/>
          <w:color w:val="C8102E"/>
          <w:sz w:val="32"/>
        </w:rPr>
        <w:t>8. Honest caveats — so you're never caught out</w:t>
      </w:r>
    </w:p>
    <w:p>
      <w:pPr>
        <w:spacing w:after="120"/>
      </w:pPr>
      <w:r>
        <w:rPr>
          <w:rFonts w:ascii="Calibri" w:hAnsi="Calibri"/>
          <w:b w:val="0"/>
          <w:color w:val="1A1A1A"/>
          <w:sz w:val="20"/>
        </w:rPr>
        <w:t>Better you raise these than the client. None are dealbreakers; all have a clean answer.</w:t>
      </w:r>
    </w:p>
    <w:p>
      <w:pPr>
        <w:pStyle w:val="ListBullet"/>
        <w:spacing w:after="40"/>
      </w:pPr>
      <w:r>
        <w:rPr>
          <w:rFonts w:ascii="Calibri" w:hAnsi="Calibri"/>
          <w:b/>
          <w:color w:val="1A1A1A"/>
          <w:sz w:val="20"/>
        </w:rPr>
        <w:t>Diagram says App Service icon, doc says VM.</w:t>
      </w:r>
      <w:r>
        <w:rPr>
          <w:rFonts w:ascii="Calibri" w:hAnsi="Calibri"/>
          <w:b w:val="0"/>
          <w:color w:val="1A1A1A"/>
          <w:sz w:val="20"/>
        </w:rPr>
        <w:t xml:space="preserve"> Acknowledge it's a draft artifact; the target is a VM; both are valid and the code is identical. (§2.1)</w:t>
      </w:r>
    </w:p>
    <w:p>
      <w:pPr>
        <w:pStyle w:val="ListBullet"/>
        <w:spacing w:after="40"/>
      </w:pPr>
      <w:r>
        <w:rPr>
          <w:rFonts w:ascii="Calibri" w:hAnsi="Calibri"/>
          <w:b/>
          <w:color w:val="1A1A1A"/>
          <w:sz w:val="20"/>
        </w:rPr>
        <w:t>This is still pre-production.</w:t>
      </w:r>
      <w:r>
        <w:rPr>
          <w:rFonts w:ascii="Calibri" w:hAnsi="Calibri"/>
          <w:b w:val="0"/>
          <w:color w:val="1A1A1A"/>
          <w:sz w:val="20"/>
        </w:rPr>
        <w:t xml:space="preserve"> The PoC proves the pattern; the production build (infra, identity, DB migration, all agents, tests) is ahead. Don't imply it's deployed.</w:t>
      </w:r>
    </w:p>
    <w:p>
      <w:pPr>
        <w:pStyle w:val="ListBullet"/>
        <w:spacing w:after="40"/>
      </w:pPr>
      <w:r>
        <w:rPr>
          <w:rFonts w:ascii="Calibri" w:hAnsi="Calibri"/>
          <w:b/>
          <w:color w:val="1A1A1A"/>
          <w:sz w:val="20"/>
        </w:rPr>
        <w:t>No automated test suite yet</w:t>
      </w:r>
      <w:r>
        <w:rPr>
          <w:rFonts w:ascii="Calibri" w:hAnsi="Calibri"/>
          <w:b w:val="0"/>
          <w:color w:val="1A1A1A"/>
          <w:sz w:val="20"/>
        </w:rPr>
        <w:t xml:space="preserve"> — the CI regression stage is the plan to fix that before any agent change ships.</w:t>
      </w:r>
    </w:p>
    <w:p>
      <w:pPr>
        <w:pStyle w:val="ListBullet"/>
        <w:spacing w:after="40"/>
      </w:pPr>
      <w:r>
        <w:rPr>
          <w:rFonts w:ascii="Calibri" w:hAnsi="Calibri"/>
          <w:b/>
          <w:color w:val="1A1A1A"/>
          <w:sz w:val="20"/>
        </w:rPr>
        <w:t>Foundry Hosted Agents is still preview</w:t>
      </w:r>
      <w:r>
        <w:rPr>
          <w:rFonts w:ascii="Calibri" w:hAnsi="Calibri"/>
          <w:b w:val="0"/>
          <w:color w:val="1A1A1A"/>
          <w:sz w:val="20"/>
        </w:rPr>
        <w:t xml:space="preserve"> — we mention it only as a *future* hosting option; the shippable baseline is the VM.</w:t>
      </w:r>
    </w:p>
    <w:p>
      <w:pPr>
        <w:pStyle w:val="ListBullet"/>
        <w:spacing w:after="40"/>
      </w:pPr>
      <w:r>
        <w:rPr>
          <w:rFonts w:ascii="Calibri" w:hAnsi="Calibri"/>
          <w:b/>
          <w:color w:val="1A1A1A"/>
          <w:sz w:val="20"/>
        </w:rPr>
        <w:t>Compliance gates are blocking and external</w:t>
      </w:r>
      <w:r>
        <w:rPr>
          <w:rFonts w:ascii="Calibri" w:hAnsi="Calibri"/>
          <w:b w:val="0"/>
          <w:color w:val="1A1A1A"/>
          <w:sz w:val="20"/>
        </w:rPr>
        <w:t xml:space="preserve"> — production cannot go live until Shell's AI Registry / IAQ / TRB / Shell.AI approvals clear. Frame this as a shared workstream to start now, not a Zensar delay.</w:t>
      </w:r>
    </w:p>
    <w:p>
      <w:pPr>
        <w:pStyle w:val="ListBullet"/>
        <w:spacing w:after="40"/>
      </w:pPr>
      <w:r>
        <w:rPr>
          <w:rFonts w:ascii="Calibri" w:hAnsi="Calibri"/>
          <w:b/>
          <w:color w:val="1A1A1A"/>
          <w:sz w:val="20"/>
        </w:rPr>
        <w:t>Costs are indicative</w:t>
      </w:r>
      <w:r>
        <w:rPr>
          <w:rFonts w:ascii="Calibri" w:hAnsi="Calibri"/>
          <w:b w:val="0"/>
          <w:color w:val="1A1A1A"/>
          <w:sz w:val="20"/>
        </w:rPr>
        <w:t xml:space="preserve"> — always say "order of magnitude, subject to Shell tiering and usage," never quote them as a price.</w:t>
      </w:r>
    </w:p>
    <w:p>
      <w:pPr>
        <w:spacing w:before="280"/>
        <w:jc w:val="center"/>
      </w:pPr>
      <w:r>
        <w:rPr>
          <w:rFonts w:ascii="Calibri" w:hAnsi="Calibri"/>
          <w:color w:val="555555"/>
          <w:sz w:val="16"/>
        </w:rPr>
        <w:t>VendorPulse — Client Meeting Prep Pack · Zensar · Confidential · prepared for the prospective-client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