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C8102E"/>
          <w:sz w:val="38"/>
        </w:rPr>
        <w:t>ZenVendorPulse — Infrastructure &amp; Software Requirements</w:t>
      </w:r>
    </w:p>
    <w:p>
      <w:pPr>
        <w:spacing w:after="160"/>
      </w:pPr>
      <w:r>
        <w:rPr>
          <w:rFonts w:ascii="Calibri" w:hAnsi="Calibri"/>
          <w:color w:val="555555"/>
          <w:sz w:val="19"/>
        </w:rPr>
        <w:t>Zensar for Shell   ·   Version 2.0 (revised)   ·   16 June 2026   ·   Confidential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F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C8102E"/>
                <w:sz w:val="21"/>
              </w:rPr>
              <w:t>What changed in this revision (v2)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LLM provider: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Anthropic / Claude removed (out of scope). Microsoft Foundry (Azure OpenAI) is the only LLM in scope.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AI pair-programming tool: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Claude Code replaced by </w:t>
            </w:r>
            <w:r>
              <w:rPr>
                <w:rFonts w:ascii="Calibri" w:hAnsi="Calibri"/>
                <w:b/>
                <w:color w:val="1A1A1A"/>
                <w:sz w:val="19"/>
              </w:rPr>
              <w:t>GitHub Copilot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>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ASGI server: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Uvicorn retained — it is open-source (no licence cost). </w:t>
            </w:r>
            <w:r>
              <w:rPr>
                <w:rFonts w:ascii="Calibri" w:hAnsi="Calibri"/>
                <w:b/>
                <w:color w:val="1A1A1A"/>
                <w:sz w:val="19"/>
              </w:rPr>
              <w:t>Hypercorn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/ Granian noted as alternatives.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Edge: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Azure Front Door + WAF for internet-facing; </w:t>
            </w:r>
            <w:r>
              <w:rPr>
                <w:rFonts w:ascii="Calibri" w:hAnsi="Calibri"/>
                <w:b/>
                <w:color w:val="1A1A1A"/>
                <w:sz w:val="19"/>
              </w:rPr>
              <w:t>Azure Application Gateway + WAF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is the alternative for internal-only access.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Datastore: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PostgreSQL Flexible Server, or </w:t>
            </w:r>
            <w:r>
              <w:rPr>
                <w:rFonts w:ascii="Calibri" w:hAnsi="Calibri"/>
                <w:b/>
                <w:color w:val="1A1A1A"/>
                <w:sz w:val="19"/>
              </w:rPr>
              <w:t>Azure SQL Database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to match Shell's data platform standard. Blob Storage is for files only (transcripts/minutes), not a datastore.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Agent hosting: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MAF SDK in-process (GA) is the baseline; Foundry Hosted Agents is a future option, not a launch requirement.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1. Cloud Platform &amp; Managed Services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30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432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VM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D4as v6 or D8as v6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FastAPI + MAF backend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Static Web Apps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React SPA (CDN)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PostgreSQL Flexible Server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GP+HA (prod)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Primary datastore (or Azure SQL Database — see §1.1)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Key Vault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Secrets via Managed Identity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Front Door + WAF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TLS, OWASP, origin-lock (internet-facing) — see §1.1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App Insights + Azure Monitor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Pay-as-ingested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OTel telemetry + audit mirror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Container Registry (ACR)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Backend images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Blob Storage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Files only — transcripts / generated minutes (not a datastore)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 / Azure OpenAI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Responses API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LLM + content safety</w:t>
            </w:r>
          </w:p>
        </w:tc>
      </w:tr>
      <w:tr>
        <w:tc>
          <w:tcPr>
            <w:tcW w:type="dxa" w:w="345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Graph / Entra ID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Outlook / calendar / Teams · SSO / RBAC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1.1 Notes on alternatives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Datastore:</w:t>
      </w:r>
      <w:r>
        <w:rPr>
          <w:rFonts w:ascii="Calibri" w:hAnsi="Calibri"/>
          <w:b w:val="0"/>
          <w:color w:val="1A1A1A"/>
          <w:sz w:val="20"/>
        </w:rPr>
        <w:t xml:space="preserve"> PostgreSQL Flexible Server is the default. </w:t>
      </w:r>
      <w:r>
        <w:rPr>
          <w:rFonts w:ascii="Calibri" w:hAnsi="Calibri"/>
          <w:b/>
          <w:color w:val="1A1A1A"/>
          <w:sz w:val="20"/>
        </w:rPr>
        <w:t>Azure SQL Database</w:t>
      </w:r>
      <w:r>
        <w:rPr>
          <w:rFonts w:ascii="Calibri" w:hAnsi="Calibri"/>
          <w:b w:val="0"/>
          <w:color w:val="1A1A1A"/>
          <w:sz w:val="20"/>
        </w:rPr>
        <w:t xml:space="preserve"> is an equally valid alternative — choose to match whatever Shell's data-platform team already supports. For cost, a serverless (Azure SQL) or Burstable (PostgreSQL) tier scales down between QBR cycles. Blob Storage is </w:t>
      </w:r>
      <w:r>
        <w:rPr>
          <w:rFonts w:ascii="Calibri" w:hAnsi="Calibri"/>
          <w:b/>
          <w:color w:val="1A1A1A"/>
          <w:sz w:val="20"/>
        </w:rPr>
        <w:t>not</w:t>
      </w:r>
      <w:r>
        <w:rPr>
          <w:rFonts w:ascii="Calibri" w:hAnsi="Calibri"/>
          <w:b w:val="0"/>
          <w:color w:val="1A1A1A"/>
          <w:sz w:val="20"/>
        </w:rPr>
        <w:t xml:space="preserve"> a substitute for the database — it has no transactions, querying, or relationships, which the 12-state workflow, analytics, and audit trail all require.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Edge:</w:t>
      </w:r>
      <w:r>
        <w:rPr>
          <w:rFonts w:ascii="Calibri" w:hAnsi="Calibri"/>
          <w:b w:val="0"/>
          <w:color w:val="1A1A1A"/>
          <w:sz w:val="20"/>
        </w:rPr>
        <w:t xml:space="preserve"> Azure Front Door is a global, public-internet edge. If all users are internal and the app is not exposed to the public internet, </w:t>
      </w:r>
      <w:r>
        <w:rPr>
          <w:rFonts w:ascii="Calibri" w:hAnsi="Calibri"/>
          <w:b/>
          <w:color w:val="1A1A1A"/>
          <w:sz w:val="20"/>
        </w:rPr>
        <w:t>Azure Application Gateway + WAF</w:t>
      </w:r>
      <w:r>
        <w:rPr>
          <w:rFonts w:ascii="Calibri" w:hAnsi="Calibri"/>
          <w:b w:val="0"/>
          <w:color w:val="1A1A1A"/>
          <w:sz w:val="20"/>
        </w:rPr>
        <w:t xml:space="preserve"> (regional, inside the VNet) provides the same TLS and OWASP protection without the public CDN. Confirm against any Shell standard that mandates a specific edge/WAF.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2. Software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2.1 Runtimes &amp; Package Managers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691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Python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3.11.x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Node.js</w:t>
            </w:r>
          </w:p>
        </w:tc>
        <w:tc>
          <w:tcPr>
            <w:tcW w:type="dxa" w:w="691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 LTS (≥ 20.19) or 22 LTS (≥ 22.12) — required by Vite 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npm / pip / Git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10.x / 23+ / 2.40+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2.2 Software packages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44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88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fastapi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0.115.6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Web framework / REST API</w:t>
            </w:r>
          </w:p>
        </w:tc>
      </w:tr>
      <w:tr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uvicorn[standard]</w:t>
            </w:r>
          </w:p>
        </w:tc>
        <w:tc>
          <w:tcPr>
            <w:tcW w:type="dxa" w:w="244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0.32.1</w:t>
            </w:r>
          </w:p>
        </w:tc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ASGI server (open-source, no licence). Alternative: Hypercorn / Granian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openai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≥ 1.50.0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LLM SDK (Foundry Responses API)</w:t>
            </w:r>
          </w:p>
        </w:tc>
      </w:tr>
      <w:tr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azure-ai-projects / azure-identity</w:t>
            </w:r>
          </w:p>
        </w:tc>
        <w:tc>
          <w:tcPr>
            <w:tcW w:type="dxa" w:w="244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≥ 1.0.0 / ≥ 1.17.0</w:t>
            </w:r>
          </w:p>
        </w:tc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Foundry client / Entra auth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react / react-dom</w:t>
            </w:r>
          </w:p>
        </w:tc>
        <w:tc>
          <w:tcPr>
            <w:tcW w:type="dxa" w:w="244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19.2.4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UI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2.3 AI / Agent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91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 / Detail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MAF SDK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1.x (≈1.8, Jun 2026) — pin exact. In-process baseline; Foundry Hosted Agents is a future option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</w:t>
            </w:r>
          </w:p>
        </w:tc>
        <w:tc>
          <w:tcPr>
            <w:tcW w:type="dxa" w:w="691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Responses API + content safety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Model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 xml:space="preserve">gpt-4.1 / gpt-4o — </w:t>
            </w:r>
            <w:r>
              <w:rPr>
                <w:rFonts w:ascii="Calibri" w:hAnsi="Calibri"/>
                <w:b/>
                <w:sz w:val="19"/>
              </w:rPr>
              <w:t>Microsoft Foundry (Azure OpenAI) only</w:t>
            </w:r>
            <w:r>
              <w:rPr>
                <w:rFonts w:ascii="Calibri" w:hAnsi="Calibri"/>
                <w:b w:val="0"/>
                <w:sz w:val="19"/>
              </w:rPr>
              <w:t>. No third-party LLM (Anthropic/Claude out of scope)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Authentication</w:t>
            </w:r>
          </w:p>
        </w:tc>
        <w:tc>
          <w:tcPr>
            <w:tcW w:type="dxa" w:w="691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Entra ID (DefaultAzureCredential / app-only certificate) — no API keys in code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2.4 Developer &amp; CI Tooling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230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60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GitHub Copilot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Business / Enterprise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AI pair-programming assistant (replaces Claude Code)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CLI (az)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2.60+</w:t>
            </w:r>
          </w:p>
        </w:tc>
        <w:tc>
          <w:tcPr>
            <w:tcW w:type="dxa" w:w="46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/ Foundry / Graph authentication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Docker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24+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Container image builds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ruff / eslint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latest</w:t>
            </w:r>
          </w:p>
        </w:tc>
        <w:tc>
          <w:tcPr>
            <w:tcW w:type="dxa" w:w="46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Linting in CI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3. Licences &amp; Subscriptions</w:t>
      </w:r>
    </w:p>
    <w:p>
      <w:pPr>
        <w:spacing w:after="120"/>
      </w:pPr>
      <w:r>
        <w:rPr>
          <w:rFonts w:ascii="Calibri" w:hAnsi="Calibri"/>
          <w:b w:val="0"/>
          <w:color w:val="1A1A1A"/>
          <w:sz w:val="20"/>
        </w:rPr>
        <w:t>Costs are indicative and depend on the Shell tier and usage. Open-source components (Python, FastAPI, Uvicorn/Hypercorn, React, the Azure SDKs, the MAF SDK) carry no licence cost and need only a licence and security review.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89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Licence</w:t>
            </w:r>
          </w:p>
        </w:tc>
        <w:tc>
          <w:tcPr>
            <w:tcW w:type="dxa" w:w="21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1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Indicative cost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LIC1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365 (E3/E5) — service mailbox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Per-user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~$23 (E3) / ~$57 (E5) /user/mo</w:t>
            </w:r>
          </w:p>
        </w:tc>
      </w:tr>
      <w:tr>
        <w:tc>
          <w:tcPr>
            <w:tcW w:type="dxa" w:w="86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LIC2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Entra ID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Included in M365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LIC3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subscription (VM, SWA, PostgreSQL, Key Vault, edge, App Insights, ACR)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Consumption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~$450–650/mo prod; +~$80–120/mo non-prod</w:t>
            </w:r>
          </w:p>
        </w:tc>
      </w:tr>
      <w:tr>
        <w:tc>
          <w:tcPr>
            <w:tcW w:type="dxa" w:w="86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LIC4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 / Azure OpenAI (gpt-4.1 / gpt-4o)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Pay-per-token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~$1,000/mo — Shell.AI + TRB approval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LIC5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DevOps / GitHub Enterprise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SaaS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Included in Microsoft EA</w:t>
            </w:r>
          </w:p>
        </w:tc>
      </w:tr>
      <w:tr>
        <w:tc>
          <w:tcPr>
            <w:tcW w:type="dxa" w:w="86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LIC6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GitHub Copilot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Business / Enterprise seat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~$19 (Business) / ~$39 (Enterprise) /user/mo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A1A1A"/>
          <w:sz w:val="20"/>
        </w:rPr>
        <w:t>Out of scope (removed in v2):</w:t>
      </w:r>
      <w:r>
        <w:rPr>
          <w:rFonts w:ascii="Calibri" w:hAnsi="Calibri"/>
          <w:b w:val="0"/>
          <w:color w:val="1A1A1A"/>
          <w:sz w:val="20"/>
        </w:rPr>
        <w:t xml:space="preserve"> Claude Code (Anthropic) and any Anthropic / Claude LLM subscription. The LLMProvider abstraction is retained internally, but only Microsoft Foundry (Azure OpenAI) is in scope as the model provider.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4. Access &amp;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Ref</w:t>
            </w:r>
          </w:p>
        </w:tc>
        <w:tc>
          <w:tcPr>
            <w:tcW w:type="dxa" w:w="633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59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I1–I2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App registrations + certificate credentials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Entra ID</w:t>
            </w:r>
          </w:p>
        </w:tc>
      </w:tr>
      <w:tr>
        <w:tc>
          <w:tcPr>
            <w:tcW w:type="dxa" w:w="115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I3</w:t>
            </w:r>
          </w:p>
        </w:tc>
        <w:tc>
          <w:tcPr>
            <w:tcW w:type="dxa" w:w="63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Admin consent: Mail.Send, Mail.Read, Calendars.ReadWrite, OnlineMeetings.ReadWrite.All, User.Read.All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Entra ID (global admin)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I5–I6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Entra role groups + Application Access Policy (mailbox-scoped)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IAM / Exchange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5. Assumptions &amp; Constraints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Targets the Shell production stack (MAF + Foundry + Azure + Outlook). PoC Google components removed.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The LLM provider is Microsoft Foundry (Azure OpenAI) only; Anthropic / Claude are out of scope.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Secrets come from Key Vault via Managed Identity in deployed environments; .env is dev-only.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There is no local GPU requirement — all model inference runs remotely in Foundry.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The MAF SDK version is pinned and re-validated at build time.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6. Developer Workstation</w:t>
      </w:r>
    </w:p>
    <w:p>
      <w:pPr>
        <w:spacing w:after="120"/>
      </w:pPr>
      <w:r>
        <w:rPr>
          <w:rFonts w:ascii="Calibri" w:hAnsi="Calibri"/>
          <w:b w:val="0"/>
          <w:color w:val="1A1A1A"/>
          <w:sz w:val="20"/>
        </w:rPr>
        <w:t>No local GPU is required — all inference is remote, so a standard development laptop is sufficient.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32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417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CPU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i5 11th Gen / Ryzen 5 5000 (4c/8t)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i7/i9 12th Gen+ / Ryzen 7–9 (8c+)</w:t>
            </w:r>
          </w:p>
        </w:tc>
      </w:tr>
      <w:tr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RAM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32 GB</w:t>
            </w:r>
          </w:p>
        </w:tc>
        <w:tc>
          <w:tcPr>
            <w:tcW w:type="dxa" w:w="417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32–64 GB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Storage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512 GB SSD, ≥ 100 GB free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 TB NVMe</w:t>
            </w:r>
          </w:p>
        </w:tc>
      </w:tr>
      <w:tr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GPU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None (inference is remote to Foundry)</w:t>
            </w:r>
          </w:p>
        </w:tc>
        <w:tc>
          <w:tcPr>
            <w:tcW w:type="dxa" w:w="417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Windows 11 Pro / macOS 13+ / Ubuntu 22.04+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+ WSL2 on Windows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color w:val="555555"/>
          <w:sz w:val="16"/>
        </w:rPr>
        <w:t>ZenVendorPulse — Infrastructure &amp; Software Requirements · Zensar for Shell · v2.0 · 16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