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C8102E"/>
          <w:sz w:val="38"/>
        </w:rPr>
        <w:t>ZenVendorPulse — Infrastructure &amp; Software Requirements</w:t>
      </w:r>
    </w:p>
    <w:p>
      <w:pPr>
        <w:spacing w:after="160"/>
      </w:pPr>
      <w:r>
        <w:rPr>
          <w:rFonts w:ascii="Calibri" w:hAnsi="Calibri"/>
          <w:color w:val="555555"/>
          <w:sz w:val="19"/>
        </w:rPr>
        <w:t>Zensar for Shell   ·   Version 2.0 — WORKING DRAFT   ·   16 June 2026   ·   Confidential</w:t>
      </w:r>
    </w:p>
    <w:p>
      <w:pPr>
        <w:spacing w:after="160"/>
      </w:pPr>
      <w:r>
        <w:rPr>
          <w:rFonts w:ascii="Calibri" w:hAnsi="Calibri"/>
          <w:i/>
          <w:color w:val="B45309"/>
          <w:sz w:val="19"/>
          <w:highlight w:val="yellow"/>
        </w:rPr>
        <w:t>This is a working draft. Yellow ✎ EDIT HERE notes mark decisions for you to make. Action each one, then delete the note before sharing.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DF3F4"/>
          </w:tcPr>
          <w:p>
            <w:pPr>
              <w:spacing w:after="40"/>
            </w:pPr>
            <w:r/>
            <w:r>
              <w:rPr>
                <w:rFonts w:ascii="Calibri" w:hAnsi="Calibri"/>
                <w:b/>
                <w:color w:val="C8102E"/>
                <w:sz w:val="21"/>
              </w:rPr>
              <w:t>What changed in this revision (v2) — and how to use this DRAFT</w:t>
            </w:r>
          </w:p>
          <w:p>
            <w:pPr>
              <w:spacing w:after="20"/>
            </w:pPr>
            <w:r>
              <w:rPr>
                <w:rFonts w:ascii="Calibri" w:hAnsi="Calibri"/>
                <w:sz w:val="19"/>
              </w:rPr>
              <w:t xml:space="preserve">•  </w:t>
            </w:r>
            <w:r>
              <w:rPr>
                <w:rFonts w:ascii="Calibri" w:hAnsi="Calibri"/>
                <w:b/>
                <w:color w:val="1A1A1A"/>
                <w:sz w:val="19"/>
              </w:rPr>
              <w:t>LLM provider:</w:t>
            </w:r>
            <w:r>
              <w:rPr>
                <w:rFonts w:ascii="Calibri" w:hAnsi="Calibri"/>
                <w:b w:val="0"/>
                <w:color w:val="1A1A1A"/>
                <w:sz w:val="19"/>
              </w:rPr>
              <w:t xml:space="preserve"> Anthropic / Claude removed (out of scope). Microsoft Foundry (Azure OpenAI) is the only LLM in scope.</w:t>
            </w:r>
          </w:p>
          <w:p>
            <w:pPr>
              <w:spacing w:after="20"/>
            </w:pPr>
            <w:r>
              <w:rPr>
                <w:rFonts w:ascii="Calibri" w:hAnsi="Calibri"/>
                <w:sz w:val="19"/>
              </w:rPr>
              <w:t xml:space="preserve">•  </w:t>
            </w:r>
            <w:r>
              <w:rPr>
                <w:rFonts w:ascii="Calibri" w:hAnsi="Calibri"/>
                <w:b/>
                <w:color w:val="1A1A1A"/>
                <w:sz w:val="19"/>
              </w:rPr>
              <w:t>AI pair-programming tool:</w:t>
            </w:r>
            <w:r>
              <w:rPr>
                <w:rFonts w:ascii="Calibri" w:hAnsi="Calibri"/>
                <w:b w:val="0"/>
                <w:color w:val="1A1A1A"/>
                <w:sz w:val="19"/>
              </w:rPr>
              <w:t xml:space="preserve"> Claude Code replaced by </w:t>
            </w:r>
            <w:r>
              <w:rPr>
                <w:rFonts w:ascii="Calibri" w:hAnsi="Calibri"/>
                <w:b/>
                <w:color w:val="1A1A1A"/>
                <w:sz w:val="19"/>
              </w:rPr>
              <w:t>GitHub Copilot</w:t>
            </w:r>
            <w:r>
              <w:rPr>
                <w:rFonts w:ascii="Calibri" w:hAnsi="Calibri"/>
                <w:b w:val="0"/>
                <w:color w:val="1A1A1A"/>
                <w:sz w:val="19"/>
              </w:rPr>
              <w:t>.</w:t>
            </w:r>
          </w:p>
          <w:p>
            <w:pPr>
              <w:spacing w:after="20"/>
            </w:pPr>
            <w:r>
              <w:rPr>
                <w:rFonts w:ascii="Calibri" w:hAnsi="Calibri"/>
                <w:sz w:val="19"/>
              </w:rPr>
              <w:t xml:space="preserve">•  </w:t>
            </w:r>
            <w:r>
              <w:rPr>
                <w:rFonts w:ascii="Calibri" w:hAnsi="Calibri"/>
                <w:b/>
                <w:color w:val="1A1A1A"/>
                <w:sz w:val="19"/>
              </w:rPr>
              <w:t>Open-source libraries</w:t>
            </w:r>
            <w:r>
              <w:rPr>
                <w:rFonts w:ascii="Calibri" w:hAnsi="Calibri"/>
                <w:b w:val="0"/>
                <w:color w:val="1A1A1A"/>
                <w:sz w:val="19"/>
              </w:rPr>
              <w:t xml:space="preserve"> (uvicorn, httpx, pydantic, etc.) are no longer listed individually — they need no procurement. §2.2 now states the OSS policy and points to the SBOM.</w:t>
            </w:r>
          </w:p>
          <w:p>
            <w:pPr>
              <w:spacing w:after="20"/>
            </w:pPr>
            <w:r>
              <w:rPr>
                <w:rFonts w:ascii="Calibri" w:hAnsi="Calibri"/>
                <w:sz w:val="19"/>
              </w:rPr>
              <w:t xml:space="preserve">•  </w:t>
            </w:r>
            <w:r>
              <w:rPr>
                <w:rFonts w:ascii="Calibri" w:hAnsi="Calibri"/>
                <w:b/>
                <w:color w:val="1A1A1A"/>
                <w:sz w:val="19"/>
              </w:rPr>
              <w:t>Licence table</w:t>
            </w:r>
            <w:r>
              <w:rPr>
                <w:rFonts w:ascii="Calibri" w:hAnsi="Calibri"/>
                <w:b w:val="0"/>
                <w:color w:val="1A1A1A"/>
                <w:sz w:val="19"/>
              </w:rPr>
              <w:t xml:space="preserve"> trimmed to commercial items only.</w:t>
            </w:r>
          </w:p>
          <w:p>
            <w:pPr>
              <w:spacing w:after="20"/>
            </w:pPr>
            <w:r>
              <w:rPr>
                <w:rFonts w:ascii="Calibri" w:hAnsi="Calibri"/>
                <w:sz w:val="19"/>
              </w:rPr>
              <w:t xml:space="preserve">•  </w:t>
            </w:r>
            <w:r>
              <w:rPr>
                <w:rFonts w:ascii="Calibri" w:hAnsi="Calibri"/>
                <w:b/>
                <w:color w:val="1A1A1A"/>
                <w:sz w:val="19"/>
              </w:rPr>
              <w:t>Edge</w:t>
            </w:r>
            <w:r>
              <w:rPr>
                <w:rFonts w:ascii="Calibri" w:hAnsi="Calibri"/>
                <w:b w:val="0"/>
                <w:color w:val="1A1A1A"/>
                <w:sz w:val="19"/>
              </w:rPr>
              <w:t xml:space="preserve"> and </w:t>
            </w:r>
            <w:r>
              <w:rPr>
                <w:rFonts w:ascii="Calibri" w:hAnsi="Calibri"/>
                <w:b/>
                <w:color w:val="1A1A1A"/>
                <w:sz w:val="19"/>
              </w:rPr>
              <w:t>datastore</w:t>
            </w:r>
            <w:r>
              <w:rPr>
                <w:rFonts w:ascii="Calibri" w:hAnsi="Calibri"/>
                <w:b w:val="0"/>
                <w:color w:val="1A1A1A"/>
                <w:sz w:val="19"/>
              </w:rPr>
              <w:t xml:space="preserve"> now show the option pair (Front Door / App Gateway; PostgreSQL / Azure SQL) for you to choose.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C8102E"/>
          <w:sz w:val="30"/>
        </w:rPr>
        <w:t>1. Cloud Platform &amp; Managed Services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888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2160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Tier</w:t>
            </w:r>
          </w:p>
        </w:tc>
        <w:tc>
          <w:tcPr>
            <w:tcW w:type="dxa" w:w="4032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</w:tr>
      <w:tr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Azure VM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D4as v6 or D8as v6</w:t>
            </w:r>
          </w:p>
        </w:tc>
        <w:tc>
          <w:tcPr>
            <w:tcW w:type="dxa" w:w="403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FastAPI + MAF backend</w:t>
            </w:r>
          </w:p>
        </w:tc>
      </w:tr>
      <w:tr>
        <w:tc>
          <w:tcPr>
            <w:tcW w:type="dxa" w:w="3888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Azure Static Web Apps</w:t>
            </w:r>
          </w:p>
        </w:tc>
        <w:tc>
          <w:tcPr>
            <w:tcW w:type="dxa" w:w="2160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Standard</w:t>
            </w:r>
          </w:p>
        </w:tc>
        <w:tc>
          <w:tcPr>
            <w:tcW w:type="dxa" w:w="4032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React SPA (CDN)</w:t>
            </w:r>
          </w:p>
        </w:tc>
      </w:tr>
      <w:tr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Azure PostgreSQL Flexible Server  /  Azure SQL Database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GP+HA (prod)</w:t>
            </w:r>
          </w:p>
        </w:tc>
        <w:tc>
          <w:tcPr>
            <w:tcW w:type="dxa" w:w="403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Primary datastore</w:t>
            </w:r>
          </w:p>
        </w:tc>
      </w:tr>
      <w:tr>
        <w:tc>
          <w:tcPr>
            <w:tcW w:type="dxa" w:w="3888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Azure Key Vault</w:t>
            </w:r>
          </w:p>
        </w:tc>
        <w:tc>
          <w:tcPr>
            <w:tcW w:type="dxa" w:w="2160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Standard</w:t>
            </w:r>
          </w:p>
        </w:tc>
        <w:tc>
          <w:tcPr>
            <w:tcW w:type="dxa" w:w="4032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Secrets via Managed Identity</w:t>
            </w:r>
          </w:p>
        </w:tc>
      </w:tr>
      <w:tr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Azure Front Door + WAF  /  Application Gateway + WAF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Standard</w:t>
            </w:r>
          </w:p>
        </w:tc>
        <w:tc>
          <w:tcPr>
            <w:tcW w:type="dxa" w:w="403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TLS, OWASP, origin-lock</w:t>
            </w:r>
          </w:p>
        </w:tc>
      </w:tr>
      <w:tr>
        <w:tc>
          <w:tcPr>
            <w:tcW w:type="dxa" w:w="3888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Azure App Insights + Azure Monitor</w:t>
            </w:r>
          </w:p>
        </w:tc>
        <w:tc>
          <w:tcPr>
            <w:tcW w:type="dxa" w:w="2160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Pay-as-ingested</w:t>
            </w:r>
          </w:p>
        </w:tc>
        <w:tc>
          <w:tcPr>
            <w:tcW w:type="dxa" w:w="4032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OTel telemetry + audit mirror</w:t>
            </w:r>
          </w:p>
        </w:tc>
      </w:tr>
      <w:tr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Azure Container Registry (ACR)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Standard</w:t>
            </w:r>
          </w:p>
        </w:tc>
        <w:tc>
          <w:tcPr>
            <w:tcW w:type="dxa" w:w="403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Backend images</w:t>
            </w:r>
          </w:p>
        </w:tc>
      </w:tr>
      <w:tr>
        <w:tc>
          <w:tcPr>
            <w:tcW w:type="dxa" w:w="3888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Azure Blob Storage</w:t>
            </w:r>
          </w:p>
        </w:tc>
        <w:tc>
          <w:tcPr>
            <w:tcW w:type="dxa" w:w="2160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Standard</w:t>
            </w:r>
          </w:p>
        </w:tc>
        <w:tc>
          <w:tcPr>
            <w:tcW w:type="dxa" w:w="4032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Files only — transcripts / generated minutes (not a datastore)</w:t>
            </w:r>
          </w:p>
        </w:tc>
      </w:tr>
      <w:tr>
        <w:tc>
          <w:tcPr>
            <w:tcW w:type="dxa" w:w="388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Microsoft Foundry / Azure OpenAI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Responses API</w:t>
            </w:r>
          </w:p>
        </w:tc>
        <w:tc>
          <w:tcPr>
            <w:tcW w:type="dxa" w:w="403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LLM + content safety</w:t>
            </w:r>
          </w:p>
        </w:tc>
      </w:tr>
      <w:tr>
        <w:tc>
          <w:tcPr>
            <w:tcW w:type="dxa" w:w="3888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Microsoft Graph / Entra ID</w:t>
            </w:r>
          </w:p>
        </w:tc>
        <w:tc>
          <w:tcPr>
            <w:tcW w:type="dxa" w:w="2160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—</w:t>
            </w:r>
          </w:p>
        </w:tc>
        <w:tc>
          <w:tcPr>
            <w:tcW w:type="dxa" w:w="4032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Outlook / calendar / Teams · SSO / RBAC</w:t>
            </w:r>
          </w:p>
        </w:tc>
      </w:tr>
    </w:tbl>
    <w:p/>
    <w:p>
      <w:pPr>
        <w:spacing w:before="40" w:after="120"/>
        <w:ind w:left="144"/>
      </w:pPr>
      <w:r>
        <w:rPr>
          <w:rFonts w:ascii="Calibri" w:hAnsi="Calibri"/>
          <w:b/>
          <w:color w:val="B45309"/>
          <w:sz w:val="18"/>
          <w:highlight w:val="yellow"/>
        </w:rPr>
        <w:t xml:space="preserve">✎ EDIT HERE — </w:t>
      </w:r>
      <w:r>
        <w:rPr>
          <w:rFonts w:ascii="Calibri" w:hAnsi="Calibri"/>
          <w:b/>
          <w:color w:val="B45309"/>
          <w:sz w:val="18"/>
          <w:highlight w:val="yellow"/>
        </w:rPr>
        <w:t>Datastore row:</w:t>
      </w:r>
      <w:r>
        <w:rPr>
          <w:rFonts w:ascii="Calibri" w:hAnsi="Calibri"/>
          <w:b w:val="0"/>
          <w:color w:val="B45309"/>
          <w:sz w:val="18"/>
          <w:highlight w:val="yellow"/>
        </w:rPr>
        <w:t xml:space="preserve"> keep </w:t>
      </w:r>
      <w:r>
        <w:rPr>
          <w:rFonts w:ascii="Calibri" w:hAnsi="Calibri"/>
          <w:b/>
          <w:color w:val="B45309"/>
          <w:sz w:val="18"/>
          <w:highlight w:val="yellow"/>
        </w:rPr>
        <w:t>PostgreSQL Flexible Server</w:t>
      </w:r>
      <w:r>
        <w:rPr>
          <w:rFonts w:ascii="Calibri" w:hAnsi="Calibri"/>
          <w:b w:val="0"/>
          <w:color w:val="B45309"/>
          <w:sz w:val="18"/>
          <w:highlight w:val="yellow"/>
        </w:rPr>
        <w:t xml:space="preserve"> (default) OR </w:t>
      </w:r>
      <w:r>
        <w:rPr>
          <w:rFonts w:ascii="Calibri" w:hAnsi="Calibri"/>
          <w:b/>
          <w:color w:val="B45309"/>
          <w:sz w:val="18"/>
          <w:highlight w:val="yellow"/>
        </w:rPr>
        <w:t>Azure SQL Database</w:t>
      </w:r>
      <w:r>
        <w:rPr>
          <w:rFonts w:ascii="Calibri" w:hAnsi="Calibri"/>
          <w:b w:val="0"/>
          <w:color w:val="B45309"/>
          <w:sz w:val="18"/>
          <w:highlight w:val="yellow"/>
        </w:rPr>
        <w:t xml:space="preserve"> (if that's Shell's data-platform standard) — delete the one you don't use. For cost, note the serverless / Burstable tier. Blob is files-only; do NOT make it the datastore.</w:t>
      </w:r>
    </w:p>
    <w:p>
      <w:pPr>
        <w:spacing w:before="40" w:after="120"/>
        <w:ind w:left="144"/>
      </w:pPr>
      <w:r>
        <w:rPr>
          <w:rFonts w:ascii="Calibri" w:hAnsi="Calibri"/>
          <w:b/>
          <w:color w:val="B45309"/>
          <w:sz w:val="18"/>
          <w:highlight w:val="yellow"/>
        </w:rPr>
        <w:t xml:space="preserve">✎ EDIT HERE — </w:t>
      </w:r>
      <w:r>
        <w:rPr>
          <w:rFonts w:ascii="Calibri" w:hAnsi="Calibri"/>
          <w:b/>
          <w:color w:val="B45309"/>
          <w:sz w:val="18"/>
          <w:highlight w:val="yellow"/>
        </w:rPr>
        <w:t>Edge row:</w:t>
      </w:r>
      <w:r>
        <w:rPr>
          <w:rFonts w:ascii="Calibri" w:hAnsi="Calibri"/>
          <w:b w:val="0"/>
          <w:color w:val="B45309"/>
          <w:sz w:val="18"/>
          <w:highlight w:val="yellow"/>
        </w:rPr>
        <w:t xml:space="preserve"> keep </w:t>
      </w:r>
      <w:r>
        <w:rPr>
          <w:rFonts w:ascii="Calibri" w:hAnsi="Calibri"/>
          <w:b/>
          <w:color w:val="B45309"/>
          <w:sz w:val="18"/>
          <w:highlight w:val="yellow"/>
        </w:rPr>
        <w:t>Front Door + WAF</w:t>
      </w:r>
      <w:r>
        <w:rPr>
          <w:rFonts w:ascii="Calibri" w:hAnsi="Calibri"/>
          <w:b w:val="0"/>
          <w:color w:val="B45309"/>
          <w:sz w:val="18"/>
          <w:highlight w:val="yellow"/>
        </w:rPr>
        <w:t xml:space="preserve"> if the app is internet-facing, OR </w:t>
      </w:r>
      <w:r>
        <w:rPr>
          <w:rFonts w:ascii="Calibri" w:hAnsi="Calibri"/>
          <w:b/>
          <w:color w:val="B45309"/>
          <w:sz w:val="18"/>
          <w:highlight w:val="yellow"/>
        </w:rPr>
        <w:t>Application Gateway + WAF</w:t>
      </w:r>
      <w:r>
        <w:rPr>
          <w:rFonts w:ascii="Calibri" w:hAnsi="Calibri"/>
          <w:b w:val="0"/>
          <w:color w:val="B45309"/>
          <w:sz w:val="18"/>
          <w:highlight w:val="yellow"/>
        </w:rPr>
        <w:t xml:space="preserve"> if all users are internal — delete the other. Confirm exposure with Shell first.</w:t>
      </w:r>
    </w:p>
    <w:p>
      <w:pPr>
        <w:spacing w:before="280" w:after="80"/>
      </w:pPr>
      <w:r>
        <w:rPr>
          <w:rFonts w:ascii="Calibri" w:hAnsi="Calibri"/>
          <w:b/>
          <w:color w:val="C8102E"/>
          <w:sz w:val="30"/>
        </w:rPr>
        <w:t>2. Software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2.1 Runtimes &amp; Package Managers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Software</w:t>
            </w:r>
          </w:p>
        </w:tc>
        <w:tc>
          <w:tcPr>
            <w:tcW w:type="dxa" w:w="6912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Version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Python</w:t>
            </w:r>
          </w:p>
        </w:tc>
        <w:tc>
          <w:tcPr>
            <w:tcW w:type="dxa" w:w="691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3.11.x</w:t>
            </w:r>
          </w:p>
        </w:tc>
      </w:tr>
      <w:tr>
        <w:tc>
          <w:tcPr>
            <w:tcW w:type="dxa" w:w="3168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Node.js</w:t>
            </w:r>
          </w:p>
        </w:tc>
        <w:tc>
          <w:tcPr>
            <w:tcW w:type="dxa" w:w="6912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20 LTS (≥ 20.19) or 22 LTS (≥ 22.12) — required by Vite 8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npm / pip / Git</w:t>
            </w:r>
          </w:p>
        </w:tc>
        <w:tc>
          <w:tcPr>
            <w:tcW w:type="dxa" w:w="691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10.x / 23+ / 2.40+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2.2 Application frameworks &amp; open-source policy</w:t>
      </w:r>
    </w:p>
    <w:p>
      <w:pPr>
        <w:spacing w:after="120"/>
      </w:pPr>
      <w:r>
        <w:rPr>
          <w:rFonts w:ascii="Calibri" w:hAnsi="Calibri"/>
          <w:b w:val="0"/>
          <w:color w:val="1A1A1A"/>
          <w:sz w:val="20"/>
        </w:rPr>
        <w:t xml:space="preserve">The application is built on permissively-licensed open-source (MIT / BSD / Apache-2.0; </w:t>
      </w:r>
      <w:r>
        <w:rPr>
          <w:rFonts w:ascii="Calibri" w:hAnsi="Calibri"/>
          <w:b/>
          <w:color w:val="1A1A1A"/>
          <w:sz w:val="20"/>
        </w:rPr>
        <w:t>no copyleft / GPL components</w:t>
      </w:r>
      <w:r>
        <w:rPr>
          <w:rFonts w:ascii="Calibri" w:hAnsi="Calibri"/>
          <w:b w:val="0"/>
          <w:color w:val="1A1A1A"/>
          <w:sz w:val="20"/>
        </w:rPr>
        <w:t xml:space="preserve">). Exact versions are pinned in requirements.txt and package-lock.json, scanned in CI (SonarQube, Trivy, GitLeaks), and a full </w:t>
      </w:r>
      <w:r>
        <w:rPr>
          <w:rFonts w:ascii="Calibri" w:hAnsi="Calibri"/>
          <w:b/>
          <w:color w:val="1A1A1A"/>
          <w:sz w:val="20"/>
        </w:rPr>
        <w:t>SBOM is available on request</w:t>
      </w:r>
      <w:r>
        <w:rPr>
          <w:rFonts w:ascii="Calibri" w:hAnsi="Calibri"/>
          <w:b w:val="0"/>
          <w:color w:val="1A1A1A"/>
          <w:sz w:val="20"/>
        </w:rPr>
        <w:t xml:space="preserve">. </w:t>
      </w:r>
      <w:r>
        <w:rPr>
          <w:rFonts w:ascii="Calibri" w:hAnsi="Calibri"/>
          <w:b/>
          <w:color w:val="1A1A1A"/>
          <w:sz w:val="20"/>
        </w:rPr>
        <w:t>No open-source component requires procurement.</w:t>
      </w:r>
      <w:r>
        <w:rPr>
          <w:rFonts w:ascii="Calibri" w:hAnsi="Calibri"/>
          <w:b w:val="0"/>
          <w:color w:val="1A1A1A"/>
          <w:sz w:val="20"/>
        </w:rPr>
        <w:t xml:space="preserve"> The principal frameworks are: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4032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2304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3744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Role</w:t>
            </w:r>
          </w:p>
        </w:tc>
      </w:tr>
      <w:tr>
        <w:tc>
          <w:tcPr>
            <w:tcW w:type="dxa" w:w="403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FastAPI (Python)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0.115.6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Backend web framework / REST API</w:t>
            </w:r>
          </w:p>
        </w:tc>
      </w:tr>
      <w:tr>
        <w:tc>
          <w:tcPr>
            <w:tcW w:type="dxa" w:w="4032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React + Vite (TypeScript)</w:t>
            </w:r>
          </w:p>
        </w:tc>
        <w:tc>
          <w:tcPr>
            <w:tcW w:type="dxa" w:w="2304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19.2.4 / Vite 8</w:t>
            </w:r>
          </w:p>
        </w:tc>
        <w:tc>
          <w:tcPr>
            <w:tcW w:type="dxa" w:w="3744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Frontend SPA</w:t>
            </w:r>
          </w:p>
        </w:tc>
      </w:tr>
      <w:tr>
        <w:tc>
          <w:tcPr>
            <w:tcW w:type="dxa" w:w="403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Microsoft Agent Framework (MAF) SDK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≈1.8 (pin exact)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Agent orchestration (in-process baseline)</w:t>
            </w:r>
          </w:p>
        </w:tc>
      </w:tr>
      <w:tr>
        <w:tc>
          <w:tcPr>
            <w:tcW w:type="dxa" w:w="4032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openai SDK</w:t>
            </w:r>
          </w:p>
        </w:tc>
        <w:tc>
          <w:tcPr>
            <w:tcW w:type="dxa" w:w="2304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≥ 1.50.0</w:t>
            </w:r>
          </w:p>
        </w:tc>
        <w:tc>
          <w:tcPr>
            <w:tcW w:type="dxa" w:w="3744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LLM client (Foundry Responses API)</w:t>
            </w:r>
          </w:p>
        </w:tc>
      </w:tr>
      <w:tr>
        <w:tc>
          <w:tcPr>
            <w:tcW w:type="dxa" w:w="403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azure-ai-projects / azure-identity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≥ 1.0.0 / ≥ 1.17.0</w:t>
            </w:r>
          </w:p>
        </w:tc>
        <w:tc>
          <w:tcPr>
            <w:tcW w:type="dxa" w:w="374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Foundry client / Entra auth</w:t>
            </w:r>
          </w:p>
        </w:tc>
      </w:tr>
    </w:tbl>
    <w:p/>
    <w:p>
      <w:pPr>
        <w:spacing w:before="40" w:after="120"/>
        <w:ind w:left="144"/>
      </w:pPr>
      <w:r>
        <w:rPr>
          <w:rFonts w:ascii="Calibri" w:hAnsi="Calibri"/>
          <w:b/>
          <w:color w:val="B45309"/>
          <w:sz w:val="18"/>
          <w:highlight w:val="yellow"/>
        </w:rPr>
        <w:t xml:space="preserve">✎ EDIT HERE — </w:t>
      </w:r>
      <w:r>
        <w:rPr>
          <w:rFonts w:ascii="Calibri" w:hAnsi="Calibri"/>
          <w:b w:val="0"/>
          <w:color w:val="B45309"/>
          <w:sz w:val="18"/>
          <w:highlight w:val="yellow"/>
        </w:rPr>
        <w:t xml:space="preserve">This table replaces the old per-package list. Do </w:t>
      </w:r>
      <w:r>
        <w:rPr>
          <w:rFonts w:ascii="Calibri" w:hAnsi="Calibri"/>
          <w:b/>
          <w:color w:val="B45309"/>
          <w:sz w:val="18"/>
          <w:highlight w:val="yellow"/>
        </w:rPr>
        <w:t>not</w:t>
      </w:r>
      <w:r>
        <w:rPr>
          <w:rFonts w:ascii="Calibri" w:hAnsi="Calibri"/>
          <w:b w:val="0"/>
          <w:color w:val="B45309"/>
          <w:sz w:val="18"/>
          <w:highlight w:val="yellow"/>
        </w:rPr>
        <w:t xml:space="preserve"> re-add individual libraries (uvicorn, httpx, pydantic, etc.) — they are implementation detail covered by the SBOM, and listing them invites procurement questions for things that cost nothing. Keep only the stack-defining frameworks above.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2.3 AI / Agent Stack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6912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Version / Detail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MAF SDK</w:t>
            </w:r>
          </w:p>
        </w:tc>
        <w:tc>
          <w:tcPr>
            <w:tcW w:type="dxa" w:w="691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1.x (≈1.8, Jun 2026) — pin exact. In-process baseline; Foundry Hosted Agents a future option</w:t>
            </w:r>
          </w:p>
        </w:tc>
      </w:tr>
      <w:tr>
        <w:tc>
          <w:tcPr>
            <w:tcW w:type="dxa" w:w="3168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Microsoft Foundry</w:t>
            </w:r>
          </w:p>
        </w:tc>
        <w:tc>
          <w:tcPr>
            <w:tcW w:type="dxa" w:w="6912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Responses API + content safety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Model</w:t>
            </w:r>
          </w:p>
        </w:tc>
        <w:tc>
          <w:tcPr>
            <w:tcW w:type="dxa" w:w="691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 xml:space="preserve">gpt-4.1 / gpt-4o — </w:t>
            </w:r>
            <w:r>
              <w:rPr>
                <w:rFonts w:ascii="Calibri" w:hAnsi="Calibri"/>
                <w:b/>
                <w:sz w:val="19"/>
              </w:rPr>
              <w:t>Microsoft Foundry (Azure OpenAI) only</w:t>
            </w:r>
            <w:r>
              <w:rPr>
                <w:rFonts w:ascii="Calibri" w:hAnsi="Calibri"/>
                <w:b w:val="0"/>
                <w:sz w:val="19"/>
              </w:rPr>
              <w:t>. No third-party LLM</w:t>
            </w:r>
          </w:p>
        </w:tc>
      </w:tr>
      <w:tr>
        <w:tc>
          <w:tcPr>
            <w:tcW w:type="dxa" w:w="3168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Authentication</w:t>
            </w:r>
          </w:p>
        </w:tc>
        <w:tc>
          <w:tcPr>
            <w:tcW w:type="dxa" w:w="6912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Entra ID (DefaultAzureCredential / app-only certificate) — no API keys in code</w:t>
            </w:r>
          </w:p>
        </w:tc>
      </w:tr>
    </w:tbl>
    <w:p/>
    <w:p>
      <w:pPr>
        <w:spacing w:before="40" w:after="120"/>
        <w:ind w:left="144"/>
      </w:pPr>
      <w:r>
        <w:rPr>
          <w:rFonts w:ascii="Calibri" w:hAnsi="Calibri"/>
          <w:b/>
          <w:color w:val="B45309"/>
          <w:sz w:val="18"/>
          <w:highlight w:val="yellow"/>
        </w:rPr>
        <w:t xml:space="preserve">✎ EDIT HERE — </w:t>
      </w:r>
      <w:r>
        <w:rPr>
          <w:rFonts w:ascii="Calibri" w:hAnsi="Calibri"/>
          <w:b/>
          <w:color w:val="B45309"/>
          <w:sz w:val="18"/>
          <w:highlight w:val="yellow"/>
        </w:rPr>
        <w:t>Model row:</w:t>
      </w:r>
      <w:r>
        <w:rPr>
          <w:rFonts w:ascii="Calibri" w:hAnsi="Calibri"/>
          <w:b w:val="0"/>
          <w:color w:val="B45309"/>
          <w:sz w:val="18"/>
          <w:highlight w:val="yellow"/>
        </w:rPr>
        <w:t xml:space="preserve"> confirm the exact model — </w:t>
      </w:r>
      <w:r>
        <w:rPr>
          <w:rFonts w:ascii="Calibri" w:hAnsi="Calibri"/>
          <w:b/>
          <w:color w:val="B45309"/>
          <w:sz w:val="18"/>
          <w:highlight w:val="yellow"/>
        </w:rPr>
        <w:t>gpt-4o</w:t>
      </w:r>
      <w:r>
        <w:rPr>
          <w:rFonts w:ascii="Calibri" w:hAnsi="Calibri"/>
          <w:b w:val="0"/>
          <w:color w:val="B45309"/>
          <w:sz w:val="18"/>
          <w:highlight w:val="yellow"/>
        </w:rPr>
        <w:t xml:space="preserve"> or </w:t>
      </w:r>
      <w:r>
        <w:rPr>
          <w:rFonts w:ascii="Calibri" w:hAnsi="Calibri"/>
          <w:b/>
          <w:color w:val="B45309"/>
          <w:sz w:val="18"/>
          <w:highlight w:val="yellow"/>
        </w:rPr>
        <w:t>gpt-4.1</w:t>
      </w:r>
      <w:r>
        <w:rPr>
          <w:rFonts w:ascii="Calibri" w:hAnsi="Calibri"/>
          <w:b w:val="0"/>
          <w:color w:val="B45309"/>
          <w:sz w:val="18"/>
          <w:highlight w:val="yellow"/>
        </w:rPr>
        <w:t xml:space="preserve"> — and pin the dated snapshot. Anthropic/Claude already removed; the LLMProvider abstraction stays internal only.</w:t>
      </w:r>
    </w:p>
    <w:p>
      <w:pPr>
        <w:spacing w:before="160" w:after="40"/>
      </w:pPr>
      <w:r>
        <w:rPr>
          <w:rFonts w:ascii="Calibri" w:hAnsi="Calibri"/>
          <w:b/>
          <w:color w:val="1A1A1A"/>
          <w:sz w:val="23"/>
        </w:rPr>
        <w:t>2.4 Developer &amp; CI Tooling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Tool</w:t>
            </w:r>
          </w:p>
        </w:tc>
        <w:tc>
          <w:tcPr>
            <w:tcW w:type="dxa" w:w="2304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4608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GitHub Copilot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Business / Enterprise</w:t>
            </w:r>
          </w:p>
        </w:tc>
        <w:tc>
          <w:tcPr>
            <w:tcW w:type="dxa" w:w="460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AI pair-programming assistant (replaces Claude Code)</w:t>
            </w:r>
          </w:p>
        </w:tc>
      </w:tr>
      <w:tr>
        <w:tc>
          <w:tcPr>
            <w:tcW w:type="dxa" w:w="3168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Azure CLI (az)</w:t>
            </w:r>
          </w:p>
        </w:tc>
        <w:tc>
          <w:tcPr>
            <w:tcW w:type="dxa" w:w="2304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2.60+</w:t>
            </w:r>
          </w:p>
        </w:tc>
        <w:tc>
          <w:tcPr>
            <w:tcW w:type="dxa" w:w="4608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Azure / Foundry / Graph authentication</w:t>
            </w:r>
          </w:p>
        </w:tc>
      </w:tr>
      <w:tr>
        <w:tc>
          <w:tcPr>
            <w:tcW w:type="dxa" w:w="316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Docker</w:t>
            </w:r>
          </w:p>
        </w:tc>
        <w:tc>
          <w:tcPr>
            <w:tcW w:type="dxa" w:w="230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24+</w:t>
            </w:r>
          </w:p>
        </w:tc>
        <w:tc>
          <w:tcPr>
            <w:tcW w:type="dxa" w:w="460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Container image builds</w:t>
            </w:r>
          </w:p>
        </w:tc>
      </w:tr>
      <w:tr>
        <w:tc>
          <w:tcPr>
            <w:tcW w:type="dxa" w:w="3168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ruff / eslint</w:t>
            </w:r>
          </w:p>
        </w:tc>
        <w:tc>
          <w:tcPr>
            <w:tcW w:type="dxa" w:w="2304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latest</w:t>
            </w:r>
          </w:p>
        </w:tc>
        <w:tc>
          <w:tcPr>
            <w:tcW w:type="dxa" w:w="4608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Linting in CI</w:t>
            </w:r>
          </w:p>
        </w:tc>
      </w:tr>
    </w:tbl>
    <w:p/>
    <w:p>
      <w:pPr>
        <w:spacing w:before="40" w:after="120"/>
        <w:ind w:left="144"/>
      </w:pPr>
      <w:r>
        <w:rPr>
          <w:rFonts w:ascii="Calibri" w:hAnsi="Calibri"/>
          <w:b/>
          <w:color w:val="B45309"/>
          <w:sz w:val="18"/>
          <w:highlight w:val="yellow"/>
        </w:rPr>
        <w:t xml:space="preserve">✎ EDIT HERE — </w:t>
      </w:r>
      <w:r>
        <w:rPr>
          <w:rFonts w:ascii="Calibri" w:hAnsi="Calibri"/>
          <w:b/>
          <w:color w:val="B45309"/>
          <w:sz w:val="18"/>
          <w:highlight w:val="yellow"/>
        </w:rPr>
        <w:t>Tooling:</w:t>
      </w:r>
      <w:r>
        <w:rPr>
          <w:rFonts w:ascii="Calibri" w:hAnsi="Calibri"/>
          <w:b w:val="0"/>
          <w:color w:val="B45309"/>
          <w:sz w:val="18"/>
          <w:highlight w:val="yellow"/>
        </w:rPr>
        <w:t xml:space="preserve"> GitHub Copilot is the agreed replacement for Claude Code. If a different AI coding tool was decided on the call, replace it here and in LIC6 below.</w:t>
      </w:r>
    </w:p>
    <w:p>
      <w:pPr>
        <w:spacing w:before="280" w:after="80"/>
      </w:pPr>
      <w:r>
        <w:rPr>
          <w:rFonts w:ascii="Calibri" w:hAnsi="Calibri"/>
          <w:b/>
          <w:color w:val="C8102E"/>
          <w:sz w:val="30"/>
        </w:rPr>
        <w:t>3. Licences &amp; Subscriptions (commercial only)</w:t>
      </w:r>
    </w:p>
    <w:p>
      <w:pPr>
        <w:spacing w:after="120"/>
      </w:pPr>
      <w:r>
        <w:rPr>
          <w:rFonts w:ascii="Calibri" w:hAnsi="Calibri"/>
          <w:b w:val="0"/>
          <w:color w:val="1A1A1A"/>
          <w:sz w:val="20"/>
        </w:rPr>
        <w:t>Only commercial items that require procurement are listed. Open-source components carry no licence cost and need only a licence / security review (see §2.2). Costs are indicative and depend on Shell tier and usage.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#</w:t>
            </w:r>
          </w:p>
        </w:tc>
        <w:tc>
          <w:tcPr>
            <w:tcW w:type="dxa" w:w="4896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Licence</w:t>
            </w:r>
          </w:p>
        </w:tc>
        <w:tc>
          <w:tcPr>
            <w:tcW w:type="dxa" w:w="2160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Tier</w:t>
            </w:r>
          </w:p>
        </w:tc>
        <w:tc>
          <w:tcPr>
            <w:tcW w:type="dxa" w:w="2160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Indicative cost</w:t>
            </w:r>
          </w:p>
        </w:tc>
      </w:tr>
      <w:tr>
        <w:tc>
          <w:tcPr>
            <w:tcW w:type="dxa" w:w="86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LIC1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Microsoft 365 (E3/E5) — service mailbox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Per-user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~$23 (E3) / ~$57 (E5) /user/mo</w:t>
            </w:r>
          </w:p>
        </w:tc>
      </w:tr>
      <w:tr>
        <w:tc>
          <w:tcPr>
            <w:tcW w:type="dxa" w:w="864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LIC2</w:t>
            </w:r>
          </w:p>
        </w:tc>
        <w:tc>
          <w:tcPr>
            <w:tcW w:type="dxa" w:w="4896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Microsoft Entra ID</w:t>
            </w:r>
          </w:p>
        </w:tc>
        <w:tc>
          <w:tcPr>
            <w:tcW w:type="dxa" w:w="2160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Included in M365</w:t>
            </w:r>
          </w:p>
        </w:tc>
        <w:tc>
          <w:tcPr>
            <w:tcW w:type="dxa" w:w="2160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—</w:t>
            </w:r>
          </w:p>
        </w:tc>
      </w:tr>
      <w:tr>
        <w:tc>
          <w:tcPr>
            <w:tcW w:type="dxa" w:w="86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LIC3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Azure subscription (VM, SWA, datastore, Key Vault, edge, App Insights, ACR)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Consumption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~$450–650/mo prod; +~$80–120/mo non-prod</w:t>
            </w:r>
          </w:p>
        </w:tc>
      </w:tr>
      <w:tr>
        <w:tc>
          <w:tcPr>
            <w:tcW w:type="dxa" w:w="864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LIC4</w:t>
            </w:r>
          </w:p>
        </w:tc>
        <w:tc>
          <w:tcPr>
            <w:tcW w:type="dxa" w:w="4896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Microsoft Foundry / Azure OpenAI (gpt-4.1 / gpt-4o)</w:t>
            </w:r>
          </w:p>
        </w:tc>
        <w:tc>
          <w:tcPr>
            <w:tcW w:type="dxa" w:w="2160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Pay-per-token</w:t>
            </w:r>
          </w:p>
        </w:tc>
        <w:tc>
          <w:tcPr>
            <w:tcW w:type="dxa" w:w="2160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~$1,000/mo — Shell.AI + TRB approval</w:t>
            </w:r>
          </w:p>
        </w:tc>
      </w:tr>
      <w:tr>
        <w:tc>
          <w:tcPr>
            <w:tcW w:type="dxa" w:w="86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LIC5</w:t>
            </w:r>
          </w:p>
        </w:tc>
        <w:tc>
          <w:tcPr>
            <w:tcW w:type="dxa" w:w="489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Azure DevOps / GitHub Enterprise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SaaS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Included in Microsoft EA</w:t>
            </w:r>
          </w:p>
        </w:tc>
      </w:tr>
      <w:tr>
        <w:tc>
          <w:tcPr>
            <w:tcW w:type="dxa" w:w="864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LIC6</w:t>
            </w:r>
          </w:p>
        </w:tc>
        <w:tc>
          <w:tcPr>
            <w:tcW w:type="dxa" w:w="4896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GitHub Copilot</w:t>
            </w:r>
          </w:p>
        </w:tc>
        <w:tc>
          <w:tcPr>
            <w:tcW w:type="dxa" w:w="2160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Business / Enterprise seat</w:t>
            </w:r>
          </w:p>
        </w:tc>
        <w:tc>
          <w:tcPr>
            <w:tcW w:type="dxa" w:w="2160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~$19 (Business) / ~$39 (Enterprise) /user/mo</w:t>
            </w:r>
          </w:p>
        </w:tc>
      </w:tr>
    </w:tbl>
    <w:p/>
    <w:p>
      <w:pPr>
        <w:spacing w:before="40" w:after="120"/>
        <w:ind w:left="144"/>
      </w:pPr>
      <w:r>
        <w:rPr>
          <w:rFonts w:ascii="Calibri" w:hAnsi="Calibri"/>
          <w:b/>
          <w:color w:val="B45309"/>
          <w:sz w:val="18"/>
          <w:highlight w:val="yellow"/>
        </w:rPr>
        <w:t xml:space="preserve">✎ EDIT HERE — </w:t>
      </w:r>
      <w:r>
        <w:rPr>
          <w:rFonts w:ascii="Calibri" w:hAnsi="Calibri"/>
          <w:b w:val="0"/>
          <w:color w:val="B45309"/>
          <w:sz w:val="18"/>
          <w:highlight w:val="yellow"/>
        </w:rPr>
        <w:t>Open-source components are intentionally NOT in this table — they need no procurement. Confirm the Copilot tier (Business vs Enterprise), and replace indicative costs with Shell-confirmed figures before sharing externally.</w:t>
      </w:r>
    </w:p>
    <w:p>
      <w:pPr>
        <w:spacing w:before="280" w:after="80"/>
      </w:pPr>
      <w:r>
        <w:rPr>
          <w:rFonts w:ascii="Calibri" w:hAnsi="Calibri"/>
          <w:b/>
          <w:color w:val="C8102E"/>
          <w:sz w:val="30"/>
        </w:rPr>
        <w:t>4. Access &amp; Identity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52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Ref</w:t>
            </w:r>
          </w:p>
        </w:tc>
        <w:tc>
          <w:tcPr>
            <w:tcW w:type="dxa" w:w="6336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Item</w:t>
            </w:r>
          </w:p>
        </w:tc>
        <w:tc>
          <w:tcPr>
            <w:tcW w:type="dxa" w:w="2592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Owner</w:t>
            </w:r>
          </w:p>
        </w:tc>
      </w:tr>
      <w:tr>
        <w:tc>
          <w:tcPr>
            <w:tcW w:type="dxa" w:w="115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I1–I2</w:t>
            </w:r>
          </w:p>
        </w:tc>
        <w:tc>
          <w:tcPr>
            <w:tcW w:type="dxa" w:w="633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App registrations + certificate credentials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Shell Entra ID</w:t>
            </w:r>
          </w:p>
        </w:tc>
      </w:tr>
      <w:tr>
        <w:tc>
          <w:tcPr>
            <w:tcW w:type="dxa" w:w="1152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I3</w:t>
            </w:r>
          </w:p>
        </w:tc>
        <w:tc>
          <w:tcPr>
            <w:tcW w:type="dxa" w:w="6336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Admin consent: Mail.Send, Mail.Read, Calendars.ReadWrite, OnlineMeetings.ReadWrite.All, User.Read.All</w:t>
            </w:r>
          </w:p>
        </w:tc>
        <w:tc>
          <w:tcPr>
            <w:tcW w:type="dxa" w:w="2592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Shell Entra ID (global admin)</w:t>
            </w:r>
          </w:p>
        </w:tc>
      </w:tr>
      <w:tr>
        <w:tc>
          <w:tcPr>
            <w:tcW w:type="dxa" w:w="115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I5–I6</w:t>
            </w:r>
          </w:p>
        </w:tc>
        <w:tc>
          <w:tcPr>
            <w:tcW w:type="dxa" w:w="633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Entra role groups + Application Access Policy (mailbox-scoped)</w:t>
            </w:r>
          </w:p>
        </w:tc>
        <w:tc>
          <w:tcPr>
            <w:tcW w:type="dxa" w:w="2592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Shell IAM / Exchange</w:t>
            </w:r>
          </w:p>
        </w:tc>
      </w:tr>
    </w:tbl>
    <w:p/>
    <w:p>
      <w:pPr>
        <w:spacing w:before="280" w:after="80"/>
      </w:pPr>
      <w:r>
        <w:rPr>
          <w:rFonts w:ascii="Calibri" w:hAnsi="Calibri"/>
          <w:b/>
          <w:color w:val="C8102E"/>
          <w:sz w:val="30"/>
        </w:rPr>
        <w:t>5. Assumptions &amp; Constraints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1A1A1A"/>
          <w:sz w:val="20"/>
        </w:rPr>
        <w:t>Targets the Shell production stack (MAF + Foundry + Azure + Outlook). PoC Google components removed.</w:t>
      </w:r>
    </w:p>
    <w:p>
      <w:pPr>
        <w:pStyle w:val="ListBullet"/>
        <w:spacing w:after="40"/>
      </w:pPr>
      <w:r>
        <w:rPr>
          <w:rFonts w:ascii="Calibri" w:hAnsi="Calibri"/>
          <w:b/>
          <w:color w:val="1A1A1A"/>
          <w:sz w:val="20"/>
        </w:rPr>
        <w:t>The LLM provider is Microsoft Foundry (Azure OpenAI) only; Anthropic / Claude are out of scope.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1A1A1A"/>
          <w:sz w:val="20"/>
        </w:rPr>
        <w:t>All open-source is permissively licensed (MIT/BSD/Apache-2.0); versions pinned and CVE-scanned in CI; SBOM available on request.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1A1A1A"/>
          <w:sz w:val="20"/>
        </w:rPr>
        <w:t>Secrets come from Key Vault via Managed Identity in deployed environments; .env is dev-only.</w:t>
      </w:r>
    </w:p>
    <w:p>
      <w:pPr>
        <w:pStyle w:val="ListBullet"/>
        <w:spacing w:after="40"/>
      </w:pPr>
      <w:r>
        <w:rPr>
          <w:rFonts w:ascii="Calibri" w:hAnsi="Calibri"/>
          <w:b w:val="0"/>
          <w:color w:val="1A1A1A"/>
          <w:sz w:val="20"/>
        </w:rPr>
        <w:t>There is no local GPU requirement — all model inference runs remotely in Foundry.</w:t>
      </w:r>
    </w:p>
    <w:p>
      <w:pPr>
        <w:spacing w:before="40" w:after="120"/>
        <w:ind w:left="144"/>
      </w:pPr>
      <w:r>
        <w:rPr>
          <w:rFonts w:ascii="Calibri" w:hAnsi="Calibri"/>
          <w:b/>
          <w:color w:val="B45309"/>
          <w:sz w:val="18"/>
          <w:highlight w:val="yellow"/>
        </w:rPr>
        <w:t xml:space="preserve">✎ EDIT HERE — </w:t>
      </w:r>
      <w:r>
        <w:rPr>
          <w:rFonts w:ascii="Calibri" w:hAnsi="Calibri"/>
          <w:b w:val="0"/>
          <w:color w:val="B45309"/>
          <w:sz w:val="18"/>
          <w:highlight w:val="yellow"/>
        </w:rPr>
        <w:t>Add a data-residency line if Shell requires a named region (e.g. West Europe) for Azure / Foundry / PostgreSQL.</w:t>
      </w:r>
    </w:p>
    <w:p>
      <w:pPr>
        <w:spacing w:before="280" w:after="80"/>
      </w:pPr>
      <w:r>
        <w:rPr>
          <w:rFonts w:ascii="Calibri" w:hAnsi="Calibri"/>
          <w:b/>
          <w:color w:val="C8102E"/>
          <w:sz w:val="30"/>
        </w:rPr>
        <w:t>6. Developer Workstation</w:t>
      </w:r>
    </w:p>
    <w:p>
      <w:pPr>
        <w:spacing w:after="120"/>
      </w:pPr>
      <w:r>
        <w:rPr>
          <w:rFonts w:ascii="Calibri" w:hAnsi="Calibri"/>
          <w:b w:val="0"/>
          <w:color w:val="1A1A1A"/>
          <w:sz w:val="20"/>
        </w:rPr>
        <w:t>No local GPU is required — all inference is remote, so a standard development laptop is sufficient.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584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4320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Minimum</w:t>
            </w:r>
          </w:p>
        </w:tc>
        <w:tc>
          <w:tcPr>
            <w:tcW w:type="dxa" w:w="4176"/>
            <w:shd w:val="clear" w:color="auto" w:fill="C8102E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color w:val="FFFFFF"/>
                <w:sz w:val="19"/>
              </w:rPr>
              <w:t>Recommended</w:t>
            </w:r>
          </w:p>
        </w:tc>
      </w:tr>
      <w:tr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CPU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i5 11th Gen / Ryzen 5 5000 (4c/8t)</w:t>
            </w:r>
          </w:p>
        </w:tc>
        <w:tc>
          <w:tcPr>
            <w:tcW w:type="dxa" w:w="417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i7/i9 12th Gen+ / Ryzen 7–9 (8c+)</w:t>
            </w:r>
          </w:p>
        </w:tc>
      </w:tr>
      <w:tr>
        <w:tc>
          <w:tcPr>
            <w:tcW w:type="dxa" w:w="1584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RAM</w:t>
            </w:r>
          </w:p>
        </w:tc>
        <w:tc>
          <w:tcPr>
            <w:tcW w:type="dxa" w:w="4320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32 GB</w:t>
            </w:r>
          </w:p>
        </w:tc>
        <w:tc>
          <w:tcPr>
            <w:tcW w:type="dxa" w:w="4176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32–64 GB</w:t>
            </w:r>
          </w:p>
        </w:tc>
      </w:tr>
      <w:tr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Storage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512 GB SSD, ≥ 100 GB free</w:t>
            </w:r>
          </w:p>
        </w:tc>
        <w:tc>
          <w:tcPr>
            <w:tcW w:type="dxa" w:w="417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1 TB NVMe</w:t>
            </w:r>
          </w:p>
        </w:tc>
      </w:tr>
      <w:tr>
        <w:tc>
          <w:tcPr>
            <w:tcW w:type="dxa" w:w="1584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GPU</w:t>
            </w:r>
          </w:p>
        </w:tc>
        <w:tc>
          <w:tcPr>
            <w:tcW w:type="dxa" w:w="4320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None (inference is remote to Foundry)</w:t>
            </w:r>
          </w:p>
        </w:tc>
        <w:tc>
          <w:tcPr>
            <w:tcW w:type="dxa" w:w="4176"/>
            <w:shd w:val="clear" w:color="auto" w:fill="F5F6F8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—</w:t>
            </w:r>
          </w:p>
        </w:tc>
      </w:tr>
      <w:tr>
        <w:tc>
          <w:tcPr>
            <w:tcW w:type="dxa" w:w="1584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OS</w:t>
            </w:r>
          </w:p>
        </w:tc>
        <w:tc>
          <w:tcPr>
            <w:tcW w:type="dxa" w:w="4320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Windows 11 Pro / macOS 13+ / Ubuntu 22.04+</w:t>
            </w:r>
          </w:p>
        </w:tc>
        <w:tc>
          <w:tcPr>
            <w:tcW w:type="dxa" w:w="4176"/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sz w:val="19"/>
              </w:rPr>
              <w:t>+ WSL2 on Windows</w:t>
            </w:r>
          </w:p>
        </w:tc>
      </w:tr>
    </w:tbl>
    <w:p/>
    <w:p>
      <w:pPr>
        <w:spacing w:before="240"/>
        <w:jc w:val="center"/>
      </w:pPr>
      <w:r>
        <w:rPr>
          <w:rFonts w:ascii="Calibri" w:hAnsi="Calibri"/>
          <w:color w:val="555555"/>
          <w:sz w:val="16"/>
        </w:rPr>
        <w:t>ZenVendorPulse — Infrastructure &amp; Software Requirements · Zensar for Shell · v2.0 DRAFT · 16 June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