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b/>
          <w:bCs/>
          <w:color w:val="1F3864"/>
          <w:sz w:val="56"/>
          <w:szCs w:val="56"/>
        </w:rPr>
        <w:t xml:space="preserve">ZenVendorPulse (VendorPulse)</w:t>
      </w:r>
    </w:p>
    <w:p>
      <w:pPr>
        <w:spacing w:after="80"/>
        <w:jc w:val="center"/>
      </w:pPr>
      <w:r>
        <w:rPr>
          <w:b/>
          <w:bCs/>
          <w:color w:val="2E75B6"/>
          <w:sz w:val="36"/>
          <w:szCs w:val="36"/>
        </w:rPr>
        <w:t xml:space="preserve">Business Requirements Document (BRD)</w:t>
      </w:r>
    </w:p>
    <w:p>
      <w:pPr>
        <w:spacing w:after="600"/>
        <w:jc w:val="center"/>
      </w:pPr>
      <w:r>
        <w:rPr>
          <w:i/>
          <w:iCs/>
          <w:color w:val="555555"/>
          <w:sz w:val="24"/>
          <w:szCs w:val="24"/>
        </w:rPr>
        <w:t xml:space="preserve">Automating Shell EGB &amp; QBR Cycles — Mobility VMO and IDT Operations</w:t>
      </w:r>
    </w:p>
    <w:p>
      <w:pPr>
        <w:pBdr>
          <w:top w:val="single" w:color="2E75B6" w:sz="12" w:space="8"/>
          <w:bottom w:val="single" w:color="2E75B6" w:sz="12" w:space="8"/>
        </w:pBdr>
        <w:spacing w:after="200" w:before="200"/>
        <w:jc w:val="center"/>
      </w:pPr>
      <w:r>
        <w:rPr>
          <w:color w:val="1F3864"/>
          <w:sz w:val="22"/>
          <w:szCs w:val="22"/>
        </w:rPr>
        <w:t xml:space="preserve">Process Definition · Functional Requirements · Open Questions</w:t>
      </w:r>
    </w:p>
    <w:p>
      <w:pPr>
        <w:spacing w:before="1800"/>
        <w:jc w:val="center"/>
      </w:pPr>
      <w:r>
        <w:rPr>
          <w:color w:val="555555"/>
          <w:sz w:val="22"/>
          <w:szCs w:val="22"/>
        </w:rPr>
        <w:t>Version 1.1  ·  Status: Draft for Review</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left w:val="single" w:color="BBBBBB" w:sz="4"/>
              <w:bottom w:val="single" w:color="BBBBBB" w:sz="4"/>
              <w:right w:val="single" w:color="BBBBBB" w:sz="4"/>
            </w:tcBorders>
            <w:shd w:fill="D9E2F3" w:val="clear"/>
            <w:tcMar>
              <w:top w:type="dxa" w:w="80"/>
              <w:left w:type="dxa" w:w="140"/>
              <w:bottom w:type="dxa" w:w="80"/>
              <w:right w:type="dxa" w:w="140"/>
            </w:tcMar>
            <w:vAlign w:val="center"/>
          </w:tcPr>
          <w:p>
            <w:pPr>
              <w:spacing w:after="0" w:line="252"/>
            </w:pPr>
            <w:r>
              <w:rPr>
                <w:b/>
                <w:bCs/>
                <w:sz w:val="21"/>
                <w:szCs w:val="21"/>
              </w:rPr>
              <w:t xml:space="preserve">Document Title</w:t>
            </w:r>
          </w:p>
        </w:tc>
        <w:tc>
          <w:tcPr>
            <w:tcW w:type="dxa" w:w="6760"/>
            <w:tcBorders>
              <w:top w:val="single" w:color="BBBBBB" w:sz="4"/>
              <w:left w:val="single" w:color="BBBBBB" w:sz="4"/>
              <w:bottom w:val="single" w:color="BBBBBB" w:sz="4"/>
              <w:right w:val="single" w:color="BBBBBB" w:sz="4"/>
            </w:tcBorders>
            <w:shd w:fill="FAFBFD" w:val="clear"/>
            <w:tcMar>
              <w:top w:type="dxa" w:w="80"/>
              <w:left w:type="dxa" w:w="140"/>
              <w:bottom w:type="dxa" w:w="80"/>
              <w:right w:type="dxa" w:w="140"/>
            </w:tcMar>
            <w:vAlign w:val="center"/>
          </w:tcPr>
          <w:p>
            <w:pPr>
              <w:spacing w:after="0" w:line="252"/>
            </w:pPr>
            <w:r>
              <w:rPr>
                <w:sz w:val="21"/>
                <w:szCs w:val="21"/>
              </w:rPr>
              <w:t xml:space="preserve">ZenVendorPulse (VendorPulse) — Business Requirements Document</w:t>
            </w:r>
          </w:p>
        </w:tc>
      </w:tr>
      <w:tr>
        <w:tc>
          <w:tcPr>
            <w:tcW w:type="dxa" w:w="2600"/>
            <w:tcBorders>
              <w:top w:val="single" w:color="BBBBBB" w:sz="4"/>
              <w:left w:val="single" w:color="BBBBBB" w:sz="4"/>
              <w:bottom w:val="single" w:color="BBBBBB" w:sz="4"/>
              <w:right w:val="single" w:color="BBBBBB" w:sz="4"/>
            </w:tcBorders>
            <w:shd w:fill="D9E2F3" w:val="clear"/>
            <w:tcMar>
              <w:top w:type="dxa" w:w="80"/>
              <w:left w:type="dxa" w:w="140"/>
              <w:bottom w:type="dxa" w:w="80"/>
              <w:right w:type="dxa" w:w="140"/>
            </w:tcMar>
            <w:vAlign w:val="center"/>
          </w:tcPr>
          <w:p>
            <w:pPr>
              <w:spacing w:after="0" w:line="252"/>
            </w:pPr>
            <w:r>
              <w:rPr>
                <w:b/>
                <w:bCs/>
                <w:sz w:val="21"/>
                <w:szCs w:val="21"/>
              </w:rPr>
              <w:t xml:space="preserve">Product / Initiative</w:t>
            </w:r>
          </w:p>
        </w:tc>
        <w:tc>
          <w:tcPr>
            <w:tcW w:type="dxa" w:w="6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VendorPulse MVP — EGB/QBR cycle automation</w:t>
            </w:r>
          </w:p>
        </w:tc>
      </w:tr>
      <w:tr>
        <w:tc>
          <w:tcPr>
            <w:tcW w:type="dxa" w:w="2600"/>
            <w:tcBorders>
              <w:top w:val="single" w:color="BBBBBB" w:sz="4"/>
              <w:left w:val="single" w:color="BBBBBB" w:sz="4"/>
              <w:bottom w:val="single" w:color="BBBBBB" w:sz="4"/>
              <w:right w:val="single" w:color="BBBBBB" w:sz="4"/>
            </w:tcBorders>
            <w:shd w:fill="D9E2F3" w:val="clear"/>
            <w:tcMar>
              <w:top w:type="dxa" w:w="80"/>
              <w:left w:type="dxa" w:w="140"/>
              <w:bottom w:type="dxa" w:w="80"/>
              <w:right w:type="dxa" w:w="140"/>
            </w:tcMar>
            <w:vAlign w:val="center"/>
          </w:tcPr>
          <w:p>
            <w:pPr>
              <w:spacing w:after="0" w:line="252"/>
            </w:pPr>
            <w:r>
              <w:rPr>
                <w:b/>
                <w:bCs/>
                <w:sz w:val="21"/>
                <w:szCs w:val="21"/>
              </w:rPr>
              <w:t xml:space="preserve">Client / Business Owner</w:t>
            </w:r>
          </w:p>
        </w:tc>
        <w:tc>
          <w:tcPr>
            <w:tcW w:type="dxa" w:w="6760"/>
            <w:tcBorders>
              <w:top w:val="single" w:color="BBBBBB" w:sz="4"/>
              <w:left w:val="single" w:color="BBBBBB" w:sz="4"/>
              <w:bottom w:val="single" w:color="BBBBBB" w:sz="4"/>
              <w:right w:val="single" w:color="BBBBBB" w:sz="4"/>
            </w:tcBorders>
            <w:shd w:fill="FAFBFD" w:val="clear"/>
            <w:tcMar>
              <w:top w:type="dxa" w:w="80"/>
              <w:left w:type="dxa" w:w="140"/>
              <w:bottom w:type="dxa" w:w="80"/>
              <w:right w:type="dxa" w:w="140"/>
            </w:tcMar>
            <w:vAlign w:val="center"/>
          </w:tcPr>
          <w:p>
            <w:pPr>
              <w:spacing w:after="0" w:line="252"/>
            </w:pPr>
            <w:r>
              <w:rPr>
                <w:sz w:val="21"/>
                <w:szCs w:val="21"/>
              </w:rPr>
              <w:t xml:space="preserve">Shell — Mobility VMO and IDT Operations</w:t>
            </w:r>
          </w:p>
        </w:tc>
      </w:tr>
      <w:tr>
        <w:tc>
          <w:tcPr>
            <w:tcW w:type="dxa" w:w="2600"/>
            <w:tcBorders>
              <w:top w:val="single" w:color="BBBBBB" w:sz="4"/>
              <w:left w:val="single" w:color="BBBBBB" w:sz="4"/>
              <w:bottom w:val="single" w:color="BBBBBB" w:sz="4"/>
              <w:right w:val="single" w:color="BBBBBB" w:sz="4"/>
            </w:tcBorders>
            <w:shd w:fill="D9E2F3" w:val="clear"/>
            <w:tcMar>
              <w:top w:type="dxa" w:w="80"/>
              <w:left w:type="dxa" w:w="140"/>
              <w:bottom w:type="dxa" w:w="80"/>
              <w:right w:type="dxa" w:w="140"/>
            </w:tcMar>
            <w:vAlign w:val="center"/>
          </w:tcPr>
          <w:p>
            <w:pPr>
              <w:spacing w:after="0" w:line="252"/>
            </w:pPr>
            <w:r>
              <w:rPr>
                <w:b/>
                <w:bCs/>
                <w:sz w:val="21"/>
                <w:szCs w:val="21"/>
              </w:rPr>
              <w:t xml:space="preserve">Version</w:t>
            </w:r>
          </w:p>
        </w:tc>
        <w:tc>
          <w:tcPr>
            <w:tcW w:type="dxa" w:w="6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before="0"/>
            </w:pPr>
            <w:r/>
            <w:r>
              <w:rPr>
                <w:rFonts w:ascii="Calibri" w:hAnsi="Calibri"/>
                <w:b w:val="0"/>
                <w:color w:val="1A1A1A"/>
                <w:sz w:val="21"/>
              </w:rPr>
              <w:t>1.1</w:t>
            </w:r>
          </w:p>
        </w:tc>
      </w:tr>
      <w:tr>
        <w:tc>
          <w:tcPr>
            <w:tcW w:type="dxa" w:w="2600"/>
            <w:tcBorders>
              <w:top w:val="single" w:color="BBBBBB" w:sz="4"/>
              <w:left w:val="single" w:color="BBBBBB" w:sz="4"/>
              <w:bottom w:val="single" w:color="BBBBBB" w:sz="4"/>
              <w:right w:val="single" w:color="BBBBBB" w:sz="4"/>
            </w:tcBorders>
            <w:shd w:fill="D9E2F3" w:val="clear"/>
            <w:tcMar>
              <w:top w:type="dxa" w:w="80"/>
              <w:left w:type="dxa" w:w="140"/>
              <w:bottom w:type="dxa" w:w="80"/>
              <w:right w:type="dxa" w:w="140"/>
            </w:tcMar>
            <w:vAlign w:val="center"/>
          </w:tcPr>
          <w:p>
            <w:pPr>
              <w:spacing w:after="0" w:line="252"/>
            </w:pPr>
            <w:r>
              <w:rPr>
                <w:b/>
                <w:bCs/>
                <w:sz w:val="21"/>
                <w:szCs w:val="21"/>
              </w:rPr>
              <w:t xml:space="preserve">Status</w:t>
            </w:r>
          </w:p>
        </w:tc>
        <w:tc>
          <w:tcPr>
            <w:tcW w:type="dxa" w:w="6760"/>
            <w:tcBorders>
              <w:top w:val="single" w:color="BBBBBB" w:sz="4"/>
              <w:left w:val="single" w:color="BBBBBB" w:sz="4"/>
              <w:bottom w:val="single" w:color="BBBBBB" w:sz="4"/>
              <w:right w:val="single" w:color="BBBBBB" w:sz="4"/>
            </w:tcBorders>
            <w:shd w:fill="FAFBFD" w:val="clear"/>
            <w:tcMar>
              <w:top w:type="dxa" w:w="80"/>
              <w:left w:type="dxa" w:w="140"/>
              <w:bottom w:type="dxa" w:w="80"/>
              <w:right w:type="dxa" w:w="140"/>
            </w:tcMar>
            <w:vAlign w:val="center"/>
          </w:tcPr>
          <w:p>
            <w:pPr>
              <w:spacing w:after="0" w:line="252"/>
            </w:pPr>
            <w:r>
              <w:rPr>
                <w:sz w:val="21"/>
                <w:szCs w:val="21"/>
              </w:rPr>
              <w:t xml:space="preserve">Draft for Review</w:t>
            </w:r>
          </w:p>
        </w:tc>
      </w:tr>
      <w:tr>
        <w:tc>
          <w:tcPr>
            <w:tcW w:type="dxa" w:w="2600"/>
            <w:tcBorders>
              <w:top w:val="single" w:color="BBBBBB" w:sz="4"/>
              <w:left w:val="single" w:color="BBBBBB" w:sz="4"/>
              <w:bottom w:val="single" w:color="BBBBBB" w:sz="4"/>
              <w:right w:val="single" w:color="BBBBBB" w:sz="4"/>
            </w:tcBorders>
            <w:shd w:fill="D9E2F3" w:val="clear"/>
            <w:tcMar>
              <w:top w:type="dxa" w:w="80"/>
              <w:left w:type="dxa" w:w="140"/>
              <w:bottom w:type="dxa" w:w="80"/>
              <w:right w:type="dxa" w:w="140"/>
            </w:tcMar>
            <w:vAlign w:val="center"/>
          </w:tcPr>
          <w:p>
            <w:pPr>
              <w:spacing w:after="0" w:line="252"/>
            </w:pPr>
            <w:r>
              <w:rPr>
                <w:b/>
                <w:bCs/>
                <w:sz w:val="21"/>
                <w:szCs w:val="21"/>
              </w:rPr>
              <w:t xml:space="preserve">Prepared by</w:t>
            </w:r>
          </w:p>
        </w:tc>
        <w:tc>
          <w:tcPr>
            <w:tcW w:type="dxa" w:w="6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ZenVendorPulse Product Team</w:t>
            </w:r>
          </w:p>
        </w:tc>
      </w:tr>
      <w:tr>
        <w:tc>
          <w:tcPr>
            <w:tcW w:type="dxa" w:w="2600"/>
            <w:tcBorders>
              <w:top w:val="single" w:color="BBBBBB" w:sz="4"/>
              <w:left w:val="single" w:color="BBBBBB" w:sz="4"/>
              <w:bottom w:val="single" w:color="BBBBBB" w:sz="4"/>
              <w:right w:val="single" w:color="BBBBBB" w:sz="4"/>
            </w:tcBorders>
            <w:shd w:fill="D9E2F3" w:val="clear"/>
            <w:tcMar>
              <w:top w:type="dxa" w:w="80"/>
              <w:left w:type="dxa" w:w="140"/>
              <w:bottom w:type="dxa" w:w="80"/>
              <w:right w:type="dxa" w:w="140"/>
            </w:tcMar>
            <w:vAlign w:val="center"/>
          </w:tcPr>
          <w:p>
            <w:pPr>
              <w:spacing w:after="0" w:line="252"/>
            </w:pPr>
            <w:r>
              <w:rPr>
                <w:b/>
                <w:bCs/>
                <w:sz w:val="21"/>
                <w:szCs w:val="21"/>
              </w:rPr>
              <w:t xml:space="preserve">Purpose</w:t>
            </w:r>
          </w:p>
        </w:tc>
        <w:tc>
          <w:tcPr>
            <w:tcW w:type="dxa" w:w="6760"/>
            <w:tcBorders>
              <w:top w:val="single" w:color="BBBBBB" w:sz="4"/>
              <w:left w:val="single" w:color="BBBBBB" w:sz="4"/>
              <w:bottom w:val="single" w:color="BBBBBB" w:sz="4"/>
              <w:right w:val="single" w:color="BBBBBB" w:sz="4"/>
            </w:tcBorders>
            <w:shd w:fill="FAFBFD" w:val="clear"/>
            <w:tcMar>
              <w:top w:type="dxa" w:w="80"/>
              <w:left w:type="dxa" w:w="140"/>
              <w:bottom w:type="dxa" w:w="80"/>
              <w:right w:type="dxa" w:w="140"/>
            </w:tcMar>
            <w:vAlign w:val="center"/>
          </w:tcPr>
          <w:p>
            <w:pPr>
              <w:spacing w:after="0" w:line="252"/>
            </w:pPr>
            <w:r>
              <w:rPr>
                <w:sz w:val="21"/>
                <w:szCs w:val="21"/>
              </w:rPr>
              <w:t xml:space="preserve">Capture the business process, functional requirements, resolved clarifications, and open discovery questions for the VendorPulse MVP.</w:t>
            </w:r>
          </w:p>
        </w:tc>
      </w:tr>
    </w:tbl>
    <w:p>
      <w:pPr>
        <w:spacing w:after="80"/>
      </w:pPr>
      <w:r>
        <w:t xml:space="preserve"/>
      </w:r>
    </w:p>
    <w:p>
      <w:pPr>
        <w:spacing w:after="60" w:before="120"/>
      </w:pPr>
      <w:r>
        <w:rPr>
          <w:b/>
          <w:bCs/>
          <w:color w:val="2E75B6"/>
          <w:sz w:val="21"/>
          <w:szCs w:val="21"/>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rPr>
          <w:tblHeader/>
        </w:trPr>
        <w:tc>
          <w:tcPr>
            <w:tcW w:type="dxa" w:w="14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Version</w:t>
            </w:r>
          </w:p>
        </w:tc>
        <w:tc>
          <w:tcPr>
            <w:tcW w:type="dxa" w:w="61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Description</w:t>
            </w:r>
          </w:p>
        </w:tc>
        <w:tc>
          <w:tcPr>
            <w:tcW w:type="dxa" w:w="18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Author</w:t>
            </w:r>
          </w:p>
        </w:tc>
      </w:tr>
      <w:tr>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1.0</w:t>
            </w:r>
          </w:p>
        </w:tc>
        <w:tc>
          <w:tcPr>
            <w:tcW w:type="dxa" w:w="61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Initial BRD consolidating the PRD process and the discovery questionnaire.</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ZenVendorPulse Team</w:t>
            </w:r>
          </w:p>
        </w:tc>
      </w:tr>
      <w:tr>
        <w:tc>
          <w:tcPr>
            <w:tcW w:type="dxa" w:w="1400"/>
          </w:tcPr>
          <w:p>
            <w:pPr>
              <w:spacing w:after="0" w:before="0"/>
            </w:pPr>
            <w:r/>
            <w:r>
              <w:rPr>
                <w:rFonts w:ascii="Calibri" w:hAnsi="Calibri"/>
                <w:b w:val="0"/>
                <w:color w:val="1A1A1A"/>
                <w:sz w:val="21"/>
              </w:rPr>
              <w:t>1.1</w:t>
            </w:r>
          </w:p>
        </w:tc>
        <w:tc>
          <w:tcPr>
            <w:tcW w:type="dxa" w:w="6160"/>
          </w:tcPr>
          <w:p>
            <w:pPr>
              <w:spacing w:after="0" w:before="0"/>
            </w:pPr>
            <w:r/>
            <w:r>
              <w:rPr>
                <w:rFonts w:ascii="Calibri" w:hAnsi="Calibri"/>
                <w:b w:val="0"/>
                <w:color w:val="1A1A1A"/>
                <w:sz w:val="21"/>
              </w:rPr>
              <w:t>Added Non-Functional Requirements and Success Criteria &amp; KPIs sections.</w:t>
            </w:r>
          </w:p>
        </w:tc>
        <w:tc>
          <w:tcPr>
            <w:tcW w:type="dxa" w:w="1800"/>
          </w:tcPr>
          <w:p>
            <w:pPr>
              <w:spacing w:after="0" w:before="0"/>
            </w:pPr>
            <w:r/>
            <w:r>
              <w:rPr>
                <w:rFonts w:ascii="Calibri" w:hAnsi="Calibri"/>
                <w:b w:val="0"/>
                <w:color w:val="1A1A1A"/>
                <w:sz w:val="21"/>
              </w:rPr>
              <w:t>ZenVendorPulse Team</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 &amp; Purpose</w:t>
      </w:r>
    </w:p>
    <w:p>
      <w:pPr>
        <w:spacing w:after="120" w:line="276"/>
      </w:pPr>
      <w:r>
        <w:rPr>
          <w:b w:val="false"/>
          <w:bCs w:val="false"/>
          <w:i w:val="false"/>
          <w:iCs w:val="false"/>
        </w:rPr>
        <w:t xml:space="preserve">This Business Requirements Document (BRD) defines the business need, scope, end-to-end process, and functional requirements for VendorPulse — an AI assistant that streamlines and automates the operational workflow surrounding Shell’s EGB (Executive Governance Board) and QBR (Quarterly Business Review) cycles.</w:t>
      </w:r>
    </w:p>
    <w:p>
      <w:pPr>
        <w:spacing w:after="120" w:line="276"/>
      </w:pPr>
      <w:r>
        <w:rPr>
          <w:b w:val="false"/>
          <w:bCs w:val="false"/>
          <w:i w:val="false"/>
          <w:iCs w:val="false"/>
        </w:rPr>
        <w:t xml:space="preserve">It serves two purposes. First, it documents the process: the module-by-module workflow the solution will support across scheduling, scorecard collection, internal alignment, vendor preparation, the governance meeting, and cross-cycle memory. Second, it captures all the questions: both the clarifying questions raised against each part of the process (with the agreed resolutions) and the open discovery questions that remain to be confirmed with Shell.</w:t>
      </w:r>
    </w:p>
    <w:p>
      <w:pPr>
        <w:spacing w:after="120" w:line="276"/>
      </w:pPr>
      <w:r>
        <w:rPr>
          <w:b w:val="false"/>
          <w:bCs w:val="false"/>
          <w:i/>
          <w:iCs/>
        </w:rPr>
        <w:t xml:space="preserve">The MVP will be presented to Shell as a live, demo-able product deployed on the Shell environment.</w:t>
      </w:r>
    </w:p>
    <w:p>
      <w:pPr>
        <w:pStyle w:val="Heading1"/>
      </w:pPr>
      <w:r>
        <w:t xml:space="preserve">2. Business Background</w:t>
      </w:r>
    </w:p>
    <w:p>
      <w:pPr>
        <w:spacing w:after="120" w:line="276"/>
      </w:pPr>
      <w:r>
        <w:rPr>
          <w:b w:val="false"/>
          <w:bCs w:val="false"/>
          <w:i w:val="false"/>
          <w:iCs w:val="false"/>
        </w:rPr>
        <w:t xml:space="preserve">Shell’s Mobility VMO and IDT Operations teams run EGB and QBR cycles quarterly. Each cycle involves multi-stakeholder scheduling, scorecard collection from vendors and internal teams, pre-call alignment, vendor negotiation, live governance meetings, and post-meeting documentation.</w:t>
      </w:r>
    </w:p>
    <w:p>
      <w:pPr>
        <w:spacing w:after="120" w:line="276"/>
      </w:pPr>
      <w:r>
        <w:rPr>
          <w:b w:val="false"/>
          <w:bCs w:val="false"/>
          <w:i w:val="false"/>
          <w:iCs w:val="false"/>
        </w:rPr>
        <w:t xml:space="preserve">These activities are currently manual and repetitive, creating significant administrative workload and risk of inconsistent data across cycles. VendorPulse addresses this by automating coordination and documentation while keeping humans in control of every decision and outbound communication.</w:t>
      </w:r>
    </w:p>
    <w:p>
      <w:pPr>
        <w:pStyle w:val="Heading1"/>
      </w:pPr>
      <w:r>
        <w:t xml:space="preserve">3. Business Objectives</w:t>
      </w:r>
    </w:p>
    <w:p>
      <w:pPr>
        <w:pStyle w:val="ListParagraph"/>
        <w:numPr>
          <w:ilvl w:val="0"/>
          <w:numId w:val="2"/>
        </w:numPr>
        <w:spacing w:after="60" w:line="264"/>
      </w:pPr>
      <w:r>
        <w:t xml:space="preserve">Reduce administrative workload across the EGB/QBR cycle.</w:t>
      </w:r>
    </w:p>
    <w:p>
      <w:pPr>
        <w:pStyle w:val="ListParagraph"/>
        <w:numPr>
          <w:ilvl w:val="0"/>
          <w:numId w:val="2"/>
        </w:numPr>
        <w:spacing w:after="60" w:line="264"/>
      </w:pPr>
      <w:r>
        <w:t xml:space="preserve">Eliminate repetitive, manual coordination and documentation activities.</w:t>
      </w:r>
    </w:p>
    <w:p>
      <w:pPr>
        <w:pStyle w:val="ListParagraph"/>
        <w:numPr>
          <w:ilvl w:val="0"/>
          <w:numId w:val="2"/>
        </w:numPr>
        <w:spacing w:after="60" w:line="264"/>
      </w:pPr>
      <w:r>
        <w:t xml:space="preserve">Improve data consistency and traceability from one cycle to the next.</w:t>
      </w:r>
    </w:p>
    <w:p>
      <w:pPr>
        <w:pStyle w:val="ListParagraph"/>
        <w:numPr>
          <w:ilvl w:val="0"/>
          <w:numId w:val="2"/>
        </w:numPr>
        <w:spacing w:after="60" w:line="264"/>
      </w:pPr>
      <w:r>
        <w:t xml:space="preserve">Enable a more strategic focus within the Mobility VMO and IDT Operations teams.</w:t>
      </w:r>
    </w:p>
    <w:p>
      <w:pPr>
        <w:pStyle w:val="ListParagraph"/>
        <w:numPr>
          <w:ilvl w:val="0"/>
          <w:numId w:val="2"/>
        </w:numPr>
        <w:spacing w:after="60" w:line="264"/>
      </w:pPr>
      <w:r>
        <w:t xml:space="preserve">Preserve institutional memory so each cycle builds on the last rather than starting cold.</w:t>
      </w:r>
    </w:p>
    <w:p>
      <w:pPr>
        <w:pStyle w:val="Heading1"/>
      </w:pPr>
      <w:r>
        <w:t xml:space="preserve">4. Project Scope</w:t>
      </w:r>
    </w:p>
    <w:p>
      <w:pPr>
        <w:pStyle w:val="Heading2"/>
      </w:pPr>
      <w:r>
        <w:t xml:space="preserve">4.1 In Scope</w:t>
      </w:r>
    </w:p>
    <w:p>
      <w:pPr>
        <w:pStyle w:val="ListParagraph"/>
        <w:numPr>
          <w:ilvl w:val="0"/>
          <w:numId w:val="2"/>
        </w:numPr>
        <w:spacing w:after="60" w:line="264"/>
      </w:pPr>
      <w:r>
        <w:t xml:space="preserve">Module A: Meeting Scheduling &amp; Coordination</w:t>
      </w:r>
    </w:p>
    <w:p>
      <w:pPr>
        <w:pStyle w:val="ListParagraph"/>
        <w:numPr>
          <w:ilvl w:val="0"/>
          <w:numId w:val="2"/>
        </w:numPr>
        <w:spacing w:after="60" w:line="264"/>
      </w:pPr>
      <w:r>
        <w:t xml:space="preserve">Module B: Scorecard Input Collection &amp; Validation</w:t>
      </w:r>
    </w:p>
    <w:p>
      <w:pPr>
        <w:pStyle w:val="ListParagraph"/>
        <w:numPr>
          <w:ilvl w:val="0"/>
          <w:numId w:val="2"/>
        </w:numPr>
        <w:spacing w:after="60" w:line="264"/>
      </w:pPr>
      <w:r>
        <w:t xml:space="preserve">Module C: Internal Alignment Call Support</w:t>
      </w:r>
    </w:p>
    <w:p>
      <w:pPr>
        <w:pStyle w:val="ListParagraph"/>
        <w:numPr>
          <w:ilvl w:val="0"/>
          <w:numId w:val="2"/>
        </w:numPr>
        <w:spacing w:after="60" w:line="264"/>
      </w:pPr>
      <w:r>
        <w:t xml:space="preserve">Module D: Vendor Prep Call Support</w:t>
      </w:r>
    </w:p>
    <w:p>
      <w:pPr>
        <w:pStyle w:val="ListParagraph"/>
        <w:numPr>
          <w:ilvl w:val="0"/>
          <w:numId w:val="2"/>
        </w:numPr>
        <w:spacing w:after="60" w:line="264"/>
      </w:pPr>
      <w:r>
        <w:t xml:space="preserve">Module E: EGB/QBR Meeting Support</w:t>
      </w:r>
    </w:p>
    <w:p>
      <w:pPr>
        <w:pStyle w:val="ListParagraph"/>
        <w:numPr>
          <w:ilvl w:val="0"/>
          <w:numId w:val="2"/>
        </w:numPr>
        <w:spacing w:after="60" w:line="264"/>
      </w:pPr>
      <w:r>
        <w:t xml:space="preserve">Module F: Cross-Cycle Memory &amp; Trend Analysis Dashboard</w:t>
      </w:r>
    </w:p>
    <w:p>
      <w:pPr>
        <w:pStyle w:val="ListParagraph"/>
        <w:numPr>
          <w:ilvl w:val="0"/>
          <w:numId w:val="2"/>
        </w:numPr>
        <w:spacing w:after="60" w:line="264"/>
      </w:pPr>
      <w:r>
        <w:t xml:space="preserve">Real Microsoft 365 integration via Microsoft Graph — Outlook mail, calendar, and Teams meetings.</w:t>
      </w:r>
    </w:p>
    <w:p>
      <w:pPr>
        <w:pStyle w:val="ListParagraph"/>
        <w:numPr>
          <w:ilvl w:val="0"/>
          <w:numId w:val="2"/>
        </w:numPr>
        <w:spacing w:after="60" w:line="264"/>
      </w:pPr>
      <w:r>
        <w:t xml:space="preserve">Deployment to Shell’s Azure environment (single-tenant), with IT-security sign-off as a go-live gate.</w:t>
      </w:r>
    </w:p>
    <w:p>
      <w:pPr>
        <w:pStyle w:val="Heading2"/>
      </w:pPr>
      <w:r>
        <w:t xml:space="preserve">4.2 Out of Scope</w:t>
      </w:r>
    </w:p>
    <w:p>
      <w:pPr>
        <w:pStyle w:val="ListParagraph"/>
        <w:numPr>
          <w:ilvl w:val="0"/>
          <w:numId w:val="2"/>
        </w:numPr>
        <w:spacing w:after="60" w:line="264"/>
      </w:pPr>
      <w:r>
        <w:t xml:space="preserve">PPT / slide auto-population (acknowledged limitation in the source document).</w:t>
      </w:r>
    </w:p>
    <w:p>
      <w:pPr>
        <w:pStyle w:val="ListParagraph"/>
        <w:numPr>
          <w:ilvl w:val="0"/>
          <w:numId w:val="2"/>
        </w:numPr>
        <w:spacing w:after="60" w:line="264"/>
      </w:pPr>
      <w:r>
        <w:t xml:space="preserve">Legal or contractual interpretation.</w:t>
      </w:r>
    </w:p>
    <w:p>
      <w:pPr>
        <w:pStyle w:val="ListParagraph"/>
        <w:numPr>
          <w:ilvl w:val="0"/>
          <w:numId w:val="2"/>
        </w:numPr>
        <w:spacing w:after="60" w:line="264"/>
      </w:pPr>
      <w:r>
        <w:t xml:space="preserve">Any functionality not explicitly mentioned for Modules A–F in the module breakdown.</w:t>
      </w:r>
    </w:p>
    <w:p>
      <w:pPr>
        <w:pStyle w:val="Heading1"/>
      </w:pPr>
      <w:r>
        <w:t xml:space="preserve">5. Stakeholders &amp; Roles</w:t>
      </w:r>
    </w:p>
    <w:p>
      <w:pPr>
        <w:spacing w:after="120" w:line="276"/>
      </w:pPr>
      <w:r>
        <w:rPr>
          <w:b w:val="false"/>
          <w:bCs w:val="false"/>
          <w:i w:val="false"/>
          <w:iCs w:val="false"/>
        </w:rPr>
        <w:t xml:space="preserve">The following roles participate in the process and in the Human-in-the-Loop (HITL) controls described throughout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rPr>
          <w:tblHeader/>
        </w:trPr>
        <w:tc>
          <w:tcPr>
            <w:tcW w:type="dxa" w:w="27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Role</w:t>
            </w:r>
          </w:p>
        </w:tc>
        <w:tc>
          <w:tcPr>
            <w:tcW w:type="dxa" w:w="17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Type</w:t>
            </w:r>
          </w:p>
        </w:tc>
        <w:tc>
          <w:tcPr>
            <w:tcW w:type="dxa" w:w="49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Responsibility in the Process</w:t>
            </w:r>
          </w:p>
        </w:tc>
      </w:tr>
      <w:tr>
        <w:tc>
          <w:tcPr>
            <w:tcW w:type="dxa" w:w="2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VMO Coordinator / Organiser</w:t>
            </w:r>
          </w:p>
        </w:tc>
        <w:tc>
          <w:tcPr>
            <w:tcW w:type="dxa" w:w="1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Internal (Shell)</w:t>
            </w:r>
          </w:p>
        </w:tc>
        <w:tc>
          <w:tcPr>
            <w:tcW w:type="dxa" w:w="49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Owns the cycle; approves outbound invites, reminders, agendas and minutes; resolves conflicts and escalations (HITL).</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bCs/>
                <w:sz w:val="21"/>
                <w:szCs w:val="21"/>
              </w:rPr>
              <w:t xml:space="preserve">Executive Sponsor</w:t>
            </w:r>
          </w:p>
        </w:tc>
        <w:tc>
          <w:tcPr>
            <w:tcW w:type="dxa" w:w="1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Internal (Shell)</w:t>
            </w:r>
          </w:p>
        </w:tc>
        <w:tc>
          <w:tcPr>
            <w:tcW w:type="dxa" w:w="49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Key stakeholder for scheduling (hard constraint); signs off before vendor engagement.</w:t>
            </w:r>
          </w:p>
        </w:tc>
      </w:tr>
      <w:tr>
        <w:tc>
          <w:tcPr>
            <w:tcW w:type="dxa" w:w="2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Internal Metric Owners</w:t>
            </w:r>
          </w:p>
        </w:tc>
        <w:tc>
          <w:tcPr>
            <w:tcW w:type="dxa" w:w="1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Internal (Shell)</w:t>
            </w:r>
          </w:p>
        </w:tc>
        <w:tc>
          <w:tcPr>
            <w:tcW w:type="dxa" w:w="49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Submit internal scorecard inputs for assigned KPIs.</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bCs/>
                <w:sz w:val="21"/>
                <w:szCs w:val="21"/>
              </w:rPr>
              <w:t xml:space="preserve">Vendor Attendees</w:t>
            </w:r>
          </w:p>
        </w:tc>
        <w:tc>
          <w:tcPr>
            <w:tcW w:type="dxa" w:w="1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External</w:t>
            </w:r>
          </w:p>
        </w:tc>
        <w:tc>
          <w:tcPr>
            <w:tcW w:type="dxa" w:w="49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Receive vendor-facing packs and invites; may submit self-reported scores. Handled as free-text contacts — no SSO, no internal content.</w:t>
            </w:r>
          </w:p>
        </w:tc>
      </w:tr>
      <w:tr>
        <w:tc>
          <w:tcPr>
            <w:tcW w:type="dxa" w:w="2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Legal / Contracts Owner</w:t>
            </w:r>
          </w:p>
        </w:tc>
        <w:tc>
          <w:tcPr>
            <w:tcW w:type="dxa" w:w="1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Internal (Shell)</w:t>
            </w:r>
          </w:p>
        </w:tc>
        <w:tc>
          <w:tcPr>
            <w:tcW w:type="dxa" w:w="49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Receives any item flagged as requiring legal or contractual input (handed off, not interpreted by the system).</w:t>
            </w:r>
          </w:p>
        </w:tc>
      </w:tr>
      <w:tr>
        <w:tc>
          <w:tcPr>
            <w:tcW w:type="dxa" w:w="2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bCs/>
                <w:sz w:val="21"/>
                <w:szCs w:val="21"/>
              </w:rPr>
              <w:t xml:space="preserve">IT Security</w:t>
            </w:r>
          </w:p>
        </w:tc>
        <w:tc>
          <w:tcPr>
            <w:tcW w:type="dxa" w:w="1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Internal (Shell)</w:t>
            </w:r>
          </w:p>
        </w:tc>
        <w:tc>
          <w:tcPr>
            <w:tcW w:type="dxa" w:w="49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Provides sign-off as a go-live gate for the Azure single-tenant deployment.</w:t>
            </w:r>
          </w:p>
        </w:tc>
      </w:tr>
    </w:tbl>
    <w:p>
      <w:pPr>
        <w:pStyle w:val="Heading1"/>
      </w:pPr>
      <w:r>
        <w:t xml:space="preserve">6. Solution Overview</w:t>
      </w:r>
    </w:p>
    <w:p>
      <w:pPr>
        <w:spacing w:after="120" w:line="276"/>
      </w:pPr>
      <w:r>
        <w:rPr>
          <w:b w:val="false"/>
          <w:bCs w:val="false"/>
          <w:i w:val="false"/>
          <w:iCs w:val="false"/>
        </w:rPr>
        <w:t xml:space="preserve">VendorPulse is an AI assistant that streamlines, automates, and enhances the operational workflow around Shell’s EGB and QBR cycles. The solution is organised into six modules (A–F) that run in sequence across a cycle and share a common datastore.</w:t>
      </w:r>
    </w:p>
    <w:p>
      <w:pPr>
        <w:spacing w:after="120" w:line="276"/>
      </w:pPr>
      <w:r>
        <w:rPr>
          <w:b w:val="false"/>
          <w:bCs w:val="false"/>
          <w:i w:val="false"/>
          <w:iCs w:val="false"/>
        </w:rPr>
        <w:t xml:space="preserve">Key principles carried throughout the design:</w:t>
      </w:r>
    </w:p>
    <w:p>
      <w:pPr>
        <w:pStyle w:val="ListParagraph"/>
        <w:numPr>
          <w:ilvl w:val="0"/>
          <w:numId w:val="2"/>
        </w:numPr>
        <w:spacing w:after="60" w:line="264"/>
      </w:pPr>
      <w:r>
        <w:t xml:space="preserve">Human-in-the-Loop (HITL): every outbound communication and key decision is reviewed and approved by the coordinator or sponsor before it goes out.</w:t>
      </w:r>
    </w:p>
    <w:p>
      <w:pPr>
        <w:pStyle w:val="ListParagraph"/>
        <w:numPr>
          <w:ilvl w:val="0"/>
          <w:numId w:val="2"/>
        </w:numPr>
        <w:spacing w:after="60" w:line="264"/>
      </w:pPr>
      <w:r>
        <w:t xml:space="preserve">Deterministic figures, narrated by AI: all scores and metrics are computed deterministically in code; the LLM only summarises and explains — it never computes or fabricates figures.</w:t>
      </w:r>
    </w:p>
    <w:p>
      <w:pPr>
        <w:pStyle w:val="ListParagraph"/>
        <w:numPr>
          <w:ilvl w:val="0"/>
          <w:numId w:val="2"/>
        </w:numPr>
        <w:spacing w:after="60" w:line="264"/>
      </w:pPr>
      <w:r>
        <w:t xml:space="preserve">In-tenant AI: narrative generation uses Azure AI Foundry GPT-4o inside Shell’s tenant; data stays in-tenant and is not used for model training.</w:t>
      </w:r>
    </w:p>
    <w:p>
      <w:pPr>
        <w:pStyle w:val="ListParagraph"/>
        <w:numPr>
          <w:ilvl w:val="0"/>
          <w:numId w:val="2"/>
        </w:numPr>
        <w:spacing w:after="60" w:line="264"/>
      </w:pPr>
      <w:r>
        <w:t xml:space="preserve">Shared datastore: modules pass data downstream via a shared datastore over an internal API (PostgreSQL in production), not via file hand-offs.</w:t>
      </w:r>
    </w:p>
    <w:p>
      <w:pPr>
        <w:pStyle w:val="Heading1"/>
      </w:pPr>
      <w:r>
        <w:t xml:space="preserve">7. Business Process &amp; Functional Requirements</w:t>
      </w:r>
    </w:p>
    <w:p>
      <w:pPr>
        <w:spacing w:after="120" w:line="276"/>
      </w:pPr>
      <w:r>
        <w:rPr>
          <w:b w:val="false"/>
          <w:bCs w:val="false"/>
          <w:i/>
          <w:iCs/>
        </w:rPr>
        <w:t xml:space="preserve">This section defines the process for each module — the workflow steps and functional requirements — followed by the clarifying questions raised against that part of the process and their agreed resolutions.</w:t>
      </w:r>
    </w:p>
    <w:p>
      <w:pPr>
        <w:pStyle w:val="Heading2"/>
      </w:pPr>
      <w:r>
        <w:t xml:space="preserve">7.1 Module A — Meeting Scheduling &amp; Coordination</w:t>
      </w:r>
    </w:p>
    <w:p>
      <w:pPr>
        <w:spacing w:after="120" w:line="276"/>
      </w:pPr>
      <w:r>
        <w:rPr>
          <w:b w:val="false"/>
          <w:bCs w:val="false"/>
          <w:i/>
          <w:iCs/>
          <w:color w:val="444444"/>
        </w:rPr>
        <w:t xml:space="preserve">Purpose: Automate the end-to-end process of setting up EGB/QBR meetings, from refreshing the attendee list to sending confirmed invites.</w:t>
      </w:r>
    </w:p>
    <w:p>
      <w:pPr>
        <w:pStyle w:val="Heading3"/>
      </w:pPr>
      <w:r>
        <w:t xml:space="preserve">Attendee Refresh</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The system maintains an attendee list seeded from the last meeting invite.</w:t>
      </w:r>
    </w:p>
    <w:p>
      <w:pPr>
        <w:pStyle w:val="ListParagraph"/>
        <w:numPr>
          <w:ilvl w:val="0"/>
          <w:numId w:val="2"/>
        </w:numPr>
        <w:spacing w:after="60" w:line="264"/>
      </w:pPr>
      <w:r>
        <w:t xml:space="preserve">On cycle trigger, the automation sends each attendee a short form asking: (1) Are you still part of this team? (Yes/No); (2) If no, who should replace you? (free text + email); (3) Should anyone else be added to this meeting? (optional).</w:t>
      </w:r>
    </w:p>
    <w:p>
      <w:pPr>
        <w:pStyle w:val="ListParagraph"/>
        <w:numPr>
          <w:ilvl w:val="0"/>
          <w:numId w:val="2"/>
        </w:numPr>
        <w:spacing w:after="60" w:line="264"/>
      </w:pPr>
      <w:r>
        <w:t xml:space="preserve">Responses are auto-consolidated into an updated attendee list.</w:t>
      </w:r>
    </w:p>
    <w:p>
      <w:pPr>
        <w:pStyle w:val="ListParagraph"/>
        <w:numPr>
          <w:ilvl w:val="0"/>
          <w:numId w:val="2"/>
        </w:numPr>
        <w:spacing w:after="60" w:line="264"/>
      </w:pPr>
      <w:r>
        <w:t xml:space="preserve">The agent flags unconfirmed attendees after a configurable deadline (default 48 hours; 12 hours recommended).</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does the attendee list read from?</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Seeded from the previous cycle’s attendee list, held in the attendee repository (JSON today, PostgreSQL/MS SQL in production), keyed by cycle.</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does it save to?</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Back to the same attendee repository, as an updated per-cycle attendee record.</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How often does it refresh?</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Once per cycle, on cycle trigger — it is not a continuous sync.</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are conflicting responses reconciled (e.g. two attendees nominating different replacements)?</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Conflicting nominations are not auto-resolved; both are surfaced to the VMO coordinator, who decides (HITL).</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Are new additions’ contact details validated before they are added?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Email format is validated. Shell users are confirmed via the Entra/Graph directory lookup (User.Read.All). External (vendor) contacts are accepted as free-text email and are not directory-validated.</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are participants who are part of the QBR but not Shell handled?</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External (non-Shell) participants — typically vendor attendees — are handled as free-text contacts (name + email) and invited via Graph mail. They are not Entra identities, do not get SSO, and internal-only content is never surfaced to them.</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What is the deadline for confirmation?</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Configurable; default 48 hours.</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Who is notified of flagged attendees (HITL)?</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The VMO coordinator (the cycle organiser).</w:t>
            </w:r>
          </w:p>
        </w:tc>
      </w:tr>
    </w:tbl>
    <w:p>
      <w:pPr>
        <w:spacing w:after="80"/>
      </w:pPr>
      <w:r>
        <w:t xml:space="preserve"/>
      </w:r>
    </w:p>
    <w:p>
      <w:pPr>
        <w:pStyle w:val="Heading3"/>
      </w:pPr>
      <w:r>
        <w:t xml:space="preserve">Availability Check</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On cycle trigger, the agent discovers common availability across confirmed attendees via Microsoft Graph (findMeetingTimes), constrained to configurable working hours (default 09:00–17:00) and attendee time zones over an organiser-selected date window. Graph returns up to 12 candidate slots, ranked deterministically; the top 3 are presented. (A short availability form is the fallback where calendar free/busy is not accessible.)</w:t>
      </w:r>
    </w:p>
    <w:p>
      <w:pPr>
        <w:pStyle w:val="ListParagraph"/>
        <w:numPr>
          <w:ilvl w:val="0"/>
          <w:numId w:val="2"/>
        </w:numPr>
        <w:spacing w:after="60" w:line="264"/>
      </w:pPr>
      <w:r>
        <w:t xml:space="preserve">Only slots where key stakeholders (organiser, executive sponsor, and others marked as key) are available are considered (hard constraint).</w:t>
      </w:r>
    </w:p>
    <w:p>
      <w:pPr>
        <w:pStyle w:val="ListParagraph"/>
        <w:numPr>
          <w:ilvl w:val="0"/>
          <w:numId w:val="2"/>
        </w:numPr>
        <w:spacing w:after="60" w:line="264"/>
      </w:pPr>
      <w:r>
        <w:t xml:space="preserve">Maximises group availability (soft constraint — majority vote).</w:t>
      </w:r>
    </w:p>
    <w:p>
      <w:pPr>
        <w:pStyle w:val="ListParagraph"/>
        <w:numPr>
          <w:ilvl w:val="0"/>
          <w:numId w:val="2"/>
        </w:numPr>
        <w:spacing w:after="60" w:line="264"/>
      </w:pPr>
      <w:r>
        <w:t xml:space="preserve">Flags slots where known conflicts exist for non-critical attendees.</w:t>
      </w:r>
    </w:p>
    <w:p>
      <w:pPr>
        <w:pStyle w:val="ListParagraph"/>
        <w:numPr>
          <w:ilvl w:val="0"/>
          <w:numId w:val="2"/>
        </w:numPr>
        <w:spacing w:after="60" w:line="264"/>
      </w:pPr>
      <w:r>
        <w:t xml:space="preserve">Form responses are collected and ranked automatically.</w:t>
      </w:r>
    </w:p>
    <w:p>
      <w:pPr>
        <w:pStyle w:val="ListParagraph"/>
        <w:numPr>
          <w:ilvl w:val="0"/>
          <w:numId w:val="2"/>
        </w:numPr>
        <w:spacing w:after="60" w:line="264"/>
      </w:pPr>
      <w:r>
        <w:t xml:space="preserve">The agent presents the top 2–3 options to the organiser with a breakdown of who can / cannot attend each.</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How are the slots generated, and over what date window?</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Slots are discovered, not synthesised. The agent calls Microsoft Graph findMeetingTimes, which reads attendees’ real calendar free/busy and returns common openings — bounded by working hours (default 09:00–17:00) and the date window the organiser supplies. Graph returns up to 12 candidates; the deterministic ranker scores them and presents the top 3. The legacy mock path synthesises slots from declared availability, but production uses Graph discovery.</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is the “key stakeholder” designation stored?</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On the attendee record as a role / ‘key’ flag in the attendee repository (roles include organiser, executive sponsor, etc.).</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What happens if no slot satisfies all key stakeholders (HITL)?</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It escalates to the coordinator: the best-available options are shown with the gaps highlighted, and the coordinator relaxes a constraint or opens a new window.</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is the availability score computed and ties broken? Should votes be weighted by role?</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Today the ranking is deterministic — a hard constraint (organiser + executive sponsor must be free) plus a soft score from attendance %, a conflict penalty and a time-zone bonus; ties break on the higher attendance score. Role-weighted voting is not yet implemented (to be implemented).</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does the conflict data come from?</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From attendee calendars — the availability service in the PoC, and Microsoft Graph free/busy in production.</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Does it provide details of conflicting meetings?</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No. The system flags only that a conflict exists; private meeting details are never exposed (privacy).</w:t>
            </w:r>
          </w:p>
        </w:tc>
      </w:tr>
    </w:tbl>
    <w:p>
      <w:pPr>
        <w:spacing w:after="80"/>
      </w:pPr>
      <w:r>
        <w:t xml:space="preserve"/>
      </w:r>
    </w:p>
    <w:p>
      <w:pPr>
        <w:pStyle w:val="Heading3"/>
      </w:pPr>
      <w:r>
        <w:t xml:space="preserve">Invite Generation &amp; Confirmation Tracking</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On organiser approval of a slot, the agent generates a standard meeting invite (subject, body, attendee list, dial-in details).</w:t>
      </w:r>
    </w:p>
    <w:p>
      <w:pPr>
        <w:pStyle w:val="ListParagraph"/>
        <w:numPr>
          <w:ilvl w:val="0"/>
          <w:numId w:val="2"/>
        </w:numPr>
        <w:spacing w:after="60" w:line="264"/>
      </w:pPr>
      <w:r>
        <w:t xml:space="preserve">The invite is shown in the UI for the organiser to send (one-click dispatch via Outlook through Microsoft Graph).</w:t>
      </w:r>
    </w:p>
    <w:p>
      <w:pPr>
        <w:pStyle w:val="ListParagraph"/>
        <w:numPr>
          <w:ilvl w:val="0"/>
          <w:numId w:val="2"/>
        </w:numPr>
        <w:spacing w:after="60" w:line="264"/>
      </w:pPr>
      <w:r>
        <w:t xml:space="preserve">The system tracks acceptance / decline status per attendee.</w:t>
      </w:r>
    </w:p>
    <w:p>
      <w:pPr>
        <w:pStyle w:val="ListParagraph"/>
        <w:numPr>
          <w:ilvl w:val="0"/>
          <w:numId w:val="2"/>
        </w:numPr>
        <w:spacing w:after="60" w:line="264"/>
      </w:pPr>
      <w:r>
        <w:t xml:space="preserve">Automated follow-up nudge is sent to non-responders after 24 hours.</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is the invite template stored?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In a configurable template held with the cycle/app configuration; production uses standard Outlook templates.</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does acceptance / decline status read from (via Microsoft Graph)?</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From Microsoft Graph — the event’s per-attendee response status.</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How often is status polled / refreshed?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On dashboard load and on a scheduled background poll; the interval is configurable (currently 5 minutes).</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many nudges are sent before escalation?</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Default: two automated nudges, then escalation (to be implemented).</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What is the escalation in case of continued non-response?</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Escalates to the coordinator (and the sponsor if needed) for a manual decision.</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What are the HITL conditions?</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Sending invites and reminders is gated — the coordinator approves before anything goes out.</w:t>
            </w:r>
          </w:p>
        </w:tc>
      </w:tr>
    </w:tbl>
    <w:p>
      <w:pPr>
        <w:spacing w:after="80"/>
      </w:pPr>
      <w:r>
        <w:t xml:space="preserve"/>
      </w:r>
    </w:p>
    <w:p>
      <w:pPr>
        <w:pStyle w:val="Heading2"/>
      </w:pPr>
      <w:r>
        <w:t xml:space="preserve">7.2 Module B — Scorecard Input Collection &amp; Validation</w:t>
      </w:r>
    </w:p>
    <w:p>
      <w:pPr>
        <w:spacing w:after="120" w:line="276"/>
      </w:pPr>
      <w:r>
        <w:rPr>
          <w:b w:val="false"/>
          <w:bCs w:val="false"/>
          <w:i/>
          <w:iCs/>
          <w:color w:val="444444"/>
        </w:rPr>
        <w:t xml:space="preserve">Purpose: Automate the end-to-end collection of performance scorecards from vendors and internal metric owners, validate inputs for completeness and consistency, and consolidate them into a single, locked cycle scorecard that feeds downstream modules.</w:t>
      </w:r>
    </w:p>
    <w:p>
      <w:pPr>
        <w:pStyle w:val="Heading3"/>
      </w:pPr>
      <w:r>
        <w:t xml:space="preserve">Scorecard Template Management</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The system maintains a scorecard template seeded from the last cycle (KPIs, metrics, weightings, RAG thresholds, and scoring scale).</w:t>
      </w:r>
    </w:p>
    <w:p>
      <w:pPr>
        <w:pStyle w:val="ListParagraph"/>
        <w:numPr>
          <w:ilvl w:val="0"/>
          <w:numId w:val="2"/>
        </w:numPr>
        <w:spacing w:after="60" w:line="264"/>
      </w:pPr>
      <w:r>
        <w:t xml:space="preserve">The template is versioned per cycle; the organiser can add, remove, or edit KPIs before distribution.</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is the template saved, and how is versioning stored?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Stored per cycle as a versioned snapshot in the datastore (PostgreSQL in production); each cycle keeps its own version.</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Microsoft Forms was considered for scorecard collection — what if Shell follows a different method?</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Production uses a native in-app form (not Microsoft or Google Forms), distributed via a Graph email magic-link. Collection sits behind an interface, so if Shell mandates another method the adapter can be swapped without changing the rest of the system (will take more time to implement).</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Who holds edit rights?</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The VMO coordinator / organiser, enforced by RBAC.</w:t>
            </w:r>
          </w:p>
        </w:tc>
      </w:tr>
    </w:tbl>
    <w:p>
      <w:pPr>
        <w:spacing w:after="80"/>
      </w:pPr>
      <w:r>
        <w:t xml:space="preserve"/>
      </w:r>
    </w:p>
    <w:p>
      <w:pPr>
        <w:pStyle w:val="Heading3"/>
      </w:pPr>
      <w:r>
        <w:t xml:space="preserve">Input Collection</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On cycle trigger, the agent distributes scorecard forms to each assigned vendor and internal metric owner (via Microsoft Graph email and a native in-app form).</w:t>
      </w:r>
    </w:p>
    <w:p>
      <w:pPr>
        <w:pStyle w:val="ListParagraph"/>
        <w:numPr>
          <w:ilvl w:val="0"/>
          <w:numId w:val="2"/>
        </w:numPr>
        <w:spacing w:after="60" w:line="264"/>
      </w:pPr>
      <w:r>
        <w:t xml:space="preserve">Partial save and draft support; respondents can return before the deadline.</w:t>
      </w:r>
    </w:p>
    <w:p>
      <w:pPr>
        <w:pStyle w:val="ListParagraph"/>
        <w:numPr>
          <w:ilvl w:val="0"/>
          <w:numId w:val="2"/>
        </w:numPr>
        <w:spacing w:after="60" w:line="264"/>
      </w:pPr>
      <w:r>
        <w:t xml:space="preserve">Submission deadline tracking; automated nudge to non-submitters after a configurable deadline (default 48 hours).</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are drafts stored, and for how long?</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Saved against respondent + cycle in the datastore until submission or cycle close.</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is the deadline configured, and who is copied on the nudge?</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Configured per cycle (default 48 hours); the nudge goes to the respondent with the coordinator copied.</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What is the escalation path in case of continued non-submission?</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Escalates to the coordinator/sponsor; any still-missing input is marked in the compiled scorecard (extra feature, will take time to implement).</w:t>
            </w:r>
          </w:p>
        </w:tc>
      </w:tr>
    </w:tbl>
    <w:p>
      <w:pPr>
        <w:spacing w:after="80"/>
      </w:pPr>
      <w:r>
        <w:t xml:space="preserve"/>
      </w:r>
    </w:p>
    <w:p>
      <w:pPr>
        <w:pStyle w:val="Heading3"/>
      </w:pPr>
      <w:r>
        <w:t xml:space="preserve">Validation</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Completeness check — confirms all mandatory KPIs are populated for each respondent.</w:t>
      </w:r>
    </w:p>
    <w:p>
      <w:pPr>
        <w:pStyle w:val="ListParagraph"/>
        <w:numPr>
          <w:ilvl w:val="0"/>
          <w:numId w:val="2"/>
        </w:numPr>
        <w:spacing w:after="60" w:line="264"/>
      </w:pPr>
      <w:r>
        <w:t xml:space="preserve">Cross-source consistency — flags discrepancies between vendor self-reported figures and internal / system-of-record figures where available.</w:t>
      </w:r>
    </w:p>
    <w:p>
      <w:pPr>
        <w:pStyle w:val="ListParagraph"/>
        <w:numPr>
          <w:ilvl w:val="0"/>
          <w:numId w:val="2"/>
        </w:numPr>
        <w:spacing w:after="60" w:line="264"/>
      </w:pPr>
      <w:r>
        <w:t xml:space="preserve">Anomaly flagging — surfaces outliers and unexpected swings versus prior cycles.</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What threshold triggers a discrepancy flag?</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Cross-source discrepancies are configurable; the outlier/anomaly check uses a z-score of 1.5 standard deviations (the cross-source discrepancy threshold value is to be confirmed with Shell).</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do the prior-cycle baselines read from?</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From Module F cross-cycle memory — the prior versioned scorecards.</w:t>
            </w:r>
          </w:p>
        </w:tc>
      </w:tr>
    </w:tbl>
    <w:p>
      <w:pPr>
        <w:spacing w:after="80"/>
      </w:pPr>
      <w:r>
        <w:t xml:space="preserve"/>
      </w:r>
    </w:p>
    <w:p>
      <w:pPr>
        <w:pStyle w:val="Heading3"/>
      </w:pPr>
      <w:r>
        <w:t xml:space="preserve">Consolidation</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Auto-consolidates all inputs into a single unified cycle scorecard view.</w:t>
      </w:r>
    </w:p>
    <w:p>
      <w:pPr>
        <w:pStyle w:val="ListParagraph"/>
        <w:numPr>
          <w:ilvl w:val="0"/>
          <w:numId w:val="2"/>
        </w:numPr>
        <w:spacing w:after="60" w:line="264"/>
      </w:pPr>
      <w:r>
        <w:t xml:space="preserve">Computes weighted / aggregate scores per vendor and an overall cycle score (deterministic).</w:t>
      </w:r>
    </w:p>
    <w:p>
      <w:pPr>
        <w:pStyle w:val="ListParagraph"/>
        <w:numPr>
          <w:ilvl w:val="0"/>
          <w:numId w:val="2"/>
        </w:numPr>
        <w:spacing w:after="60" w:line="264"/>
      </w:pPr>
      <w:r>
        <w:t xml:space="preserve">Locks the scorecard once validated and approved, producing a versioned snapshot for the cycle.</w:t>
      </w:r>
    </w:p>
    <w:p>
      <w:pPr>
        <w:pStyle w:val="ListParagraph"/>
        <w:numPr>
          <w:ilvl w:val="0"/>
          <w:numId w:val="2"/>
        </w:numPr>
        <w:spacing w:after="60" w:line="264"/>
      </w:pPr>
      <w:r>
        <w:t xml:space="preserve">Consolidated output feeds Module C (Internal Alignment) and Module F (Cross-Cycle Memory).</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is the consolidated scorecard stored?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In the datastore, as a locked, versioned snapshot for the cycle.</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In what form is it passed downstream — shared store or API?</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Via the shared datastore (read by Modules C and F) over the internal API — not a file hand-off.</w:t>
            </w:r>
          </w:p>
        </w:tc>
      </w:tr>
    </w:tbl>
    <w:p>
      <w:pPr>
        <w:spacing w:after="80"/>
      </w:pPr>
      <w:r>
        <w:t xml:space="preserve"/>
      </w:r>
    </w:p>
    <w:p>
      <w:pPr>
        <w:pStyle w:val="Heading2"/>
      </w:pPr>
      <w:r>
        <w:t xml:space="preserve">7.3 Module C — Internal Alignment Call Support</w:t>
      </w:r>
    </w:p>
    <w:p>
      <w:pPr>
        <w:spacing w:after="120" w:line="276"/>
      </w:pPr>
      <w:r>
        <w:rPr>
          <w:b w:val="false"/>
          <w:bCs w:val="false"/>
          <w:i/>
          <w:iCs/>
          <w:color w:val="444444"/>
        </w:rPr>
        <w:t xml:space="preserve">Purpose: Support the internal pre-call where the Mobility VMO Operations teams align on issues, positions, and the narrative to take into the vendor before any external engagement.</w:t>
      </w:r>
    </w:p>
    <w:p>
      <w:pPr>
        <w:pStyle w:val="Heading3"/>
      </w:pPr>
      <w:r>
        <w:t xml:space="preserve">Briefing Pack Generation</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The agent generates an internal pre-read from the consolidated scorecard (Module B).</w:t>
      </w:r>
    </w:p>
    <w:p>
      <w:pPr>
        <w:pStyle w:val="ListParagraph"/>
        <w:numPr>
          <w:ilvl w:val="0"/>
          <w:numId w:val="2"/>
        </w:numPr>
        <w:spacing w:after="60" w:line="264"/>
      </w:pPr>
      <w:r>
        <w:t xml:space="preserve">Highlights Red KPIs, deteriorating trends, recurring issues (from Module F), and open actions carried over from prior cycles.</w:t>
      </w:r>
    </w:p>
    <w:p>
      <w:pPr>
        <w:pStyle w:val="ListParagraph"/>
        <w:numPr>
          <w:ilvl w:val="0"/>
          <w:numId w:val="2"/>
        </w:numPr>
        <w:spacing w:after="60" w:line="264"/>
      </w:pPr>
      <w:r>
        <w:t xml:space="preserve">Produces an LLM-generated performance narrative — it summarises and explains, but never computes or fabricates figures.</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does it read the scorecard from?</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The compiled, locked scorecard from Module B (datastore).</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do recurring issues and open actions read from?</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From Module F (cross-cycle memory) and the shared action register.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Which model / endpoint is used, and how is the no-fabrication guarantee enforced?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Azure AI Foundry GPT-4o, inside Shell’s tenant, via the AI Service. All figures are computed deterministically and passed to the model as fixed inputs; the LLM only narrates — it never computes — and dates/IDs are stamped in code.</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Will the data leave the Azure tenant for Shell?</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No. Foundry runs inside Shell’s tenant; the data stays in-tenant and is not used for model training.</w:t>
            </w:r>
          </w:p>
        </w:tc>
      </w:tr>
    </w:tbl>
    <w:p>
      <w:pPr>
        <w:spacing w:after="80"/>
      </w:pPr>
      <w:r>
        <w:t xml:space="preserve"/>
      </w:r>
    </w:p>
    <w:p>
      <w:pPr>
        <w:pStyle w:val="Heading3"/>
      </w:pPr>
      <w:r>
        <w:t xml:space="preserve">Agenda &amp; Talking Points</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Drafts a proposed agenda for the internal alignment call, ordered by priority / risk.</w:t>
      </w:r>
    </w:p>
    <w:p>
      <w:pPr>
        <w:pStyle w:val="ListParagraph"/>
        <w:numPr>
          <w:ilvl w:val="0"/>
          <w:numId w:val="2"/>
        </w:numPr>
        <w:spacing w:after="60" w:line="264"/>
      </w:pPr>
      <w:r>
        <w:t xml:space="preserve">Suggests discussion points and risk areas that require an agreed internal position.</w:t>
      </w:r>
    </w:p>
    <w:p>
      <w:pPr>
        <w:pStyle w:val="ListParagraph"/>
        <w:numPr>
          <w:ilvl w:val="0"/>
          <w:numId w:val="2"/>
        </w:numPr>
        <w:spacing w:after="60" w:line="264"/>
      </w:pPr>
      <w:r>
        <w:t xml:space="preserve">Organiser can edit, reorder, and approve before the call.</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Are these LLM-generated or rule-based?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Agenda ordering is rule-based (driven by Red/Amber KPIs and risk); the discussion-point suggestions are LLM-drafted and human-approved.</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is the approved agenda stored?</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In the datastore, against the cycle.</w:t>
            </w:r>
          </w:p>
        </w:tc>
      </w:tr>
    </w:tbl>
    <w:p>
      <w:pPr>
        <w:spacing w:after="80"/>
      </w:pPr>
      <w:r>
        <w:t xml:space="preserve"/>
      </w:r>
    </w:p>
    <w:p>
      <w:pPr>
        <w:pStyle w:val="Heading3"/>
      </w:pPr>
      <w:r>
        <w:t xml:space="preserve">Position Capture</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Logs decisions, owners, and the agreed narrative to carry into the vendor prep call.</w:t>
      </w:r>
    </w:p>
    <w:p>
      <w:pPr>
        <w:pStyle w:val="ListParagraph"/>
        <w:numPr>
          <w:ilvl w:val="0"/>
          <w:numId w:val="2"/>
        </w:numPr>
        <w:spacing w:after="60" w:line="264"/>
      </w:pPr>
      <w:r>
        <w:t xml:space="preserve">Captures action items with owner and due date.</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is this saved?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In the datastore, as the cycle’s alignment record.</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Is this a shared action register with Modules E/F, or separate?</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Intended as one consolidated action register shared across C/D/E and carried into F (confirm a single consolidated register — today actions are logged per module).</w:t>
            </w:r>
          </w:p>
        </w:tc>
      </w:tr>
    </w:tbl>
    <w:p>
      <w:pPr>
        <w:spacing w:after="80"/>
      </w:pPr>
      <w:r>
        <w:t xml:space="preserve"/>
      </w:r>
    </w:p>
    <w:p>
      <w:pPr>
        <w:pStyle w:val="Heading3"/>
      </w:pPr>
      <w:r>
        <w:t xml:space="preserve">Output</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Produces an Internal Alignment Summary — agreed positions, talking points, and decisions.</w:t>
      </w:r>
    </w:p>
    <w:p>
      <w:pPr>
        <w:pStyle w:val="ListParagraph"/>
        <w:numPr>
          <w:ilvl w:val="0"/>
          <w:numId w:val="2"/>
        </w:numPr>
        <w:spacing w:after="60" w:line="264"/>
      </w:pPr>
      <w:r>
        <w:t xml:space="preserve">Feeds Module D (Vendor Prep Call Support).</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is the summary stored, and in what format?</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In the datastore; structured JSON, rendered in-app and exportable.</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is it passed downstream?</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Through the shared datastore to Module D.</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HITL: is organiser / executive sponsor sign-off required before proceeding to vendor engagement?</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Yes — confirmed. Sponsor/organiser sign-off is required before any vendor engagement.</w:t>
            </w:r>
          </w:p>
        </w:tc>
      </w:tr>
    </w:tbl>
    <w:p>
      <w:pPr>
        <w:spacing w:after="80"/>
      </w:pPr>
      <w:r>
        <w:t xml:space="preserve"/>
      </w:r>
    </w:p>
    <w:p>
      <w:pPr>
        <w:pStyle w:val="Heading2"/>
      </w:pPr>
      <w:r>
        <w:t xml:space="preserve">7.4 Module D — Vendor Prep Call Support</w:t>
      </w:r>
    </w:p>
    <w:p>
      <w:pPr>
        <w:spacing w:after="120" w:line="276"/>
      </w:pPr>
      <w:r>
        <w:rPr>
          <w:b w:val="false"/>
          <w:bCs w:val="false"/>
          <w:i/>
          <w:iCs/>
          <w:color w:val="444444"/>
        </w:rPr>
        <w:t xml:space="preserve">Purpose: Support preparation for, and capture from, the vendor-facing prep / negotiation call held ahead of the live EGB/QBR meeting, ensuring Shell enters the governance meeting with aligned expectations.</w:t>
      </w:r>
    </w:p>
    <w:p>
      <w:pPr>
        <w:pStyle w:val="Heading3"/>
      </w:pPr>
      <w:r>
        <w:t xml:space="preserve">Vendor-Facing Pack</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Generates a vendor-appropriate briefing and agenda, filtered from the internal pack so that only externally-shareable content is surfaced.</w:t>
      </w:r>
    </w:p>
    <w:p>
      <w:pPr>
        <w:pStyle w:val="ListParagraph"/>
        <w:numPr>
          <w:ilvl w:val="0"/>
          <w:numId w:val="2"/>
        </w:numPr>
        <w:spacing w:after="60" w:line="264"/>
      </w:pPr>
      <w:r>
        <w:t xml:space="preserve">Surfaces the specific points Shell intends to raise with the vendor and the supporting scorecard evidence.</w:t>
      </w:r>
    </w:p>
    <w:p>
      <w:pPr>
        <w:spacing w:after="80"/>
      </w:pPr>
      <w:r>
        <w:t xml:space="preserve"/>
      </w:r>
    </w:p>
    <w:p>
      <w:pPr>
        <w:pStyle w:val="Heading3"/>
      </w:pPr>
      <w:r>
        <w:t xml:space="preserve">Negotiation Support (Pushback)</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Lists anticipated vendor objections / responses with suggested counters (LLM-generated, advisory only).</w:t>
      </w:r>
    </w:p>
    <w:p>
      <w:pPr>
        <w:pStyle w:val="ListParagraph"/>
        <w:numPr>
          <w:ilvl w:val="0"/>
          <w:numId w:val="2"/>
        </w:numPr>
        <w:spacing w:after="60" w:line="264"/>
      </w:pPr>
      <w:r>
        <w:t xml:space="preserve">Talking points are aligned to the internal position agreed in Module C.</w:t>
      </w:r>
    </w:p>
    <w:p>
      <w:pPr>
        <w:pStyle w:val="ListParagraph"/>
        <w:numPr>
          <w:ilvl w:val="0"/>
          <w:numId w:val="2"/>
        </w:numPr>
        <w:spacing w:after="60" w:line="264"/>
      </w:pPr>
      <w:r>
        <w:t xml:space="preserve">Flags any item that may require legal or contractual input — legal / contractual interpretation is out of scope and is handed off, not attempted.</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Are counters LLM-only, or seeded from prior-cycle history (Module F)?</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Currently LLM-drafted (advisory) and grounded in the scorecard evidence; they can also be seeded from Module F history.</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is alignment to the Module C position enforced?</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The agreed Module C positions are passed to the draft as fixed context, and the human review step confirms alignment before use.</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 to whom is a flagged legal item handed off in the workflow?</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Flagged and routed via the coordinator to Shell’s legal/contracts owner; the system never interprets legal content.</w:t>
            </w:r>
          </w:p>
        </w:tc>
      </w:tr>
    </w:tbl>
    <w:p>
      <w:pPr>
        <w:spacing w:after="80"/>
      </w:pPr>
      <w:r>
        <w:t xml:space="preserve"/>
      </w:r>
    </w:p>
    <w:p>
      <w:pPr>
        <w:pStyle w:val="Heading3"/>
      </w:pPr>
      <w:r>
        <w:t xml:space="preserve">Call Capture</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Captures vendor responses, commitments, and disputed points during the call.</w:t>
      </w:r>
    </w:p>
    <w:p>
      <w:pPr>
        <w:pStyle w:val="ListParagraph"/>
        <w:numPr>
          <w:ilvl w:val="0"/>
          <w:numId w:val="2"/>
        </w:numPr>
        <w:spacing w:after="60" w:line="264"/>
      </w:pPr>
      <w:r>
        <w:t xml:space="preserve">Logs agreed actions and commitments with owners and target dates.</w:t>
      </w:r>
    </w:p>
    <w:p>
      <w:pPr>
        <w:pStyle w:val="ListParagraph"/>
        <w:numPr>
          <w:ilvl w:val="0"/>
          <w:numId w:val="2"/>
        </w:numPr>
        <w:spacing w:after="60" w:line="264"/>
      </w:pPr>
      <w:r>
        <w:t xml:space="preserve">Flags unresolved items to be carried into the EGB/QBR meeting.</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How is capture done — manual entry or transcript?</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Both — manual entry or an uploaded transcript parsed by the AI Service.</w:t>
            </w:r>
          </w:p>
        </w:tc>
      </w:tr>
    </w:tbl>
    <w:p>
      <w:pPr>
        <w:spacing w:after="80"/>
      </w:pPr>
      <w:r>
        <w:t xml:space="preserve"/>
      </w:r>
    </w:p>
    <w:p>
      <w:pPr>
        <w:pStyle w:val="Heading3"/>
      </w:pPr>
      <w:r>
        <w:t xml:space="preserve">Output</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Produces a Vendor Prep Summary — vendor commitments, open items, and points for escalation.</w:t>
      </w:r>
    </w:p>
    <w:p>
      <w:pPr>
        <w:pStyle w:val="ListParagraph"/>
        <w:numPr>
          <w:ilvl w:val="0"/>
          <w:numId w:val="2"/>
        </w:numPr>
        <w:spacing w:after="60" w:line="264"/>
      </w:pPr>
      <w:r>
        <w:t xml:space="preserve">Feeds Module E (EGB/QBR Meeting Support).</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is the summary stored?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In the datastore, as the vendor-prep record.</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is it passed downstream?</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Through the shared datastore to Module E.</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HITL: does the organiser review the vendor prep summary before the governance meeting?</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Yes. The organiser reviews the vendor-prep summary before the governance meeting.</w:t>
            </w:r>
          </w:p>
        </w:tc>
      </w:tr>
    </w:tbl>
    <w:p>
      <w:pPr>
        <w:spacing w:after="80"/>
      </w:pPr>
      <w:r>
        <w:t xml:space="preserve"/>
      </w:r>
    </w:p>
    <w:p>
      <w:pPr>
        <w:pStyle w:val="Heading2"/>
      </w:pPr>
      <w:r>
        <w:t xml:space="preserve">7.5 Module E — EGB/QBR Meeting Support</w:t>
      </w:r>
    </w:p>
    <w:p>
      <w:pPr>
        <w:spacing w:after="120" w:line="276"/>
      </w:pPr>
      <w:r>
        <w:rPr>
          <w:b w:val="false"/>
          <w:bCs w:val="false"/>
          <w:i/>
          <w:iCs/>
          <w:color w:val="444444"/>
        </w:rPr>
        <w:t xml:space="preserve">Purpose: Support the live Executive Governance Board / Quarterly Business Review meeting and the post-meeting documentation, capturing decisions and actions accurately and distributing them with minimal manual effort.</w:t>
      </w:r>
    </w:p>
    <w:p>
      <w:pPr>
        <w:pStyle w:val="Heading3"/>
      </w:pPr>
      <w:r>
        <w:t xml:space="preserve">Meeting Pack Assembly</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Assembles the final meeting pack from the consolidated scorecard, the internal alignment summary, and the vendor prep summary.</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does each input read from, and where is the assembled pack stored?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Reads the compiled scorecard (B), alignment summary (C) and vendor-prep summary (D) from the datastore; the assembled pack is stored against the cycle.</w:t>
            </w:r>
          </w:p>
        </w:tc>
      </w:tr>
    </w:tbl>
    <w:p>
      <w:pPr>
        <w:spacing w:after="80"/>
      </w:pPr>
      <w:r>
        <w:t xml:space="preserve"/>
      </w:r>
    </w:p>
    <w:p>
      <w:pPr>
        <w:pStyle w:val="Heading3"/>
      </w:pPr>
      <w:r>
        <w:t xml:space="preserve">Live Capture</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Real-time or transcript-based note capture during the meeting (supports uploaded transcript or manual capture with AI structuring).</w:t>
      </w:r>
    </w:p>
    <w:p>
      <w:pPr>
        <w:pStyle w:val="ListParagraph"/>
        <w:numPr>
          <w:ilvl w:val="0"/>
          <w:numId w:val="2"/>
        </w:numPr>
        <w:spacing w:after="60" w:line="264"/>
      </w:pPr>
      <w:r>
        <w:t xml:space="preserve">Structured logging of decisions, actions, risks, and escalations as they occur.</w:t>
      </w:r>
    </w:p>
    <w:p>
      <w:pPr>
        <w:pStyle w:val="ListParagraph"/>
        <w:numPr>
          <w:ilvl w:val="0"/>
          <w:numId w:val="2"/>
        </w:numPr>
        <w:spacing w:after="60" w:line="264"/>
      </w:pPr>
      <w:r>
        <w:t xml:space="preserve">Each item is tagged to the relevant vendor and KPI for traceability.</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What is the source — uploaded transcript or manual notes?</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Both are supported — an uploaded transcript or manual notes.</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is this logged during the meeting?</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In the meeting record (datastore), structured into five note types: question, objection, decision, appreciation, and action.</w:t>
            </w:r>
          </w:p>
        </w:tc>
      </w:tr>
    </w:tbl>
    <w:p>
      <w:pPr>
        <w:spacing w:after="80"/>
      </w:pPr>
      <w:r>
        <w:t xml:space="preserve"/>
      </w:r>
    </w:p>
    <w:p>
      <w:pPr>
        <w:pStyle w:val="Heading3"/>
      </w:pPr>
      <w:r>
        <w:t xml:space="preserve">Post-Meeting Documentation</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Auto-generates draft minutes covering attendees, agenda, decisions, actions, and risks.</w:t>
      </w:r>
    </w:p>
    <w:p>
      <w:pPr>
        <w:pStyle w:val="ListParagraph"/>
        <w:numPr>
          <w:ilvl w:val="0"/>
          <w:numId w:val="2"/>
        </w:numPr>
        <w:spacing w:after="60" w:line="264"/>
      </w:pPr>
      <w:r>
        <w:t xml:space="preserve">Builds an action register with owner, due date, and status.</w:t>
      </w:r>
    </w:p>
    <w:p>
      <w:pPr>
        <w:pStyle w:val="ListParagraph"/>
        <w:numPr>
          <w:ilvl w:val="0"/>
          <w:numId w:val="2"/>
        </w:numPr>
        <w:spacing w:after="60" w:line="264"/>
      </w:pPr>
      <w:r>
        <w:t xml:space="preserve">One-click distribution of minutes to attendees (via Microsoft Graph / Outlook).</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Generated from what — the live capture log? Which model?</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From the live-capture log / parsed notes; minutes are drafted by the AI Service (Foundry GPT-4o) and human-approved.</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Is this the same register used in Modules C/D, or a consolidated one?</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The consolidated, shared action register.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Who is on the distribution list — the refreshed Module A attendee list?</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Yes — the refreshed Module A attendee list (currently sends to the internal team only — needs to be confirmed with Shell).</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HITL: does the organiser review and edit the draft minutes before distribution?</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Yes — confirmed. The organiser reviews and edits the draft minutes before distribution.</w:t>
            </w:r>
          </w:p>
        </w:tc>
      </w:tr>
    </w:tbl>
    <w:p>
      <w:pPr>
        <w:spacing w:after="80"/>
      </w:pPr>
      <w:r>
        <w:t xml:space="preserve"/>
      </w:r>
    </w:p>
    <w:p>
      <w:pPr>
        <w:pStyle w:val="Heading3"/>
      </w:pPr>
      <w:r>
        <w:t xml:space="preserve">Follow-up Tracking</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Tracks action item status through to closure.</w:t>
      </w:r>
    </w:p>
    <w:p>
      <w:pPr>
        <w:pStyle w:val="ListParagraph"/>
        <w:numPr>
          <w:ilvl w:val="0"/>
          <w:numId w:val="2"/>
        </w:numPr>
        <w:spacing w:after="60" w:line="264"/>
      </w:pPr>
      <w:r>
        <w:t xml:space="preserve">Automated nudges to owners on overdue actions.</w:t>
      </w:r>
    </w:p>
    <w:p>
      <w:pPr>
        <w:pStyle w:val="ListParagraph"/>
        <w:numPr>
          <w:ilvl w:val="0"/>
          <w:numId w:val="2"/>
        </w:numPr>
        <w:spacing w:after="60" w:line="264"/>
      </w:pPr>
      <w:r>
        <w:t xml:space="preserve">Open actions and unresolved items feed Module F for cross-cycle carry-forward.</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is action status stored and updated?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In the datastore action register, updated through the app.</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are they passed to Module F?</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Open actions and unresolved items are carried to Module F via the shared datastore.</w:t>
            </w:r>
          </w:p>
        </w:tc>
      </w:tr>
    </w:tbl>
    <w:p>
      <w:pPr>
        <w:spacing w:after="80"/>
      </w:pPr>
      <w:r>
        <w:t xml:space="preserve"/>
      </w:r>
    </w:p>
    <w:p>
      <w:pPr>
        <w:pStyle w:val="Heading2"/>
      </w:pPr>
      <w:r>
        <w:t xml:space="preserve">7.6 Module F — Cross-Cycle Memory &amp; Trend Analysis Dashboard</w:t>
      </w:r>
    </w:p>
    <w:p>
      <w:pPr>
        <w:spacing w:after="120" w:line="276"/>
      </w:pPr>
      <w:r>
        <w:rPr>
          <w:b w:val="false"/>
          <w:bCs w:val="false"/>
          <w:i/>
          <w:iCs/>
          <w:color w:val="444444"/>
        </w:rPr>
        <w:t xml:space="preserve">Purpose: Persist cycle data across quarters and provide trend analysis plus institutional memory, so that each cycle builds on the last rather than starting cold.</w:t>
      </w:r>
    </w:p>
    <w:p>
      <w:pPr>
        <w:pStyle w:val="Heading3"/>
      </w:pPr>
      <w:r>
        <w:t xml:space="preserve">Cross-Cycle Memory Store</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Persists scorecards, decisions, actions, and minutes per cycle as versioned snapshots.</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What is the underlying store / schema, and what is the retention period?</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PostgreSQL is the system of record, holding versioned per-cycle snapshots of scorecards, decisions, actions and minutes.</w:t>
            </w:r>
          </w:p>
        </w:tc>
      </w:tr>
    </w:tbl>
    <w:p>
      <w:pPr>
        <w:spacing w:after="80"/>
      </w:pPr>
      <w:r>
        <w:t xml:space="preserve"/>
      </w:r>
    </w:p>
    <w:p>
      <w:pPr>
        <w:pStyle w:val="Heading3"/>
      </w:pPr>
      <w:r>
        <w:t xml:space="preserve">Trend Analysis</w:t>
      </w:r>
    </w:p>
    <w:p>
      <w:pPr>
        <w:spacing w:after="60" w:before="120"/>
      </w:pPr>
      <w:r>
        <w:rPr>
          <w:b/>
          <w:bCs/>
          <w:color w:val="2E75B6"/>
          <w:sz w:val="21"/>
          <w:szCs w:val="21"/>
        </w:rPr>
        <w:t xml:space="preserve">Process &amp; Functional Requirements</w:t>
      </w:r>
    </w:p>
    <w:p>
      <w:pPr>
        <w:pStyle w:val="ListParagraph"/>
        <w:numPr>
          <w:ilvl w:val="0"/>
          <w:numId w:val="2"/>
        </w:numPr>
        <w:spacing w:after="60" w:line="264"/>
      </w:pPr>
      <w:r>
        <w:t xml:space="preserve">KPI trends quarter-over-quarter, per vendor and in aggregate.</w:t>
      </w:r>
    </w:p>
    <w:p>
      <w:pPr>
        <w:pStyle w:val="ListParagraph"/>
        <w:numPr>
          <w:ilvl w:val="0"/>
          <w:numId w:val="2"/>
        </w:numPr>
        <w:spacing w:after="60" w:line="264"/>
      </w:pPr>
      <w:r>
        <w:t xml:space="preserve">Vendor performance trajectory and RAG movement over time.</w:t>
      </w:r>
    </w:p>
    <w:p>
      <w:pPr>
        <w:pStyle w:val="ListParagraph"/>
        <w:numPr>
          <w:ilvl w:val="0"/>
          <w:numId w:val="2"/>
        </w:numPr>
        <w:spacing w:after="60" w:line="264"/>
      </w:pPr>
      <w:r>
        <w:t xml:space="preserve">Recurring-issue detection — surfaces issues appearing across multiple cycles.</w:t>
      </w:r>
    </w:p>
    <w:p>
      <w:pPr>
        <w:pStyle w:val="ListParagraph"/>
        <w:numPr>
          <w:ilvl w:val="0"/>
          <w:numId w:val="2"/>
        </w:numPr>
        <w:spacing w:after="60" w:line="264"/>
      </w:pPr>
      <w:r>
        <w:t xml:space="preserve">Action closure rate and aging analysis.</w:t>
      </w:r>
    </w:p>
    <w:p>
      <w:pPr>
        <w:pStyle w:val="ListParagraph"/>
        <w:numPr>
          <w:ilvl w:val="0"/>
          <w:numId w:val="2"/>
        </w:numPr>
        <w:spacing w:after="60" w:line="264"/>
      </w:pPr>
      <w:r>
        <w:t xml:space="preserve">All trend metrics are computed deterministically; the LLM narrates the results only.</w:t>
      </w:r>
    </w:p>
    <w:p>
      <w:pPr>
        <w:spacing w:after="60" w:before="120"/>
      </w:pPr>
      <w:r>
        <w:rPr>
          <w:b/>
          <w:bCs/>
          <w:color w:val="2E75B6"/>
          <w:sz w:val="21"/>
          <w:szCs w:val="21"/>
        </w:rPr>
        <w:t xml:space="preserve">Clarifying Questions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Open Question / Clarification</w:t>
            </w:r>
          </w:p>
        </w:tc>
        <w:tc>
          <w:tcPr>
            <w:tcW w:type="dxa" w:w="5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Resolution / Answer</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Where do historical values read from, and how many cycles back?</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From the cross-cycle memory store, across all available prior cycles (look-back is configurable).</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How is trajectory computed?</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Deterministically from the recent score delta: improving if the change is ≥ +0.5, declining if ≤ −0.5, otherwise stable.</w:t>
            </w:r>
          </w:p>
        </w:tc>
      </w:tr>
      <w:tr>
        <w:tc>
          <w:tcPr>
            <w:tcW w:type="dxa" w:w="360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b w:val="false"/>
                <w:bCs w:val="false"/>
                <w:sz w:val="21"/>
                <w:szCs w:val="21"/>
              </w:rPr>
              <w:t xml:space="preserve">How is “the same issue” matched across cycles — tagging or text similarity?</w:t>
            </w:r>
          </w:p>
        </w:tc>
        <w:tc>
          <w:tcPr>
            <w:tcW w:type="dxa" w:w="5760"/>
            <w:tcBorders>
              <w:top w:val="single" w:color="BBBBBB" w:sz="4"/>
              <w:left w:val="single" w:color="BBBBBB" w:sz="4"/>
              <w:bottom w:val="single" w:color="BBBBBB" w:sz="4"/>
              <w:right w:val="single" w:color="BBBBBB" w:sz="4"/>
            </w:tcBorders>
            <w:shd w:fill="EAF0F8" w:val="clear"/>
            <w:tcMar>
              <w:top w:type="dxa" w:w="80"/>
              <w:left w:type="dxa" w:w="140"/>
              <w:bottom w:type="dxa" w:w="80"/>
              <w:right w:type="dxa" w:w="140"/>
            </w:tcMar>
            <w:vAlign w:val="center"/>
          </w:tcPr>
          <w:p>
            <w:pPr>
              <w:spacing w:after="0" w:line="252"/>
            </w:pPr>
            <w:r>
              <w:rPr>
                <w:sz w:val="21"/>
                <w:szCs w:val="21"/>
              </w:rPr>
              <w:t xml:space="preserve">Today by KPI/category tagging — a recurring issue is a category scoring below 3.0 for two or more consecutive cycles. Text-similarity matching is a possible enhancement.</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val="false"/>
                <w:bCs w:val="false"/>
                <w:sz w:val="21"/>
                <w:szCs w:val="21"/>
              </w:rPr>
              <w:t xml:space="preserve">Where does the action data read from (the Module E register)?</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Yes — from the shared action register populated in Module E.</w:t>
            </w:r>
          </w:p>
        </w:tc>
      </w:tr>
    </w:tbl>
    <w:p>
      <w:pPr>
        <w:spacing w:after="80"/>
      </w:pPr>
      <w:r>
        <w:t xml:space="preserve"/>
      </w:r>
    </w:p>
    <w:p>
      <w:r>
        <w:br w:type="page"/>
      </w:r>
    </w:p>
    <w:p>
      <w:pPr>
        <w:pStyle w:val="Heading1"/>
      </w:pPr>
      <w:r>
        <w:t xml:space="preserve">8. Discovery Requirements Questionnaire</w:t>
      </w:r>
    </w:p>
    <w:p>
      <w:pPr>
        <w:spacing w:after="120" w:line="276"/>
      </w:pPr>
      <w:r>
        <w:rPr>
          <w:b w:val="false"/>
          <w:bCs w:val="false"/>
          <w:i/>
          <w:iCs/>
        </w:rPr>
        <w:t xml:space="preserve">The following questions are carried forward for discovery with Shell before and during build. They are grouped by theme; responses will refine the requirements and confirm the open items in Section 9.</w:t>
      </w:r>
    </w:p>
    <w:p>
      <w:pPr>
        <w:pStyle w:val="Heading2"/>
      </w:pPr>
      <w:r>
        <w:t xml:space="preserve">1. About You</w:t>
      </w:r>
    </w:p>
    <w:p>
      <w:pPr>
        <w:pStyle w:val="ListParagraph"/>
        <w:numPr>
          <w:ilvl w:val="0"/>
          <w:numId w:val="2"/>
        </w:numPr>
        <w:spacing w:after="60" w:line="264"/>
      </w:pPr>
      <w:r>
        <w:t xml:space="preserve">Can we have a role breakdown?</w:t>
      </w:r>
    </w:p>
    <w:p>
      <w:pPr>
        <w:pStyle w:val="ListParagraph"/>
        <w:numPr>
          <w:ilvl w:val="0"/>
          <w:numId w:val="2"/>
        </w:numPr>
        <w:spacing w:after="60" w:line="264"/>
      </w:pPr>
      <w:r>
        <w:t xml:space="preserve">How many vendors do you review every quarter?</w:t>
      </w:r>
    </w:p>
    <w:p>
      <w:pPr>
        <w:pStyle w:val="ListParagraph"/>
        <w:numPr>
          <w:ilvl w:val="0"/>
          <w:numId w:val="2"/>
        </w:numPr>
        <w:spacing w:after="60" w:line="264"/>
      </w:pPr>
      <w:r>
        <w:t xml:space="preserve">Roughly how many people are involved in one review cycle?</w:t>
      </w:r>
    </w:p>
    <w:p>
      <w:pPr>
        <w:pStyle w:val="Heading2"/>
      </w:pPr>
      <w:r>
        <w:t xml:space="preserve">2. How It Works Today</w:t>
      </w:r>
    </w:p>
    <w:p>
      <w:pPr>
        <w:pStyle w:val="ListParagraph"/>
        <w:numPr>
          <w:ilvl w:val="0"/>
          <w:numId w:val="2"/>
        </w:numPr>
        <w:spacing w:after="60" w:line="264"/>
      </w:pPr>
      <w:r>
        <w:t xml:space="preserve">Walk us through how you run one review cycle now, start to finish — even roughly.</w:t>
      </w:r>
    </w:p>
    <w:p>
      <w:pPr>
        <w:pStyle w:val="ListParagraph"/>
        <w:numPr>
          <w:ilvl w:val="0"/>
          <w:numId w:val="2"/>
        </w:numPr>
        <w:spacing w:after="60" w:line="264"/>
      </w:pPr>
      <w:r>
        <w:t xml:space="preserve">What part takes the most time or causes the most back-and-forth?</w:t>
      </w:r>
    </w:p>
    <w:p>
      <w:pPr>
        <w:pStyle w:val="ListParagraph"/>
        <w:numPr>
          <w:ilvl w:val="0"/>
          <w:numId w:val="2"/>
        </w:numPr>
        <w:spacing w:after="60" w:line="264"/>
      </w:pPr>
      <w:r>
        <w:t xml:space="preserve">Which tools do you use today (Outlook, Teams, Excel, SharePoint, anything else)?</w:t>
      </w:r>
    </w:p>
    <w:p>
      <w:pPr>
        <w:pStyle w:val="Heading2"/>
      </w:pPr>
      <w:r>
        <w:t xml:space="preserve">3. Scorecards — How They Are Collected</w:t>
      </w:r>
    </w:p>
    <w:p>
      <w:pPr>
        <w:pStyle w:val="ListParagraph"/>
        <w:numPr>
          <w:ilvl w:val="0"/>
          <w:numId w:val="2"/>
        </w:numPr>
        <w:spacing w:after="60" w:line="264"/>
      </w:pPr>
      <w:r>
        <w:t xml:space="preserve">How would you prefer reviewers submit scores: an online form, an Excel sheet upload, email, or a mix?</w:t>
      </w:r>
    </w:p>
    <w:p>
      <w:pPr>
        <w:pStyle w:val="ListParagraph"/>
        <w:numPr>
          <w:ilvl w:val="0"/>
          <w:numId w:val="2"/>
        </w:numPr>
        <w:spacing w:after="60" w:line="264"/>
      </w:pPr>
      <w:r>
        <w:t xml:space="preserve">Our default is a native in-app form sent to each reviewer via a secure email link. Does that work, or do you mandate Microsoft Forms (or another tool) for collection?</w:t>
      </w:r>
    </w:p>
    <w:p>
      <w:pPr>
        <w:pStyle w:val="ListParagraph"/>
        <w:numPr>
          <w:ilvl w:val="0"/>
          <w:numId w:val="2"/>
        </w:numPr>
        <w:spacing w:after="60" w:line="264"/>
      </w:pPr>
      <w:r>
        <w:t xml:space="preserve">If Excel — is there a standard template today? Can you share it?</w:t>
      </w:r>
    </w:p>
    <w:p>
      <w:pPr>
        <w:pStyle w:val="ListParagraph"/>
        <w:numPr>
          <w:ilvl w:val="0"/>
          <w:numId w:val="2"/>
        </w:numPr>
        <w:spacing w:after="60" w:line="264"/>
      </w:pPr>
      <w:r>
        <w:t xml:space="preserve">Do vendors score themselves too, or only internal stakeholders?</w:t>
      </w:r>
    </w:p>
    <w:p>
      <w:pPr>
        <w:pStyle w:val="ListParagraph"/>
        <w:numPr>
          <w:ilvl w:val="0"/>
          <w:numId w:val="2"/>
        </w:numPr>
        <w:spacing w:after="60" w:line="264"/>
      </w:pPr>
      <w:r>
        <w:t xml:space="preserve">How long do reviewers usually get, and do you chase late ones today?</w:t>
      </w:r>
    </w:p>
    <w:p>
      <w:pPr>
        <w:pStyle w:val="ListParagraph"/>
        <w:numPr>
          <w:ilvl w:val="0"/>
          <w:numId w:val="2"/>
        </w:numPr>
        <w:spacing w:after="60" w:line="264"/>
      </w:pPr>
      <w:r>
        <w:t xml:space="preserve">When a submission is late, how many automated reminders should go out before we escalate to you? (We are planning two reminders, then escalation.)</w:t>
      </w:r>
    </w:p>
    <w:p>
      <w:pPr>
        <w:pStyle w:val="Heading2"/>
      </w:pPr>
      <w:r>
        <w:t xml:space="preserve">4. Scorecards — What Is In Them</w:t>
      </w:r>
    </w:p>
    <w:p>
      <w:pPr>
        <w:pStyle w:val="ListParagraph"/>
        <w:numPr>
          <w:ilvl w:val="0"/>
          <w:numId w:val="2"/>
        </w:numPr>
        <w:spacing w:after="60" w:line="264"/>
      </w:pPr>
      <w:r>
        <w:t xml:space="preserve">Are these the right categories: Risk &amp; Compliance, Performance, Commercial, Relationship? Anything to add or drop?</w:t>
      </w:r>
    </w:p>
    <w:p>
      <w:pPr>
        <w:pStyle w:val="ListParagraph"/>
        <w:numPr>
          <w:ilvl w:val="0"/>
          <w:numId w:val="2"/>
        </w:numPr>
        <w:spacing w:after="60" w:line="264"/>
      </w:pPr>
      <w:r>
        <w:t xml:space="preserve">Is a 1–5 rating right, or do you use something else?</w:t>
      </w:r>
    </w:p>
    <w:p>
      <w:pPr>
        <w:pStyle w:val="ListParagraph"/>
        <w:numPr>
          <w:ilvl w:val="0"/>
          <w:numId w:val="2"/>
        </w:numPr>
        <w:spacing w:after="60" w:line="264"/>
      </w:pPr>
      <w:r>
        <w:t xml:space="preserve">Do you need free-text comments, and should some be private to the internal team (not shared with the vendor)?</w:t>
      </w:r>
    </w:p>
    <w:p>
      <w:pPr>
        <w:pStyle w:val="ListParagraph"/>
        <w:numPr>
          <w:ilvl w:val="0"/>
          <w:numId w:val="2"/>
        </w:numPr>
        <w:spacing w:after="60" w:line="264"/>
      </w:pPr>
      <w:r>
        <w:t xml:space="preserve">When a vendor’s self-reported number differs from your internal / system-of-record figure, how large a gap should trigger a “please check” flag? (Our default is a statistical-outlier threshold of ~1.5 standard deviations, but we would like to set this to your preference.)</w:t>
      </w:r>
    </w:p>
    <w:p>
      <w:pPr>
        <w:pStyle w:val="Heading2"/>
      </w:pPr>
      <w:r>
        <w:t xml:space="preserve">5. Scheduling &amp; Meetings</w:t>
      </w:r>
    </w:p>
    <w:p>
      <w:pPr>
        <w:pStyle w:val="ListParagraph"/>
        <w:numPr>
          <w:ilvl w:val="0"/>
          <w:numId w:val="2"/>
        </w:numPr>
        <w:spacing w:after="60" w:line="264"/>
      </w:pPr>
      <w:r>
        <w:t xml:space="preserve">Who must be in the room for a review to go ahead (e.g. an executive sponsor)?</w:t>
      </w:r>
    </w:p>
    <w:p>
      <w:pPr>
        <w:pStyle w:val="ListParagraph"/>
        <w:numPr>
          <w:ilvl w:val="0"/>
          <w:numId w:val="2"/>
        </w:numPr>
        <w:spacing w:after="60" w:line="264"/>
      </w:pPr>
      <w:r>
        <w:t xml:space="preserve">Are meetings on Teams, and are invites sent from Outlook today?</w:t>
      </w:r>
    </w:p>
    <w:p>
      <w:pPr>
        <w:pStyle w:val="ListParagraph"/>
        <w:numPr>
          <w:ilvl w:val="0"/>
          <w:numId w:val="2"/>
        </w:numPr>
        <w:spacing w:after="60" w:line="264"/>
      </w:pPr>
      <w:r>
        <w:t xml:space="preserve">Any time zones or recurring constraints we should know about?</w:t>
      </w:r>
    </w:p>
    <w:p>
      <w:pPr>
        <w:pStyle w:val="ListParagraph"/>
        <w:numPr>
          <w:ilvl w:val="0"/>
          <w:numId w:val="2"/>
        </w:numPr>
        <w:spacing w:after="60" w:line="264"/>
      </w:pPr>
      <w:r>
        <w:t xml:space="preserve">How long should attendees get to confirm their place before we flag them as unconfirmed? (We default to 48 hours but can tighten to 12.)</w:t>
      </w:r>
    </w:p>
    <w:p>
      <w:pPr>
        <w:pStyle w:val="ListParagraph"/>
        <w:numPr>
          <w:ilvl w:val="0"/>
          <w:numId w:val="2"/>
        </w:numPr>
        <w:spacing w:after="60" w:line="264"/>
      </w:pPr>
      <w:r>
        <w:t xml:space="preserve">If someone does not respond to the invite, how many automated nudges should we send before escalating to you?</w:t>
      </w:r>
    </w:p>
    <w:p>
      <w:pPr>
        <w:pStyle w:val="ListParagraph"/>
        <w:numPr>
          <w:ilvl w:val="0"/>
          <w:numId w:val="2"/>
        </w:numPr>
        <w:spacing w:after="60" w:line="264"/>
      </w:pPr>
      <w:r>
        <w:t xml:space="preserve">When we pick a meeting slot, should some people’s availability count for more than others (e.g. sponsor / senior roles weighted more heavily), or is everyone weighted equally?</w:t>
      </w:r>
    </w:p>
    <w:p>
      <w:pPr>
        <w:pStyle w:val="Heading2"/>
      </w:pPr>
      <w:r>
        <w:t xml:space="preserve">6. Vendors &amp; Data</w:t>
      </w:r>
    </w:p>
    <w:p>
      <w:pPr>
        <w:pStyle w:val="ListParagraph"/>
        <w:numPr>
          <w:ilvl w:val="0"/>
          <w:numId w:val="2"/>
        </w:numPr>
        <w:spacing w:after="60" w:line="264"/>
      </w:pPr>
      <w:r>
        <w:t xml:space="preserve">Where does the list of vendors live today (Excel/CSV, SAP, Ariba, somewhere else)?</w:t>
      </w:r>
    </w:p>
    <w:p>
      <w:pPr>
        <w:pStyle w:val="ListParagraph"/>
        <w:numPr>
          <w:ilvl w:val="0"/>
          <w:numId w:val="2"/>
        </w:numPr>
        <w:spacing w:after="60" w:line="264"/>
      </w:pPr>
      <w:r>
        <w:t xml:space="preserve">Is there any data in this process that must not leave Shell or must stay highly restricted?</w:t>
      </w:r>
    </w:p>
    <w:p>
      <w:pPr>
        <w:pStyle w:val="Heading2"/>
      </w:pPr>
      <w:r>
        <w:t xml:space="preserve">7. Emails &amp; Notifications</w:t>
      </w:r>
    </w:p>
    <w:p>
      <w:pPr>
        <w:pStyle w:val="ListParagraph"/>
        <w:numPr>
          <w:ilvl w:val="0"/>
          <w:numId w:val="2"/>
        </w:numPr>
        <w:spacing w:after="60" w:line="264"/>
      </w:pPr>
      <w:r>
        <w:t xml:space="preserve">Should reminders/requests come from a shared mailbox (e.g. “VendorPulse — Shell VMO”), or a named person?</w:t>
      </w:r>
    </w:p>
    <w:p>
      <w:pPr>
        <w:pStyle w:val="ListParagraph"/>
        <w:numPr>
          <w:ilvl w:val="0"/>
          <w:numId w:val="2"/>
        </w:numPr>
        <w:spacing w:after="60" w:line="264"/>
      </w:pPr>
      <w:r>
        <w:t xml:space="preserve">Where do you want to be notified — email, Teams, or both?</w:t>
      </w:r>
    </w:p>
    <w:p>
      <w:pPr>
        <w:pStyle w:val="ListParagraph"/>
        <w:numPr>
          <w:ilvl w:val="0"/>
          <w:numId w:val="2"/>
        </w:numPr>
        <w:spacing w:after="60" w:line="264"/>
      </w:pPr>
      <w:r>
        <w:t xml:space="preserve">Any branding/wording rules for vendor-facing emails?</w:t>
      </w:r>
    </w:p>
    <w:p>
      <w:pPr>
        <w:pStyle w:val="Heading2"/>
      </w:pPr>
      <w:r>
        <w:t xml:space="preserve">8. Minutes &amp; Action Items</w:t>
      </w:r>
    </w:p>
    <w:p>
      <w:pPr>
        <w:pStyle w:val="ListParagraph"/>
        <w:numPr>
          <w:ilvl w:val="0"/>
          <w:numId w:val="2"/>
        </w:numPr>
        <w:spacing w:after="60" w:line="264"/>
      </w:pPr>
      <w:r>
        <w:t xml:space="preserve">Who writes the meeting minutes today, and how long does it take?</w:t>
      </w:r>
    </w:p>
    <w:p>
      <w:pPr>
        <w:pStyle w:val="ListParagraph"/>
        <w:numPr>
          <w:ilvl w:val="0"/>
          <w:numId w:val="2"/>
        </w:numPr>
        <w:spacing w:after="60" w:line="264"/>
      </w:pPr>
      <w:r>
        <w:t xml:space="preserve">Would an AI-drafted minutes/summary that you review and edit before sending be useful?</w:t>
      </w:r>
    </w:p>
    <w:p>
      <w:pPr>
        <w:pStyle w:val="ListParagraph"/>
        <w:numPr>
          <w:ilvl w:val="0"/>
          <w:numId w:val="2"/>
        </w:numPr>
        <w:spacing w:after="60" w:line="264"/>
      </w:pPr>
      <w:r>
        <w:t xml:space="preserve">How do you track action items after a meeting today?</w:t>
      </w:r>
    </w:p>
    <w:p>
      <w:pPr>
        <w:pStyle w:val="ListParagraph"/>
        <w:numPr>
          <w:ilvl w:val="0"/>
          <w:numId w:val="2"/>
        </w:numPr>
        <w:spacing w:after="60" w:line="264"/>
      </w:pPr>
      <w:r>
        <w:t xml:space="preserve">Do you want a single action register carried across the whole cycle — internal prep, vendor call, and the governance meeting — or separate lists kept per stage?</w:t>
      </w:r>
    </w:p>
    <w:p>
      <w:pPr>
        <w:pStyle w:val="ListParagraph"/>
        <w:numPr>
          <w:ilvl w:val="0"/>
          <w:numId w:val="2"/>
        </w:numPr>
        <w:spacing w:after="60" w:line="264"/>
      </w:pPr>
      <w:r>
        <w:t xml:space="preserve">When minutes go out, should they go to the full attendee list (including vendor attendees), or to the internal team only?</w:t>
      </w:r>
    </w:p>
    <w:p>
      <w:pPr>
        <w:pStyle w:val="Heading2"/>
      </w:pPr>
      <w:r>
        <w:t xml:space="preserve">9. Approvals &amp; Access</w:t>
      </w:r>
    </w:p>
    <w:p>
      <w:pPr>
        <w:pStyle w:val="ListParagraph"/>
        <w:numPr>
          <w:ilvl w:val="0"/>
          <w:numId w:val="2"/>
        </w:numPr>
        <w:spacing w:after="60" w:line="264"/>
      </w:pPr>
      <w:r>
        <w:t xml:space="preserve">Before anything goes out to a vendor, who needs to approve it — one person or a few?</w:t>
      </w:r>
    </w:p>
    <w:p>
      <w:pPr>
        <w:pStyle w:val="ListParagraph"/>
        <w:numPr>
          <w:ilvl w:val="0"/>
          <w:numId w:val="2"/>
        </w:numPr>
        <w:spacing w:after="60" w:line="264"/>
      </w:pPr>
      <w:r>
        <w:t xml:space="preserve">Who should be able to see what (e.g. should viewers see internal comments)?</w:t>
      </w:r>
    </w:p>
    <w:p>
      <w:pPr>
        <w:pStyle w:val="Heading2"/>
      </w:pPr>
      <w:r>
        <w:t xml:space="preserve">10. Reports for Leadership</w:t>
      </w:r>
    </w:p>
    <w:p>
      <w:pPr>
        <w:pStyle w:val="ListParagraph"/>
        <w:numPr>
          <w:ilvl w:val="0"/>
          <w:numId w:val="2"/>
        </w:numPr>
        <w:spacing w:after="60" w:line="264"/>
      </w:pPr>
      <w:r>
        <w:t xml:space="preserve">What does leadership actually want to see — trends over time, recurring issues, vendor comparison, something else?</w:t>
      </w:r>
    </w:p>
    <w:p>
      <w:pPr>
        <w:pStyle w:val="ListParagraph"/>
        <w:numPr>
          <w:ilvl w:val="0"/>
          <w:numId w:val="2"/>
        </w:numPr>
        <w:spacing w:after="60" w:line="264"/>
      </w:pPr>
      <w:r>
        <w:t xml:space="preserve">Is there a report you produce manually today that you would love to stop doing by hand?</w:t>
      </w:r>
    </w:p>
    <w:p>
      <w:pPr>
        <w:pStyle w:val="Heading2"/>
      </w:pPr>
      <w:r>
        <w:t xml:space="preserve">11. Priorities</w:t>
      </w:r>
    </w:p>
    <w:p>
      <w:pPr>
        <w:pStyle w:val="ListParagraph"/>
        <w:numPr>
          <w:ilvl w:val="0"/>
          <w:numId w:val="2"/>
        </w:numPr>
        <w:spacing w:after="60" w:line="264"/>
      </w:pPr>
      <w:r>
        <w:t xml:space="preserve">If we could only get three things right in the first version, what should they be?</w:t>
      </w:r>
    </w:p>
    <w:p>
      <w:pPr>
        <w:pStyle w:val="ListParagraph"/>
        <w:numPr>
          <w:ilvl w:val="0"/>
          <w:numId w:val="2"/>
        </w:numPr>
        <w:spacing w:after="60" w:line="264"/>
      </w:pPr>
      <w:r>
        <w:t xml:space="preserve">Anything you are worried about, or anything we have not asked that we should have?</w:t>
      </w:r>
    </w:p>
    <w:p>
      <w:r>
        <w:br w:type="page"/>
      </w:r>
    </w:p>
    <w:p>
      <w:pPr>
        <w:pStyle w:val="Heading1"/>
      </w:pPr>
      <w:r>
        <w:t xml:space="preserve">9. Outstanding Items &amp; Decisions to Confirm with Shell</w:t>
      </w:r>
    </w:p>
    <w:p>
      <w:pPr>
        <w:spacing w:after="120" w:line="276"/>
      </w:pPr>
      <w:r>
        <w:rPr>
          <w:b w:val="false"/>
          <w:bCs w:val="false"/>
          <w:i w:val="false"/>
          <w:iCs w:val="false"/>
        </w:rPr>
        <w:t xml:space="preserve">The items below were flagged during requirements clarification as either pending confirmation from Shell or pending implementation. They should be resolved before the corresponding feature is finalised.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760"/>
      </w:tblGrid>
      <w:tr>
        <w:trPr>
          <w:tblHeader/>
        </w:trPr>
        <w:tc>
          <w:tcPr>
            <w:tcW w:type="dxa" w:w="29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Item</w:t>
            </w:r>
          </w:p>
        </w:tc>
        <w:tc>
          <w:tcPr>
            <w:tcW w:type="dxa" w:w="170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Module</w:t>
            </w:r>
          </w:p>
        </w:tc>
        <w:tc>
          <w:tcPr>
            <w:tcW w:type="dxa" w:w="4760"/>
            <w:tcBorders>
              <w:top w:val="single" w:color="BBBBBB" w:sz="4"/>
              <w:left w:val="single" w:color="BBBBBB" w:sz="4"/>
              <w:bottom w:val="single" w:color="BBBBBB" w:sz="4"/>
              <w:right w:val="single" w:color="BBBBBB" w:sz="4"/>
            </w:tcBorders>
            <w:shd w:fill="1F3864" w:val="clear"/>
            <w:tcMar>
              <w:top w:type="dxa" w:w="80"/>
              <w:left w:type="dxa" w:w="140"/>
              <w:bottom w:type="dxa" w:w="80"/>
              <w:right w:type="dxa" w:w="140"/>
            </w:tcMar>
            <w:vAlign w:val="center"/>
          </w:tcPr>
          <w:p>
            <w:pPr>
              <w:spacing w:after="0" w:line="252"/>
            </w:pPr>
            <w:r>
              <w:rPr>
                <w:b/>
                <w:bCs/>
                <w:color w:val="FFFFFF"/>
                <w:sz w:val="21"/>
                <w:szCs w:val="21"/>
              </w:rPr>
              <w:t xml:space="preserve">Status / Notes</w:t>
            </w:r>
          </w:p>
        </w:tc>
      </w:tr>
      <w:tr>
        <w:tc>
          <w:tcPr>
            <w:tcW w:type="dxa" w:w="2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Role-weighted availability scoring</w:t>
            </w:r>
          </w:p>
        </w:tc>
        <w:tc>
          <w:tcPr>
            <w:tcW w:type="dxa" w:w="1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A (Availability Check)</w:t>
            </w:r>
          </w:p>
        </w:tc>
        <w:tc>
          <w:tcPr>
            <w:tcW w:type="dxa" w:w="4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Not yet implemented — today ranking is deterministic with equal weighting. To be built.</w:t>
            </w:r>
          </w:p>
        </w:tc>
      </w:tr>
      <w:tr>
        <w:tc>
          <w:tcPr>
            <w:tcW w:type="dxa" w:w="2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bCs/>
                <w:sz w:val="21"/>
                <w:szCs w:val="21"/>
              </w:rPr>
              <w:t xml:space="preserve">Confirmation deadline (12 hrs vs 48 hrs)</w:t>
            </w:r>
          </w:p>
        </w:tc>
        <w:tc>
          <w:tcPr>
            <w:tcW w:type="dxa" w:w="1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A (Attendee Refresh)</w:t>
            </w:r>
          </w:p>
        </w:tc>
        <w:tc>
          <w:tcPr>
            <w:tcW w:type="dxa" w:w="4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Default 48 hrs; 12 hrs recommended. Confirm preferred value with Shell.</w:t>
            </w:r>
          </w:p>
        </w:tc>
      </w:tr>
      <w:tr>
        <w:tc>
          <w:tcPr>
            <w:tcW w:type="dxa" w:w="2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Number of invite nudges before escalation</w:t>
            </w:r>
          </w:p>
        </w:tc>
        <w:tc>
          <w:tcPr>
            <w:tcW w:type="dxa" w:w="1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A (Invite Tracking)</w:t>
            </w:r>
          </w:p>
        </w:tc>
        <w:tc>
          <w:tcPr>
            <w:tcW w:type="dxa" w:w="4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Default two nudges then escalation. To be implemented / confirmed.</w:t>
            </w:r>
          </w:p>
        </w:tc>
      </w:tr>
      <w:tr>
        <w:tc>
          <w:tcPr>
            <w:tcW w:type="dxa" w:w="2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bCs/>
                <w:sz w:val="21"/>
                <w:szCs w:val="21"/>
              </w:rPr>
              <w:t xml:space="preserve">Alternative scorecard collection method</w:t>
            </w:r>
          </w:p>
        </w:tc>
        <w:tc>
          <w:tcPr>
            <w:tcW w:type="dxa" w:w="1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B (Template Management)</w:t>
            </w:r>
          </w:p>
        </w:tc>
        <w:tc>
          <w:tcPr>
            <w:tcW w:type="dxa" w:w="4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Native in-app form by default; adapter swap possible if Shell mandates another tool. Will take more time to implement.</w:t>
            </w:r>
          </w:p>
        </w:tc>
      </w:tr>
      <w:tr>
        <w:tc>
          <w:tcPr>
            <w:tcW w:type="dxa" w:w="2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Cross-source discrepancy threshold</w:t>
            </w:r>
          </w:p>
        </w:tc>
        <w:tc>
          <w:tcPr>
            <w:tcW w:type="dxa" w:w="1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B (Validation)</w:t>
            </w:r>
          </w:p>
        </w:tc>
        <w:tc>
          <w:tcPr>
            <w:tcW w:type="dxa" w:w="4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Z-score of 1.5 SD by default. Confirm the threshold value with Shell.</w:t>
            </w:r>
          </w:p>
        </w:tc>
      </w:tr>
      <w:tr>
        <w:tc>
          <w:tcPr>
            <w:tcW w:type="dxa" w:w="2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bCs/>
                <w:sz w:val="21"/>
                <w:szCs w:val="21"/>
              </w:rPr>
              <w:t xml:space="preserve">Escalation for continued non-submission</w:t>
            </w:r>
          </w:p>
        </w:tc>
        <w:tc>
          <w:tcPr>
            <w:tcW w:type="dxa" w:w="1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B (Input Collection)</w:t>
            </w:r>
          </w:p>
        </w:tc>
        <w:tc>
          <w:tcPr>
            <w:tcW w:type="dxa" w:w="4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Extra feature; missing input marked in compiled scorecard. Will take time to implement.</w:t>
            </w:r>
          </w:p>
        </w:tc>
      </w:tr>
      <w:tr>
        <w:tc>
          <w:tcPr>
            <w:tcW w:type="dxa" w:w="2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Single consolidated action register</w:t>
            </w:r>
          </w:p>
        </w:tc>
        <w:tc>
          <w:tcPr>
            <w:tcW w:type="dxa" w:w="1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C / D / E</w:t>
            </w:r>
          </w:p>
        </w:tc>
        <w:tc>
          <w:tcPr>
            <w:tcW w:type="dxa" w:w="4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Intended as one shared register carried into F; today actions are logged per module. Confirm a single consolidated register.</w:t>
            </w:r>
          </w:p>
        </w:tc>
      </w:tr>
      <w:tr>
        <w:tc>
          <w:tcPr>
            <w:tcW w:type="dxa" w:w="2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b/>
                <w:bCs/>
                <w:sz w:val="21"/>
                <w:szCs w:val="21"/>
              </w:rPr>
              <w:t xml:space="preserve">Minutes distribution scope</w:t>
            </w:r>
          </w:p>
        </w:tc>
        <w:tc>
          <w:tcPr>
            <w:tcW w:type="dxa" w:w="1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E (Post-Meeting Docs)</w:t>
            </w:r>
          </w:p>
        </w:tc>
        <w:tc>
          <w:tcPr>
            <w:tcW w:type="dxa" w:w="4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center"/>
          </w:tcPr>
          <w:p>
            <w:pPr>
              <w:spacing w:after="0" w:line="252"/>
            </w:pPr>
            <w:r>
              <w:rPr>
                <w:sz w:val="21"/>
                <w:szCs w:val="21"/>
              </w:rPr>
              <w:t xml:space="preserve">Currently internal team only. Confirm with Shell whether vendor attendees should be included.</w:t>
            </w:r>
          </w:p>
        </w:tc>
      </w:tr>
      <w:tr>
        <w:tc>
          <w:tcPr>
            <w:tcW w:type="dxa" w:w="2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b/>
                <w:bCs/>
                <w:sz w:val="21"/>
                <w:szCs w:val="21"/>
              </w:rPr>
              <w:t xml:space="preserve">Recurring-issue matching by text similarity</w:t>
            </w:r>
          </w:p>
        </w:tc>
        <w:tc>
          <w:tcPr>
            <w:tcW w:type="dxa" w:w="1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F (Trend Analysis)</w:t>
            </w:r>
          </w:p>
        </w:tc>
        <w:tc>
          <w:tcPr>
            <w:tcW w:type="dxa" w:w="4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vAlign w:val="center"/>
          </w:tcPr>
          <w:p>
            <w:pPr>
              <w:spacing w:after="0" w:line="252"/>
            </w:pPr>
            <w:r>
              <w:rPr>
                <w:sz w:val="21"/>
                <w:szCs w:val="21"/>
              </w:rPr>
              <w:t xml:space="preserve">Today matched by KPI/category tagging. Text-similarity matching is a possible enhancement.</w:t>
            </w:r>
          </w:p>
        </w:tc>
      </w:tr>
    </w:tbl>
    <w:p>
      <w:pPr>
        <w:pStyle w:val="Heading1"/>
      </w:pPr>
      <w:r>
        <w:t xml:space="preserve">10. Assumptions, Constraints &amp; Dependencies</w:t>
      </w:r>
    </w:p>
    <w:p>
      <w:pPr>
        <w:pStyle w:val="Heading2"/>
      </w:pPr>
      <w:r>
        <w:t xml:space="preserve">10.1 Assumptions</w:t>
      </w:r>
    </w:p>
    <w:p>
      <w:pPr>
        <w:pStyle w:val="ListParagraph"/>
        <w:numPr>
          <w:ilvl w:val="0"/>
          <w:numId w:val="2"/>
        </w:numPr>
        <w:spacing w:after="60" w:line="264"/>
      </w:pPr>
      <w:r>
        <w:t xml:space="preserve">Each cycle is seeded from the previous cycle’s attendee list and scorecard template.</w:t>
      </w:r>
    </w:p>
    <w:p>
      <w:pPr>
        <w:pStyle w:val="ListParagraph"/>
        <w:numPr>
          <w:ilvl w:val="0"/>
          <w:numId w:val="2"/>
        </w:numPr>
        <w:spacing w:after="60" w:line="264"/>
      </w:pPr>
      <w:r>
        <w:t xml:space="preserve">Shell users are resolvable through the Entra/Graph directory; vendor contacts are managed as free-text name + email.</w:t>
      </w:r>
    </w:p>
    <w:p>
      <w:pPr>
        <w:pStyle w:val="ListParagraph"/>
        <w:numPr>
          <w:ilvl w:val="0"/>
          <w:numId w:val="2"/>
        </w:numPr>
        <w:spacing w:after="60" w:line="264"/>
      </w:pPr>
      <w:r>
        <w:t xml:space="preserve">Calendar free/busy is accessible via Microsoft Graph for availability discovery; a short form is used as a fallback.</w:t>
      </w:r>
    </w:p>
    <w:p>
      <w:pPr>
        <w:pStyle w:val="Heading2"/>
      </w:pPr>
      <w:r>
        <w:t xml:space="preserve">10.2 Constraints</w:t>
      </w:r>
    </w:p>
    <w:p>
      <w:pPr>
        <w:pStyle w:val="ListParagraph"/>
        <w:numPr>
          <w:ilvl w:val="0"/>
          <w:numId w:val="2"/>
        </w:numPr>
        <w:spacing w:after="60" w:line="264"/>
      </w:pPr>
      <w:r>
        <w:t xml:space="preserve">Deployment is to Shell’s Azure environment as a single tenant; IT-security sign-off is a go-live gate.</w:t>
      </w:r>
    </w:p>
    <w:p>
      <w:pPr>
        <w:pStyle w:val="ListParagraph"/>
        <w:numPr>
          <w:ilvl w:val="0"/>
          <w:numId w:val="2"/>
        </w:numPr>
        <w:spacing w:after="60" w:line="264"/>
      </w:pPr>
      <w:r>
        <w:t xml:space="preserve">The LLM narrates only; it must not compute or fabricate any figures.</w:t>
      </w:r>
    </w:p>
    <w:p>
      <w:pPr>
        <w:pStyle w:val="ListParagraph"/>
        <w:numPr>
          <w:ilvl w:val="0"/>
          <w:numId w:val="2"/>
        </w:numPr>
        <w:spacing w:after="60" w:line="264"/>
      </w:pPr>
      <w:r>
        <w:t xml:space="preserve">Legal and contractual interpretation is out of scope and must be handed off to Shell’s legal/contracts owner.</w:t>
      </w:r>
    </w:p>
    <w:p>
      <w:pPr>
        <w:pStyle w:val="Heading2"/>
      </w:pPr>
      <w:r>
        <w:t xml:space="preserve">10.3 Dependencies</w:t>
      </w:r>
    </w:p>
    <w:p>
      <w:pPr>
        <w:pStyle w:val="ListParagraph"/>
        <w:numPr>
          <w:ilvl w:val="0"/>
          <w:numId w:val="2"/>
        </w:numPr>
        <w:spacing w:after="60" w:line="264"/>
      </w:pPr>
      <w:r>
        <w:t xml:space="preserve">Microsoft 365 / Microsoft Graph (Outlook mail, calendar, Teams) and appropriate Graph permissions (e.g. User.Read.All).</w:t>
      </w:r>
    </w:p>
    <w:p>
      <w:pPr>
        <w:pStyle w:val="ListParagraph"/>
        <w:numPr>
          <w:ilvl w:val="0"/>
          <w:numId w:val="2"/>
        </w:numPr>
        <w:spacing w:after="60" w:line="264"/>
      </w:pPr>
      <w:r>
        <w:t xml:space="preserve">Azure AI Foundry (GPT-4o) provisioned inside Shell’s tenant.</w:t>
      </w:r>
    </w:p>
    <w:p>
      <w:pPr>
        <w:pStyle w:val="ListParagraph"/>
        <w:numPr>
          <w:ilvl w:val="0"/>
          <w:numId w:val="2"/>
        </w:numPr>
        <w:spacing w:after="60" w:line="264"/>
      </w:pPr>
      <w:r>
        <w:t xml:space="preserve">PostgreSQL (production) as the system of record for cross-cycle memory.</w:t>
      </w:r>
    </w:p>
    <w:p>
      <w:pPr>
        <w:pStyle w:val="Heading1"/>
      </w:pPr>
      <w:r>
        <w:t>11. Non-Functional Requirements</w:t>
      </w:r>
    </w:p>
    <w:p>
      <w:r>
        <w:t>The following non-functional requirements apply across all modules. Quantified targets are indicative for the MVP and will be confirmed with Shell during discovery and baselined at go-live.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720"/>
            <w:shd w:val="clear" w:color="auto" w:fill="1F3864"/>
          </w:tcPr>
          <w:p>
            <w:pPr>
              <w:spacing w:after="0" w:before="0"/>
            </w:pPr>
            <w:r/>
            <w:r>
              <w:rPr>
                <w:rFonts w:ascii="Calibri" w:hAnsi="Calibri"/>
                <w:b/>
                <w:color w:val="FFFFFF"/>
                <w:sz w:val="21"/>
              </w:rPr>
              <w:t>#</w:t>
            </w:r>
          </w:p>
        </w:tc>
        <w:tc>
          <w:tcPr>
            <w:tcW w:type="dxa" w:w="2880"/>
            <w:shd w:val="clear" w:color="auto" w:fill="1F3864"/>
          </w:tcPr>
          <w:p>
            <w:pPr>
              <w:spacing w:after="0" w:before="0"/>
            </w:pPr>
            <w:r/>
            <w:r>
              <w:rPr>
                <w:rFonts w:ascii="Calibri" w:hAnsi="Calibri"/>
                <w:b/>
                <w:color w:val="FFFFFF"/>
                <w:sz w:val="21"/>
              </w:rPr>
              <w:t>Category</w:t>
            </w:r>
          </w:p>
        </w:tc>
        <w:tc>
          <w:tcPr>
            <w:tcW w:type="dxa" w:w="6480"/>
            <w:shd w:val="clear" w:color="auto" w:fill="1F3864"/>
          </w:tcPr>
          <w:p>
            <w:pPr>
              <w:spacing w:after="0" w:before="0"/>
            </w:pPr>
            <w:r/>
            <w:r>
              <w:rPr>
                <w:rFonts w:ascii="Calibri" w:hAnsi="Calibri"/>
                <w:b/>
                <w:color w:val="FFFFFF"/>
                <w:sz w:val="21"/>
              </w:rPr>
              <w:t>Requirement</w:t>
            </w:r>
          </w:p>
        </w:tc>
      </w:tr>
      <w:tr>
        <w:tc>
          <w:tcPr>
            <w:tcW w:type="dxa" w:w="720"/>
          </w:tcPr>
          <w:p>
            <w:pPr>
              <w:spacing w:after="0" w:before="0"/>
            </w:pPr>
            <w:r/>
            <w:r>
              <w:rPr>
                <w:rFonts w:ascii="Calibri" w:hAnsi="Calibri"/>
                <w:b w:val="0"/>
                <w:color w:val="1A1A1A"/>
                <w:sz w:val="21"/>
              </w:rPr>
              <w:t>N1</w:t>
            </w:r>
          </w:p>
        </w:tc>
        <w:tc>
          <w:tcPr>
            <w:tcW w:type="dxa" w:w="2880"/>
          </w:tcPr>
          <w:p>
            <w:pPr>
              <w:spacing w:after="0" w:before="0"/>
            </w:pPr>
            <w:r/>
            <w:r>
              <w:rPr>
                <w:rFonts w:ascii="Calibri" w:hAnsi="Calibri"/>
                <w:b/>
                <w:color w:val="1A1A1A"/>
                <w:sz w:val="21"/>
              </w:rPr>
              <w:t>Security</w:t>
            </w:r>
          </w:p>
        </w:tc>
        <w:tc>
          <w:tcPr>
            <w:tcW w:type="dxa" w:w="6480"/>
          </w:tcPr>
          <w:p>
            <w:pPr>
              <w:spacing w:after="0" w:before="0"/>
            </w:pPr>
            <w:r/>
            <w:r>
              <w:rPr>
                <w:rFonts w:ascii="Calibri" w:hAnsi="Calibri"/>
                <w:b w:val="0"/>
                <w:color w:val="1A1A1A"/>
                <w:sz w:val="21"/>
              </w:rPr>
              <w:t>Entra ID SSO with role-based access control enforced server-side; app-to-Microsoft 365 via an app-only certificate; all secrets held in Key Vault and accessed through Managed Identity (none in code or config); TLS 1.2+ in transit; least-privilege Microsoft Graph permissions.</w:t>
            </w:r>
          </w:p>
        </w:tc>
      </w:tr>
      <w:tr>
        <w:tc>
          <w:tcPr>
            <w:tcW w:type="dxa" w:w="720"/>
          </w:tcPr>
          <w:p>
            <w:pPr>
              <w:spacing w:after="0" w:before="0"/>
            </w:pPr>
            <w:r/>
            <w:r>
              <w:rPr>
                <w:rFonts w:ascii="Calibri" w:hAnsi="Calibri"/>
                <w:b w:val="0"/>
                <w:color w:val="1A1A1A"/>
                <w:sz w:val="21"/>
              </w:rPr>
              <w:t>N2</w:t>
            </w:r>
          </w:p>
        </w:tc>
        <w:tc>
          <w:tcPr>
            <w:tcW w:type="dxa" w:w="2880"/>
          </w:tcPr>
          <w:p>
            <w:pPr>
              <w:spacing w:after="0" w:before="0"/>
            </w:pPr>
            <w:r/>
            <w:r>
              <w:rPr>
                <w:rFonts w:ascii="Calibri" w:hAnsi="Calibri"/>
                <w:b/>
                <w:color w:val="1A1A1A"/>
                <w:sz w:val="21"/>
              </w:rPr>
              <w:t>Edge protection</w:t>
            </w:r>
          </w:p>
        </w:tc>
        <w:tc>
          <w:tcPr>
            <w:tcW w:type="dxa" w:w="6480"/>
          </w:tcPr>
          <w:p>
            <w:pPr>
              <w:spacing w:after="0" w:before="0"/>
            </w:pPr>
            <w:r/>
            <w:r>
              <w:rPr>
                <w:rFonts w:ascii="Calibri" w:hAnsi="Calibri"/>
                <w:b w:val="0"/>
                <w:color w:val="1A1A1A"/>
                <w:sz w:val="21"/>
              </w:rPr>
              <w:t>Public entry only through Azure Application Gateway with a Web Application Firewall (OWASP rule set); the backend is not directly reachable from the internet (origin-lock).</w:t>
            </w:r>
          </w:p>
        </w:tc>
      </w:tr>
      <w:tr>
        <w:tc>
          <w:tcPr>
            <w:tcW w:type="dxa" w:w="720"/>
          </w:tcPr>
          <w:p>
            <w:pPr>
              <w:spacing w:after="0" w:before="0"/>
            </w:pPr>
            <w:r/>
            <w:r>
              <w:rPr>
                <w:rFonts w:ascii="Calibri" w:hAnsi="Calibri"/>
                <w:b w:val="0"/>
                <w:color w:val="1A1A1A"/>
                <w:sz w:val="21"/>
              </w:rPr>
              <w:t>N3</w:t>
            </w:r>
          </w:p>
        </w:tc>
        <w:tc>
          <w:tcPr>
            <w:tcW w:type="dxa" w:w="2880"/>
          </w:tcPr>
          <w:p>
            <w:pPr>
              <w:spacing w:after="0" w:before="0"/>
            </w:pPr>
            <w:r/>
            <w:r>
              <w:rPr>
                <w:rFonts w:ascii="Calibri" w:hAnsi="Calibri"/>
                <w:b/>
                <w:color w:val="1A1A1A"/>
                <w:sz w:val="21"/>
              </w:rPr>
              <w:t>Data residency &amp; privacy</w:t>
            </w:r>
          </w:p>
        </w:tc>
        <w:tc>
          <w:tcPr>
            <w:tcW w:type="dxa" w:w="6480"/>
          </w:tcPr>
          <w:p>
            <w:pPr>
              <w:spacing w:after="0" w:before="0"/>
            </w:pPr>
            <w:r/>
            <w:r>
              <w:rPr>
                <w:rFonts w:ascii="Calibri" w:hAnsi="Calibri"/>
                <w:b w:val="0"/>
                <w:color w:val="1A1A1A"/>
                <w:sz w:val="21"/>
              </w:rPr>
              <w:t>Single-tenant within Shell's Azure in an approved region; Azure AI Foundry runs inside Shell's tenant and data is not used for model training; internal-only content (e.g. private comments) is never exposed to vendors.</w:t>
            </w:r>
          </w:p>
        </w:tc>
      </w:tr>
      <w:tr>
        <w:tc>
          <w:tcPr>
            <w:tcW w:type="dxa" w:w="720"/>
          </w:tcPr>
          <w:p>
            <w:pPr>
              <w:spacing w:after="0" w:before="0"/>
            </w:pPr>
            <w:r/>
            <w:r>
              <w:rPr>
                <w:rFonts w:ascii="Calibri" w:hAnsi="Calibri"/>
                <w:b w:val="0"/>
                <w:color w:val="1A1A1A"/>
                <w:sz w:val="21"/>
              </w:rPr>
              <w:t>N4</w:t>
            </w:r>
          </w:p>
        </w:tc>
        <w:tc>
          <w:tcPr>
            <w:tcW w:type="dxa" w:w="2880"/>
          </w:tcPr>
          <w:p>
            <w:pPr>
              <w:spacing w:after="0" w:before="0"/>
            </w:pPr>
            <w:r/>
            <w:r>
              <w:rPr>
                <w:rFonts w:ascii="Calibri" w:hAnsi="Calibri"/>
                <w:b/>
                <w:color w:val="1A1A1A"/>
                <w:sz w:val="21"/>
              </w:rPr>
              <w:t>Auditability &amp; traceability</w:t>
            </w:r>
          </w:p>
        </w:tc>
        <w:tc>
          <w:tcPr>
            <w:tcW w:type="dxa" w:w="6480"/>
          </w:tcPr>
          <w:p>
            <w:pPr>
              <w:spacing w:after="0" w:before="0"/>
            </w:pPr>
            <w:r/>
            <w:r>
              <w:rPr>
                <w:rFonts w:ascii="Calibri" w:hAnsi="Calibri"/>
                <w:b w:val="0"/>
                <w:color w:val="1A1A1A"/>
                <w:sz w:val="21"/>
              </w:rPr>
              <w:t>Every agent run and outbound action is logged with correlation IDs to an immutable audit trail (Application Insights / Log Analytics); records are tamper-evident and not editable.</w:t>
            </w:r>
          </w:p>
        </w:tc>
      </w:tr>
      <w:tr>
        <w:tc>
          <w:tcPr>
            <w:tcW w:type="dxa" w:w="720"/>
          </w:tcPr>
          <w:p>
            <w:pPr>
              <w:spacing w:after="0" w:before="0"/>
            </w:pPr>
            <w:r/>
            <w:r>
              <w:rPr>
                <w:rFonts w:ascii="Calibri" w:hAnsi="Calibri"/>
                <w:b w:val="0"/>
                <w:color w:val="1A1A1A"/>
                <w:sz w:val="21"/>
              </w:rPr>
              <w:t>N5</w:t>
            </w:r>
          </w:p>
        </w:tc>
        <w:tc>
          <w:tcPr>
            <w:tcW w:type="dxa" w:w="2880"/>
          </w:tcPr>
          <w:p>
            <w:pPr>
              <w:spacing w:after="0" w:before="0"/>
            </w:pPr>
            <w:r/>
            <w:r>
              <w:rPr>
                <w:rFonts w:ascii="Calibri" w:hAnsi="Calibri"/>
                <w:b/>
                <w:color w:val="1A1A1A"/>
                <w:sz w:val="21"/>
              </w:rPr>
              <w:t>Availability &amp; resilience</w:t>
            </w:r>
          </w:p>
        </w:tc>
        <w:tc>
          <w:tcPr>
            <w:tcW w:type="dxa" w:w="6480"/>
          </w:tcPr>
          <w:p>
            <w:pPr>
              <w:spacing w:after="0" w:before="0"/>
            </w:pPr>
            <w:r/>
            <w:r>
              <w:rPr>
                <w:rFonts w:ascii="Calibri" w:hAnsi="Calibri"/>
                <w:b w:val="0"/>
                <w:color w:val="1A1A1A"/>
                <w:sz w:val="21"/>
              </w:rPr>
              <w:t>The production database runs in a high-availability configuration; the deterministic core degrades gracefully and remains usable if the LLM is unavailable. Target uptime ~99.5% during business hours (indicative).</w:t>
            </w:r>
          </w:p>
        </w:tc>
      </w:tr>
      <w:tr>
        <w:tc>
          <w:tcPr>
            <w:tcW w:type="dxa" w:w="720"/>
          </w:tcPr>
          <w:p>
            <w:pPr>
              <w:spacing w:after="0" w:before="0"/>
            </w:pPr>
            <w:r/>
            <w:r>
              <w:rPr>
                <w:rFonts w:ascii="Calibri" w:hAnsi="Calibri"/>
                <w:b w:val="0"/>
                <w:color w:val="1A1A1A"/>
                <w:sz w:val="21"/>
              </w:rPr>
              <w:t>N6</w:t>
            </w:r>
          </w:p>
        </w:tc>
        <w:tc>
          <w:tcPr>
            <w:tcW w:type="dxa" w:w="2880"/>
          </w:tcPr>
          <w:p>
            <w:pPr>
              <w:spacing w:after="0" w:before="0"/>
            </w:pPr>
            <w:r/>
            <w:r>
              <w:rPr>
                <w:rFonts w:ascii="Calibri" w:hAnsi="Calibri"/>
                <w:b/>
                <w:color w:val="1A1A1A"/>
                <w:sz w:val="21"/>
              </w:rPr>
              <w:t>Performance</w:t>
            </w:r>
          </w:p>
        </w:tc>
        <w:tc>
          <w:tcPr>
            <w:tcW w:type="dxa" w:w="6480"/>
          </w:tcPr>
          <w:p>
            <w:pPr>
              <w:spacing w:after="0" w:before="0"/>
            </w:pPr>
            <w:r/>
            <w:r>
              <w:rPr>
                <w:rFonts w:ascii="Calibri" w:hAnsi="Calibri"/>
                <w:b w:val="0"/>
                <w:color w:val="1A1A1A"/>
                <w:sz w:val="21"/>
              </w:rPr>
              <w:t>Interactive API operations respond within ~2 seconds (p95); AI-drafted content returns within ~10 seconds; dashboards render within ~3 seconds (all indicative).</w:t>
            </w:r>
          </w:p>
        </w:tc>
      </w:tr>
      <w:tr>
        <w:tc>
          <w:tcPr>
            <w:tcW w:type="dxa" w:w="720"/>
          </w:tcPr>
          <w:p>
            <w:pPr>
              <w:spacing w:after="0" w:before="0"/>
            </w:pPr>
            <w:r/>
            <w:r>
              <w:rPr>
                <w:rFonts w:ascii="Calibri" w:hAnsi="Calibri"/>
                <w:b w:val="0"/>
                <w:color w:val="1A1A1A"/>
                <w:sz w:val="21"/>
              </w:rPr>
              <w:t>N7</w:t>
            </w:r>
          </w:p>
        </w:tc>
        <w:tc>
          <w:tcPr>
            <w:tcW w:type="dxa" w:w="2880"/>
          </w:tcPr>
          <w:p>
            <w:pPr>
              <w:spacing w:after="0" w:before="0"/>
            </w:pPr>
            <w:r/>
            <w:r>
              <w:rPr>
                <w:rFonts w:ascii="Calibri" w:hAnsi="Calibri"/>
                <w:b/>
                <w:color w:val="1A1A1A"/>
                <w:sz w:val="21"/>
              </w:rPr>
              <w:t>Scalability</w:t>
            </w:r>
          </w:p>
        </w:tc>
        <w:tc>
          <w:tcPr>
            <w:tcW w:type="dxa" w:w="6480"/>
          </w:tcPr>
          <w:p>
            <w:pPr>
              <w:spacing w:after="0" w:before="0"/>
            </w:pPr>
            <w:r/>
            <w:r>
              <w:rPr>
                <w:rFonts w:ascii="Calibri" w:hAnsi="Calibri"/>
                <w:b w:val="0"/>
                <w:color w:val="1A1A1A"/>
                <w:sz w:val="21"/>
              </w:rPr>
              <w:t>Supports the quarterly vendor volume and concurrent coordinators; scales vertically (resize) or via managed Azure services without re-architecture.</w:t>
            </w:r>
          </w:p>
        </w:tc>
      </w:tr>
      <w:tr>
        <w:tc>
          <w:tcPr>
            <w:tcW w:type="dxa" w:w="720"/>
          </w:tcPr>
          <w:p>
            <w:pPr>
              <w:spacing w:after="0" w:before="0"/>
            </w:pPr>
            <w:r/>
            <w:r>
              <w:rPr>
                <w:rFonts w:ascii="Calibri" w:hAnsi="Calibri"/>
                <w:b w:val="0"/>
                <w:color w:val="1A1A1A"/>
                <w:sz w:val="21"/>
              </w:rPr>
              <w:t>N8</w:t>
            </w:r>
          </w:p>
        </w:tc>
        <w:tc>
          <w:tcPr>
            <w:tcW w:type="dxa" w:w="2880"/>
          </w:tcPr>
          <w:p>
            <w:pPr>
              <w:spacing w:after="0" w:before="0"/>
            </w:pPr>
            <w:r/>
            <w:r>
              <w:rPr>
                <w:rFonts w:ascii="Calibri" w:hAnsi="Calibri"/>
                <w:b/>
                <w:color w:val="1A1A1A"/>
                <w:sz w:val="21"/>
              </w:rPr>
              <w:t>Data integrity</w:t>
            </w:r>
          </w:p>
        </w:tc>
        <w:tc>
          <w:tcPr>
            <w:tcW w:type="dxa" w:w="6480"/>
          </w:tcPr>
          <w:p>
            <w:pPr>
              <w:spacing w:after="0" w:before="0"/>
            </w:pPr>
            <w:r/>
            <w:r>
              <w:rPr>
                <w:rFonts w:ascii="Calibri" w:hAnsi="Calibri"/>
                <w:b w:val="0"/>
                <w:color w:val="1A1A1A"/>
                <w:sz w:val="21"/>
              </w:rPr>
              <w:t>All figures are computed deterministically and validated (range, completeness, outliers); each cycle is stored as a locked, versioned snapshot.</w:t>
            </w:r>
          </w:p>
        </w:tc>
      </w:tr>
      <w:tr>
        <w:tc>
          <w:tcPr>
            <w:tcW w:type="dxa" w:w="720"/>
          </w:tcPr>
          <w:p>
            <w:pPr>
              <w:spacing w:after="0" w:before="0"/>
            </w:pPr>
            <w:r/>
            <w:r>
              <w:rPr>
                <w:rFonts w:ascii="Calibri" w:hAnsi="Calibri"/>
                <w:b w:val="0"/>
                <w:color w:val="1A1A1A"/>
                <w:sz w:val="21"/>
              </w:rPr>
              <w:t>N9</w:t>
            </w:r>
          </w:p>
        </w:tc>
        <w:tc>
          <w:tcPr>
            <w:tcW w:type="dxa" w:w="2880"/>
          </w:tcPr>
          <w:p>
            <w:pPr>
              <w:spacing w:after="0" w:before="0"/>
            </w:pPr>
            <w:r/>
            <w:r>
              <w:rPr>
                <w:rFonts w:ascii="Calibri" w:hAnsi="Calibri"/>
                <w:b/>
                <w:color w:val="1A1A1A"/>
                <w:sz w:val="21"/>
              </w:rPr>
              <w:t>Observability</w:t>
            </w:r>
          </w:p>
        </w:tc>
        <w:tc>
          <w:tcPr>
            <w:tcW w:type="dxa" w:w="6480"/>
          </w:tcPr>
          <w:p>
            <w:pPr>
              <w:spacing w:after="0" w:before="0"/>
            </w:pPr>
            <w:r/>
            <w:r>
              <w:rPr>
                <w:rFonts w:ascii="Calibri" w:hAnsi="Calibri"/>
                <w:b w:val="0"/>
                <w:color w:val="1A1A1A"/>
                <w:sz w:val="21"/>
              </w:rPr>
              <w:t>Telemetry — traces, metrics and logs — emitted via OpenTelemetry to Azure Monitor / Application Insights.</w:t>
            </w:r>
          </w:p>
        </w:tc>
      </w:tr>
      <w:tr>
        <w:tc>
          <w:tcPr>
            <w:tcW w:type="dxa" w:w="720"/>
          </w:tcPr>
          <w:p>
            <w:pPr>
              <w:spacing w:after="0" w:before="0"/>
            </w:pPr>
            <w:r/>
            <w:r>
              <w:rPr>
                <w:rFonts w:ascii="Calibri" w:hAnsi="Calibri"/>
                <w:b w:val="0"/>
                <w:color w:val="1A1A1A"/>
                <w:sz w:val="21"/>
              </w:rPr>
              <w:t>N10</w:t>
            </w:r>
          </w:p>
        </w:tc>
        <w:tc>
          <w:tcPr>
            <w:tcW w:type="dxa" w:w="2880"/>
          </w:tcPr>
          <w:p>
            <w:pPr>
              <w:spacing w:after="0" w:before="0"/>
            </w:pPr>
            <w:r/>
            <w:r>
              <w:rPr>
                <w:rFonts w:ascii="Calibri" w:hAnsi="Calibri"/>
                <w:b/>
                <w:color w:val="1A1A1A"/>
                <w:sz w:val="21"/>
              </w:rPr>
              <w:t>Maintainability</w:t>
            </w:r>
          </w:p>
        </w:tc>
        <w:tc>
          <w:tcPr>
            <w:tcW w:type="dxa" w:w="6480"/>
          </w:tcPr>
          <w:p>
            <w:pPr>
              <w:spacing w:after="0" w:before="0"/>
            </w:pPr>
            <w:r/>
            <w:r>
              <w:rPr>
                <w:rFonts w:ascii="Calibri" w:hAnsi="Calibri"/>
                <w:b w:val="0"/>
                <w:color w:val="1A1A1A"/>
                <w:sz w:val="21"/>
              </w:rPr>
              <w:t>Deterministic logic is decoupled from the AI layer; the LLM provider sits behind an abstraction; infrastructure is defined as code; CI runs linting, security scans and a regression suite that gates deployments.</w:t>
            </w:r>
          </w:p>
        </w:tc>
      </w:tr>
      <w:tr>
        <w:tc>
          <w:tcPr>
            <w:tcW w:type="dxa" w:w="720"/>
          </w:tcPr>
          <w:p>
            <w:pPr>
              <w:spacing w:after="0" w:before="0"/>
            </w:pPr>
            <w:r/>
            <w:r>
              <w:rPr>
                <w:rFonts w:ascii="Calibri" w:hAnsi="Calibri"/>
                <w:b w:val="0"/>
                <w:color w:val="1A1A1A"/>
                <w:sz w:val="21"/>
              </w:rPr>
              <w:t>N11</w:t>
            </w:r>
          </w:p>
        </w:tc>
        <w:tc>
          <w:tcPr>
            <w:tcW w:type="dxa" w:w="2880"/>
          </w:tcPr>
          <w:p>
            <w:pPr>
              <w:spacing w:after="0" w:before="0"/>
            </w:pPr>
            <w:r/>
            <w:r>
              <w:rPr>
                <w:rFonts w:ascii="Calibri" w:hAnsi="Calibri"/>
                <w:b/>
                <w:color w:val="1A1A1A"/>
                <w:sz w:val="21"/>
              </w:rPr>
              <w:t>Usability &amp; transparency</w:t>
            </w:r>
          </w:p>
        </w:tc>
        <w:tc>
          <w:tcPr>
            <w:tcW w:type="dxa" w:w="6480"/>
          </w:tcPr>
          <w:p>
            <w:pPr>
              <w:spacing w:after="0" w:before="0"/>
            </w:pPr>
            <w:r/>
            <w:r>
              <w:rPr>
                <w:rFonts w:ascii="Calibri" w:hAnsi="Calibri"/>
                <w:b w:val="0"/>
                <w:color w:val="1A1A1A"/>
                <w:sz w:val="21"/>
              </w:rPr>
              <w:t>Browser-based single-page app on modern browsers; AI-generated content is clearly labelled ("AI-generated — pending approval") until approved; the UI reflects role-based permissions.</w:t>
            </w:r>
          </w:p>
        </w:tc>
      </w:tr>
      <w:tr>
        <w:tc>
          <w:tcPr>
            <w:tcW w:type="dxa" w:w="720"/>
          </w:tcPr>
          <w:p>
            <w:pPr>
              <w:spacing w:after="0" w:before="0"/>
            </w:pPr>
            <w:r/>
            <w:r>
              <w:rPr>
                <w:rFonts w:ascii="Calibri" w:hAnsi="Calibri"/>
                <w:b w:val="0"/>
                <w:color w:val="1A1A1A"/>
                <w:sz w:val="21"/>
              </w:rPr>
              <w:t>N12</w:t>
            </w:r>
          </w:p>
        </w:tc>
        <w:tc>
          <w:tcPr>
            <w:tcW w:type="dxa" w:w="2880"/>
          </w:tcPr>
          <w:p>
            <w:pPr>
              <w:spacing w:after="0" w:before="0"/>
            </w:pPr>
            <w:r/>
            <w:r>
              <w:rPr>
                <w:rFonts w:ascii="Calibri" w:hAnsi="Calibri"/>
                <w:b/>
                <w:color w:val="1A1A1A"/>
                <w:sz w:val="21"/>
              </w:rPr>
              <w:t>Backup &amp; retention</w:t>
            </w:r>
          </w:p>
        </w:tc>
        <w:tc>
          <w:tcPr>
            <w:tcW w:type="dxa" w:w="6480"/>
          </w:tcPr>
          <w:p>
            <w:pPr>
              <w:spacing w:after="0" w:before="0"/>
            </w:pPr>
            <w:r/>
            <w:r>
              <w:rPr>
                <w:rFonts w:ascii="Calibri" w:hAnsi="Calibri"/>
                <w:b w:val="0"/>
                <w:color w:val="1A1A1A"/>
                <w:sz w:val="21"/>
              </w:rPr>
              <w:t>The datastore is backed up regularly; data retention and purge follow Shell's data policy (retention period to be confirmed).</w:t>
            </w:r>
          </w:p>
        </w:tc>
      </w:tr>
      <w:tr>
        <w:tc>
          <w:tcPr>
            <w:tcW w:type="dxa" w:w="720"/>
          </w:tcPr>
          <w:p>
            <w:pPr>
              <w:spacing w:after="0" w:before="0"/>
            </w:pPr>
            <w:r/>
            <w:r>
              <w:rPr>
                <w:rFonts w:ascii="Calibri" w:hAnsi="Calibri"/>
                <w:b w:val="0"/>
                <w:color w:val="1A1A1A"/>
                <w:sz w:val="21"/>
              </w:rPr>
              <w:t>N13</w:t>
            </w:r>
          </w:p>
        </w:tc>
        <w:tc>
          <w:tcPr>
            <w:tcW w:type="dxa" w:w="2880"/>
          </w:tcPr>
          <w:p>
            <w:pPr>
              <w:spacing w:after="0" w:before="0"/>
            </w:pPr>
            <w:r/>
            <w:r>
              <w:rPr>
                <w:rFonts w:ascii="Calibri" w:hAnsi="Calibri"/>
                <w:b/>
                <w:color w:val="1A1A1A"/>
                <w:sz w:val="21"/>
              </w:rPr>
              <w:t>Compliance alignment</w:t>
            </w:r>
          </w:p>
        </w:tc>
        <w:tc>
          <w:tcPr>
            <w:tcW w:type="dxa" w:w="6480"/>
          </w:tcPr>
          <w:p>
            <w:pPr>
              <w:spacing w:after="0" w:before="0"/>
            </w:pPr>
            <w:r/>
            <w:r>
              <w:rPr>
                <w:rFonts w:ascii="Calibri" w:hAnsi="Calibri"/>
                <w:b w:val="0"/>
                <w:color w:val="1A1A1A"/>
                <w:sz w:val="21"/>
              </w:rPr>
              <w:t>Controls align with Shell IRM 3.492 and the EU AI Act — human oversight, deterministic figures (no fabrication), in-tenant AI, and full auditability.</w:t>
            </w:r>
          </w:p>
        </w:tc>
      </w:tr>
    </w:tbl>
    <w:p/>
    <w:p>
      <w:pPr>
        <w:pStyle w:val="Heading1"/>
      </w:pPr>
      <w:r>
        <w:t>12. Success Criteria &amp; Key Performance Indicators</w:t>
      </w:r>
    </w:p>
    <w:p>
      <w:r>
        <w:t>Success is measured against the business objectives in Section 3. Targets below are indicative for the MVP and will be confirmed with Shell and baselined at go-live.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720"/>
            <w:shd w:val="clear" w:color="auto" w:fill="1F3864"/>
          </w:tcPr>
          <w:p>
            <w:pPr>
              <w:spacing w:after="0" w:before="0"/>
            </w:pPr>
            <w:r/>
            <w:r>
              <w:rPr>
                <w:rFonts w:ascii="Calibri" w:hAnsi="Calibri"/>
                <w:b/>
                <w:color w:val="FFFFFF"/>
                <w:sz w:val="21"/>
              </w:rPr>
              <w:t>#</w:t>
            </w:r>
          </w:p>
        </w:tc>
        <w:tc>
          <w:tcPr>
            <w:tcW w:type="dxa" w:w="3312"/>
            <w:shd w:val="clear" w:color="auto" w:fill="1F3864"/>
          </w:tcPr>
          <w:p>
            <w:pPr>
              <w:spacing w:after="0" w:before="0"/>
            </w:pPr>
            <w:r/>
            <w:r>
              <w:rPr>
                <w:rFonts w:ascii="Calibri" w:hAnsi="Calibri"/>
                <w:b/>
                <w:color w:val="FFFFFF"/>
                <w:sz w:val="21"/>
              </w:rPr>
              <w:t>Success Criterion</w:t>
            </w:r>
          </w:p>
        </w:tc>
        <w:tc>
          <w:tcPr>
            <w:tcW w:type="dxa" w:w="3888"/>
            <w:shd w:val="clear" w:color="auto" w:fill="1F3864"/>
          </w:tcPr>
          <w:p>
            <w:pPr>
              <w:spacing w:after="0" w:before="0"/>
            </w:pPr>
            <w:r/>
            <w:r>
              <w:rPr>
                <w:rFonts w:ascii="Calibri" w:hAnsi="Calibri"/>
                <w:b/>
                <w:color w:val="FFFFFF"/>
                <w:sz w:val="21"/>
              </w:rPr>
              <w:t>How It Is Measured</w:t>
            </w:r>
          </w:p>
        </w:tc>
        <w:tc>
          <w:tcPr>
            <w:tcW w:type="dxa" w:w="2160"/>
            <w:shd w:val="clear" w:color="auto" w:fill="1F3864"/>
          </w:tcPr>
          <w:p>
            <w:pPr>
              <w:spacing w:after="0" w:before="0"/>
            </w:pPr>
            <w:r/>
            <w:r>
              <w:rPr>
                <w:rFonts w:ascii="Calibri" w:hAnsi="Calibri"/>
                <w:b/>
                <w:color w:val="FFFFFF"/>
                <w:sz w:val="21"/>
              </w:rPr>
              <w:t>Target (indicative)</w:t>
            </w:r>
          </w:p>
        </w:tc>
      </w:tr>
      <w:tr>
        <w:tc>
          <w:tcPr>
            <w:tcW w:type="dxa" w:w="720"/>
          </w:tcPr>
          <w:p>
            <w:pPr>
              <w:spacing w:after="0" w:before="0"/>
            </w:pPr>
            <w:r/>
            <w:r>
              <w:rPr>
                <w:rFonts w:ascii="Calibri" w:hAnsi="Calibri"/>
                <w:b w:val="0"/>
                <w:color w:val="1A1A1A"/>
                <w:sz w:val="21"/>
              </w:rPr>
              <w:t>S1</w:t>
            </w:r>
          </w:p>
        </w:tc>
        <w:tc>
          <w:tcPr>
            <w:tcW w:type="dxa" w:w="3312"/>
          </w:tcPr>
          <w:p>
            <w:pPr>
              <w:spacing w:after="0" w:before="0"/>
            </w:pPr>
            <w:r/>
            <w:r>
              <w:rPr>
                <w:rFonts w:ascii="Calibri" w:hAnsi="Calibri"/>
                <w:b/>
                <w:color w:val="1A1A1A"/>
                <w:sz w:val="21"/>
              </w:rPr>
              <w:t>Reduced administrative effort per cycle</w:t>
            </w:r>
          </w:p>
        </w:tc>
        <w:tc>
          <w:tcPr>
            <w:tcW w:type="dxa" w:w="3888"/>
          </w:tcPr>
          <w:p>
            <w:pPr>
              <w:spacing w:after="0" w:before="0"/>
            </w:pPr>
            <w:r/>
            <w:r>
              <w:rPr>
                <w:rFonts w:ascii="Calibri" w:hAnsi="Calibri"/>
                <w:b w:val="0"/>
                <w:color w:val="1A1A1A"/>
                <w:sz w:val="21"/>
              </w:rPr>
              <w:t>Coordinator time per cycle, before vs after</w:t>
            </w:r>
          </w:p>
        </w:tc>
        <w:tc>
          <w:tcPr>
            <w:tcW w:type="dxa" w:w="2160"/>
          </w:tcPr>
          <w:p>
            <w:pPr>
              <w:spacing w:after="0" w:before="0"/>
            </w:pPr>
            <w:r/>
            <w:r>
              <w:rPr>
                <w:rFonts w:ascii="Calibri" w:hAnsi="Calibri"/>
                <w:b w:val="0"/>
                <w:color w:val="1A1A1A"/>
                <w:sz w:val="21"/>
              </w:rPr>
              <w:t>~40–50% reduction</w:t>
            </w:r>
          </w:p>
        </w:tc>
      </w:tr>
      <w:tr>
        <w:tc>
          <w:tcPr>
            <w:tcW w:type="dxa" w:w="720"/>
          </w:tcPr>
          <w:p>
            <w:pPr>
              <w:spacing w:after="0" w:before="0"/>
            </w:pPr>
            <w:r/>
            <w:r>
              <w:rPr>
                <w:rFonts w:ascii="Calibri" w:hAnsi="Calibri"/>
                <w:b w:val="0"/>
                <w:color w:val="1A1A1A"/>
                <w:sz w:val="21"/>
              </w:rPr>
              <w:t>S2</w:t>
            </w:r>
          </w:p>
        </w:tc>
        <w:tc>
          <w:tcPr>
            <w:tcW w:type="dxa" w:w="3312"/>
          </w:tcPr>
          <w:p>
            <w:pPr>
              <w:spacing w:after="0" w:before="0"/>
            </w:pPr>
            <w:r/>
            <w:r>
              <w:rPr>
                <w:rFonts w:ascii="Calibri" w:hAnsi="Calibri"/>
                <w:b/>
                <w:color w:val="1A1A1A"/>
                <w:sz w:val="21"/>
              </w:rPr>
              <w:t>Faster scheduling &amp; scorecard compilation</w:t>
            </w:r>
          </w:p>
        </w:tc>
        <w:tc>
          <w:tcPr>
            <w:tcW w:type="dxa" w:w="3888"/>
          </w:tcPr>
          <w:p>
            <w:pPr>
              <w:spacing w:after="0" w:before="0"/>
            </w:pPr>
            <w:r/>
            <w:r>
              <w:rPr>
                <w:rFonts w:ascii="Calibri" w:hAnsi="Calibri"/>
                <w:b w:val="0"/>
                <w:color w:val="1A1A1A"/>
                <w:sz w:val="21"/>
              </w:rPr>
              <w:t>Elapsed time from cycle start to scheduled meeting / compiled scorecard</w:t>
            </w:r>
          </w:p>
        </w:tc>
        <w:tc>
          <w:tcPr>
            <w:tcW w:type="dxa" w:w="2160"/>
          </w:tcPr>
          <w:p>
            <w:pPr>
              <w:spacing w:after="0" w:before="0"/>
            </w:pPr>
            <w:r/>
            <w:r>
              <w:rPr>
                <w:rFonts w:ascii="Calibri" w:hAnsi="Calibri"/>
                <w:b w:val="0"/>
                <w:color w:val="1A1A1A"/>
                <w:sz w:val="21"/>
              </w:rPr>
              <w:t>Weeks → days</w:t>
            </w:r>
          </w:p>
        </w:tc>
      </w:tr>
      <w:tr>
        <w:tc>
          <w:tcPr>
            <w:tcW w:type="dxa" w:w="720"/>
          </w:tcPr>
          <w:p>
            <w:pPr>
              <w:spacing w:after="0" w:before="0"/>
            </w:pPr>
            <w:r/>
            <w:r>
              <w:rPr>
                <w:rFonts w:ascii="Calibri" w:hAnsi="Calibri"/>
                <w:b w:val="0"/>
                <w:color w:val="1A1A1A"/>
                <w:sz w:val="21"/>
              </w:rPr>
              <w:t>S3</w:t>
            </w:r>
          </w:p>
        </w:tc>
        <w:tc>
          <w:tcPr>
            <w:tcW w:type="dxa" w:w="3312"/>
          </w:tcPr>
          <w:p>
            <w:pPr>
              <w:spacing w:after="0" w:before="0"/>
            </w:pPr>
            <w:r/>
            <w:r>
              <w:rPr>
                <w:rFonts w:ascii="Calibri" w:hAnsi="Calibri"/>
                <w:b/>
                <w:color w:val="1A1A1A"/>
                <w:sz w:val="21"/>
              </w:rPr>
              <w:t>On-time scorecard submission</w:t>
            </w:r>
          </w:p>
        </w:tc>
        <w:tc>
          <w:tcPr>
            <w:tcW w:type="dxa" w:w="3888"/>
          </w:tcPr>
          <w:p>
            <w:pPr>
              <w:spacing w:after="0" w:before="0"/>
            </w:pPr>
            <w:r/>
            <w:r>
              <w:rPr>
                <w:rFonts w:ascii="Calibri" w:hAnsi="Calibri"/>
                <w:b w:val="0"/>
                <w:color w:val="1A1A1A"/>
                <w:sz w:val="21"/>
              </w:rPr>
              <w:t>% of reviewers submitting by the deadline</w:t>
            </w:r>
          </w:p>
        </w:tc>
        <w:tc>
          <w:tcPr>
            <w:tcW w:type="dxa" w:w="2160"/>
          </w:tcPr>
          <w:p>
            <w:pPr>
              <w:spacing w:after="0" w:before="0"/>
            </w:pPr>
            <w:r/>
            <w:r>
              <w:rPr>
                <w:rFonts w:ascii="Calibri" w:hAnsi="Calibri"/>
                <w:b w:val="0"/>
                <w:color w:val="1A1A1A"/>
                <w:sz w:val="21"/>
              </w:rPr>
              <w:t>≥ 90% on time</w:t>
            </w:r>
          </w:p>
        </w:tc>
      </w:tr>
      <w:tr>
        <w:tc>
          <w:tcPr>
            <w:tcW w:type="dxa" w:w="720"/>
          </w:tcPr>
          <w:p>
            <w:pPr>
              <w:spacing w:after="0" w:before="0"/>
            </w:pPr>
            <w:r/>
            <w:r>
              <w:rPr>
                <w:rFonts w:ascii="Calibri" w:hAnsi="Calibri"/>
                <w:b w:val="0"/>
                <w:color w:val="1A1A1A"/>
                <w:sz w:val="21"/>
              </w:rPr>
              <w:t>S4</w:t>
            </w:r>
          </w:p>
        </w:tc>
        <w:tc>
          <w:tcPr>
            <w:tcW w:type="dxa" w:w="3312"/>
          </w:tcPr>
          <w:p>
            <w:pPr>
              <w:spacing w:after="0" w:before="0"/>
            </w:pPr>
            <w:r/>
            <w:r>
              <w:rPr>
                <w:rFonts w:ascii="Calibri" w:hAnsi="Calibri"/>
                <w:b/>
                <w:color w:val="1A1A1A"/>
                <w:sz w:val="21"/>
              </w:rPr>
              <w:t>Data consistency &amp; quality</w:t>
            </w:r>
          </w:p>
        </w:tc>
        <w:tc>
          <w:tcPr>
            <w:tcW w:type="dxa" w:w="3888"/>
          </w:tcPr>
          <w:p>
            <w:pPr>
              <w:spacing w:after="0" w:before="0"/>
            </w:pPr>
            <w:r/>
            <w:r>
              <w:rPr>
                <w:rFonts w:ascii="Calibri" w:hAnsi="Calibri"/>
                <w:b w:val="0"/>
                <w:color w:val="1A1A1A"/>
                <w:sz w:val="21"/>
              </w:rPr>
              <w:t>% of KPIs validated deterministically; outliers flagged</w:t>
            </w:r>
          </w:p>
        </w:tc>
        <w:tc>
          <w:tcPr>
            <w:tcW w:type="dxa" w:w="2160"/>
          </w:tcPr>
          <w:p>
            <w:pPr>
              <w:spacing w:after="0" w:before="0"/>
            </w:pPr>
            <w:r/>
            <w:r>
              <w:rPr>
                <w:rFonts w:ascii="Calibri" w:hAnsi="Calibri"/>
                <w:b w:val="0"/>
                <w:color w:val="1A1A1A"/>
                <w:sz w:val="21"/>
              </w:rPr>
              <w:t>100% validated; outliers auto-flagged</w:t>
            </w:r>
          </w:p>
        </w:tc>
      </w:tr>
      <w:tr>
        <w:tc>
          <w:tcPr>
            <w:tcW w:type="dxa" w:w="720"/>
          </w:tcPr>
          <w:p>
            <w:pPr>
              <w:spacing w:after="0" w:before="0"/>
            </w:pPr>
            <w:r/>
            <w:r>
              <w:rPr>
                <w:rFonts w:ascii="Calibri" w:hAnsi="Calibri"/>
                <w:b w:val="0"/>
                <w:color w:val="1A1A1A"/>
                <w:sz w:val="21"/>
              </w:rPr>
              <w:t>S5</w:t>
            </w:r>
          </w:p>
        </w:tc>
        <w:tc>
          <w:tcPr>
            <w:tcW w:type="dxa" w:w="3312"/>
          </w:tcPr>
          <w:p>
            <w:pPr>
              <w:spacing w:after="0" w:before="0"/>
            </w:pPr>
            <w:r/>
            <w:r>
              <w:rPr>
                <w:rFonts w:ascii="Calibri" w:hAnsi="Calibri"/>
                <w:b/>
                <w:color w:val="1A1A1A"/>
                <w:sz w:val="21"/>
              </w:rPr>
              <w:t>Human oversight maintained</w:t>
            </w:r>
          </w:p>
        </w:tc>
        <w:tc>
          <w:tcPr>
            <w:tcW w:type="dxa" w:w="3888"/>
          </w:tcPr>
          <w:p>
            <w:pPr>
              <w:spacing w:after="0" w:before="0"/>
            </w:pPr>
            <w:r/>
            <w:r>
              <w:rPr>
                <w:rFonts w:ascii="Calibri" w:hAnsi="Calibri"/>
                <w:b w:val="0"/>
                <w:color w:val="1A1A1A"/>
                <w:sz w:val="21"/>
              </w:rPr>
              <w:t>% of outbound actions and AI drafts approved by a human before sending</w:t>
            </w:r>
          </w:p>
        </w:tc>
        <w:tc>
          <w:tcPr>
            <w:tcW w:type="dxa" w:w="2160"/>
          </w:tcPr>
          <w:p>
            <w:pPr>
              <w:spacing w:after="0" w:before="0"/>
            </w:pPr>
            <w:r/>
            <w:r>
              <w:rPr>
                <w:rFonts w:ascii="Calibri" w:hAnsi="Calibri"/>
                <w:b w:val="0"/>
                <w:color w:val="1A1A1A"/>
                <w:sz w:val="21"/>
              </w:rPr>
              <w:t>100%</w:t>
            </w:r>
          </w:p>
        </w:tc>
      </w:tr>
      <w:tr>
        <w:tc>
          <w:tcPr>
            <w:tcW w:type="dxa" w:w="720"/>
          </w:tcPr>
          <w:p>
            <w:pPr>
              <w:spacing w:after="0" w:before="0"/>
            </w:pPr>
            <w:r/>
            <w:r>
              <w:rPr>
                <w:rFonts w:ascii="Calibri" w:hAnsi="Calibri"/>
                <w:b w:val="0"/>
                <w:color w:val="1A1A1A"/>
                <w:sz w:val="21"/>
              </w:rPr>
              <w:t>S6</w:t>
            </w:r>
          </w:p>
        </w:tc>
        <w:tc>
          <w:tcPr>
            <w:tcW w:type="dxa" w:w="3312"/>
          </w:tcPr>
          <w:p>
            <w:pPr>
              <w:spacing w:after="0" w:before="0"/>
            </w:pPr>
            <w:r/>
            <w:r>
              <w:rPr>
                <w:rFonts w:ascii="Calibri" w:hAnsi="Calibri"/>
                <w:b/>
                <w:color w:val="1A1A1A"/>
                <w:sz w:val="21"/>
              </w:rPr>
              <w:t>Full auditability</w:t>
            </w:r>
          </w:p>
        </w:tc>
        <w:tc>
          <w:tcPr>
            <w:tcW w:type="dxa" w:w="3888"/>
          </w:tcPr>
          <w:p>
            <w:pPr>
              <w:spacing w:after="0" w:before="0"/>
            </w:pPr>
            <w:r/>
            <w:r>
              <w:rPr>
                <w:rFonts w:ascii="Calibri" w:hAnsi="Calibri"/>
                <w:b w:val="0"/>
                <w:color w:val="1A1A1A"/>
                <w:sz w:val="21"/>
              </w:rPr>
              <w:t>% of agent runs and outbound actions logged with correlation IDs</w:t>
            </w:r>
          </w:p>
        </w:tc>
        <w:tc>
          <w:tcPr>
            <w:tcW w:type="dxa" w:w="2160"/>
          </w:tcPr>
          <w:p>
            <w:pPr>
              <w:spacing w:after="0" w:before="0"/>
            </w:pPr>
            <w:r/>
            <w:r>
              <w:rPr>
                <w:rFonts w:ascii="Calibri" w:hAnsi="Calibri"/>
                <w:b w:val="0"/>
                <w:color w:val="1A1A1A"/>
                <w:sz w:val="21"/>
              </w:rPr>
              <w:t>100%</w:t>
            </w:r>
          </w:p>
        </w:tc>
      </w:tr>
      <w:tr>
        <w:tc>
          <w:tcPr>
            <w:tcW w:type="dxa" w:w="720"/>
          </w:tcPr>
          <w:p>
            <w:pPr>
              <w:spacing w:after="0" w:before="0"/>
            </w:pPr>
            <w:r/>
            <w:r>
              <w:rPr>
                <w:rFonts w:ascii="Calibri" w:hAnsi="Calibri"/>
                <w:b w:val="0"/>
                <w:color w:val="1A1A1A"/>
                <w:sz w:val="21"/>
              </w:rPr>
              <w:t>S7</w:t>
            </w:r>
          </w:p>
        </w:tc>
        <w:tc>
          <w:tcPr>
            <w:tcW w:type="dxa" w:w="3312"/>
          </w:tcPr>
          <w:p>
            <w:pPr>
              <w:spacing w:after="0" w:before="0"/>
            </w:pPr>
            <w:r/>
            <w:r>
              <w:rPr>
                <w:rFonts w:ascii="Calibri" w:hAnsi="Calibri"/>
                <w:b/>
                <w:color w:val="1A1A1A"/>
                <w:sz w:val="21"/>
              </w:rPr>
              <w:t>No fabricated figures</w:t>
            </w:r>
          </w:p>
        </w:tc>
        <w:tc>
          <w:tcPr>
            <w:tcW w:type="dxa" w:w="3888"/>
          </w:tcPr>
          <w:p>
            <w:pPr>
              <w:spacing w:after="0" w:before="0"/>
            </w:pPr>
            <w:r/>
            <w:r>
              <w:rPr>
                <w:rFonts w:ascii="Calibri" w:hAnsi="Calibri"/>
                <w:b w:val="0"/>
                <w:color w:val="1A1A1A"/>
                <w:sz w:val="21"/>
              </w:rPr>
              <w:t>Figures computed in code; the LLM narrates only</w:t>
            </w:r>
          </w:p>
        </w:tc>
        <w:tc>
          <w:tcPr>
            <w:tcW w:type="dxa" w:w="2160"/>
          </w:tcPr>
          <w:p>
            <w:pPr>
              <w:spacing w:after="0" w:before="0"/>
            </w:pPr>
            <w:r/>
            <w:r>
              <w:rPr>
                <w:rFonts w:ascii="Calibri" w:hAnsi="Calibri"/>
                <w:b w:val="0"/>
                <w:color w:val="1A1A1A"/>
                <w:sz w:val="21"/>
              </w:rPr>
              <w:t>Zero fabricated figures</w:t>
            </w:r>
          </w:p>
        </w:tc>
      </w:tr>
      <w:tr>
        <w:tc>
          <w:tcPr>
            <w:tcW w:type="dxa" w:w="720"/>
          </w:tcPr>
          <w:p>
            <w:pPr>
              <w:spacing w:after="0" w:before="0"/>
            </w:pPr>
            <w:r/>
            <w:r>
              <w:rPr>
                <w:rFonts w:ascii="Calibri" w:hAnsi="Calibri"/>
                <w:b w:val="0"/>
                <w:color w:val="1A1A1A"/>
                <w:sz w:val="21"/>
              </w:rPr>
              <w:t>S8</w:t>
            </w:r>
          </w:p>
        </w:tc>
        <w:tc>
          <w:tcPr>
            <w:tcW w:type="dxa" w:w="3312"/>
          </w:tcPr>
          <w:p>
            <w:pPr>
              <w:spacing w:after="0" w:before="0"/>
            </w:pPr>
            <w:r/>
            <w:r>
              <w:rPr>
                <w:rFonts w:ascii="Calibri" w:hAnsi="Calibri"/>
                <w:b/>
                <w:color w:val="1A1A1A"/>
                <w:sz w:val="21"/>
              </w:rPr>
              <w:t>Institutional memory in use</w:t>
            </w:r>
          </w:p>
        </w:tc>
        <w:tc>
          <w:tcPr>
            <w:tcW w:type="dxa" w:w="3888"/>
          </w:tcPr>
          <w:p>
            <w:pPr>
              <w:spacing w:after="0" w:before="0"/>
            </w:pPr>
            <w:r/>
            <w:r>
              <w:rPr>
                <w:rFonts w:ascii="Calibri" w:hAnsi="Calibri"/>
                <w:b w:val="0"/>
                <w:color w:val="1A1A1A"/>
                <w:sz w:val="21"/>
              </w:rPr>
              <w:t>Open actions carried forward; recurring issues surfaced across cycles</w:t>
            </w:r>
          </w:p>
        </w:tc>
        <w:tc>
          <w:tcPr>
            <w:tcW w:type="dxa" w:w="2160"/>
          </w:tcPr>
          <w:p>
            <w:pPr>
              <w:spacing w:after="0" w:before="0"/>
            </w:pPr>
            <w:r/>
            <w:r>
              <w:rPr>
                <w:rFonts w:ascii="Calibri" w:hAnsi="Calibri"/>
                <w:b w:val="0"/>
                <w:color w:val="1A1A1A"/>
                <w:sz w:val="21"/>
              </w:rPr>
              <w:t>Carry-forward on every cycle</w:t>
            </w:r>
          </w:p>
        </w:tc>
      </w:tr>
      <w:tr>
        <w:tc>
          <w:tcPr>
            <w:tcW w:type="dxa" w:w="720"/>
          </w:tcPr>
          <w:p>
            <w:pPr>
              <w:spacing w:after="0" w:before="0"/>
            </w:pPr>
            <w:r/>
            <w:r>
              <w:rPr>
                <w:rFonts w:ascii="Calibri" w:hAnsi="Calibri"/>
                <w:b w:val="0"/>
                <w:color w:val="1A1A1A"/>
                <w:sz w:val="21"/>
              </w:rPr>
              <w:t>S9</w:t>
            </w:r>
          </w:p>
        </w:tc>
        <w:tc>
          <w:tcPr>
            <w:tcW w:type="dxa" w:w="3312"/>
          </w:tcPr>
          <w:p>
            <w:pPr>
              <w:spacing w:after="0" w:before="0"/>
            </w:pPr>
            <w:r/>
            <w:r>
              <w:rPr>
                <w:rFonts w:ascii="Calibri" w:hAnsi="Calibri"/>
                <w:b/>
                <w:color w:val="1A1A1A"/>
                <w:sz w:val="21"/>
              </w:rPr>
              <w:t>AI draft quality</w:t>
            </w:r>
          </w:p>
        </w:tc>
        <w:tc>
          <w:tcPr>
            <w:tcW w:type="dxa" w:w="3888"/>
          </w:tcPr>
          <w:p>
            <w:pPr>
              <w:spacing w:after="0" w:before="0"/>
            </w:pPr>
            <w:r/>
            <w:r>
              <w:rPr>
                <w:rFonts w:ascii="Calibri" w:hAnsi="Calibri"/>
                <w:b w:val="0"/>
                <w:color w:val="1A1A1A"/>
                <w:sz w:val="21"/>
              </w:rPr>
              <w:t>% of AI-drafted briefs / minutes accepted with only minor edits</w:t>
            </w:r>
          </w:p>
        </w:tc>
        <w:tc>
          <w:tcPr>
            <w:tcW w:type="dxa" w:w="2160"/>
          </w:tcPr>
          <w:p>
            <w:pPr>
              <w:spacing w:after="0" w:before="0"/>
            </w:pPr>
            <w:r/>
            <w:r>
              <w:rPr>
                <w:rFonts w:ascii="Calibri" w:hAnsi="Calibri"/>
                <w:b w:val="0"/>
                <w:color w:val="1A1A1A"/>
                <w:sz w:val="21"/>
              </w:rPr>
              <w:t>≥ 80%</w:t>
            </w:r>
          </w:p>
        </w:tc>
      </w:tr>
      <w:tr>
        <w:tc>
          <w:tcPr>
            <w:tcW w:type="dxa" w:w="720"/>
          </w:tcPr>
          <w:p>
            <w:pPr>
              <w:spacing w:after="0" w:before="0"/>
            </w:pPr>
            <w:r/>
            <w:r>
              <w:rPr>
                <w:rFonts w:ascii="Calibri" w:hAnsi="Calibri"/>
                <w:b w:val="0"/>
                <w:color w:val="1A1A1A"/>
                <w:sz w:val="21"/>
              </w:rPr>
              <w:t>S10</w:t>
            </w:r>
          </w:p>
        </w:tc>
        <w:tc>
          <w:tcPr>
            <w:tcW w:type="dxa" w:w="3312"/>
          </w:tcPr>
          <w:p>
            <w:pPr>
              <w:spacing w:after="0" w:before="0"/>
            </w:pPr>
            <w:r/>
            <w:r>
              <w:rPr>
                <w:rFonts w:ascii="Calibri" w:hAnsi="Calibri"/>
                <w:b/>
                <w:color w:val="1A1A1A"/>
                <w:sz w:val="21"/>
              </w:rPr>
              <w:t>Adoption</w:t>
            </w:r>
          </w:p>
        </w:tc>
        <w:tc>
          <w:tcPr>
            <w:tcW w:type="dxa" w:w="3888"/>
          </w:tcPr>
          <w:p>
            <w:pPr>
              <w:spacing w:after="0" w:before="0"/>
            </w:pPr>
            <w:r/>
            <w:r>
              <w:rPr>
                <w:rFonts w:ascii="Calibri" w:hAnsi="Calibri"/>
                <w:b w:val="0"/>
                <w:color w:val="1A1A1A"/>
                <w:sz w:val="21"/>
              </w:rPr>
              <w:t>Live EGB/QBR cycles run end-to-end on VendorPulse</w:t>
            </w:r>
          </w:p>
        </w:tc>
        <w:tc>
          <w:tcPr>
            <w:tcW w:type="dxa" w:w="2160"/>
          </w:tcPr>
          <w:p>
            <w:pPr>
              <w:spacing w:after="0" w:before="0"/>
            </w:pPr>
            <w:r/>
            <w:r>
              <w:rPr>
                <w:rFonts w:ascii="Calibri" w:hAnsi="Calibri"/>
                <w:b w:val="0"/>
                <w:color w:val="1A1A1A"/>
                <w:sz w:val="21"/>
              </w:rPr>
              <w:t>≥ 1 pilot cycle at go-live, scaling thereafter</w:t>
            </w:r>
          </w:p>
        </w:tc>
      </w:tr>
      <w:tr>
        <w:tc>
          <w:tcPr>
            <w:tcW w:type="dxa" w:w="720"/>
          </w:tcPr>
          <w:p>
            <w:pPr>
              <w:spacing w:after="0" w:before="0"/>
            </w:pPr>
            <w:r/>
            <w:r>
              <w:rPr>
                <w:rFonts w:ascii="Calibri" w:hAnsi="Calibri"/>
                <w:b w:val="0"/>
                <w:color w:val="1A1A1A"/>
                <w:sz w:val="21"/>
              </w:rPr>
              <w:t>S11</w:t>
            </w:r>
          </w:p>
        </w:tc>
        <w:tc>
          <w:tcPr>
            <w:tcW w:type="dxa" w:w="3312"/>
          </w:tcPr>
          <w:p>
            <w:pPr>
              <w:spacing w:after="0" w:before="0"/>
            </w:pPr>
            <w:r/>
            <w:r>
              <w:rPr>
                <w:rFonts w:ascii="Calibri" w:hAnsi="Calibri"/>
                <w:b/>
                <w:color w:val="1A1A1A"/>
                <w:sz w:val="21"/>
              </w:rPr>
              <w:t>Successful go-live</w:t>
            </w:r>
          </w:p>
        </w:tc>
        <w:tc>
          <w:tcPr>
            <w:tcW w:type="dxa" w:w="3888"/>
          </w:tcPr>
          <w:p>
            <w:pPr>
              <w:spacing w:after="0" w:before="0"/>
            </w:pPr>
            <w:r/>
            <w:r>
              <w:rPr>
                <w:rFonts w:ascii="Calibri" w:hAnsi="Calibri"/>
                <w:b w:val="0"/>
                <w:color w:val="1A1A1A"/>
                <w:sz w:val="21"/>
              </w:rPr>
              <w:t>IT-security sign-off obtained and production cutover completed</w:t>
            </w:r>
          </w:p>
        </w:tc>
        <w:tc>
          <w:tcPr>
            <w:tcW w:type="dxa" w:w="2160"/>
          </w:tcPr>
          <w:p>
            <w:pPr>
              <w:spacing w:after="0" w:before="0"/>
            </w:pPr>
            <w:r/>
            <w:r>
              <w:rPr>
                <w:rFonts w:ascii="Calibri" w:hAnsi="Calibri"/>
                <w:b w:val="0"/>
                <w:color w:val="1A1A1A"/>
                <w:sz w:val="21"/>
              </w:rPr>
              <w:t>Achieved</w:t>
            </w:r>
          </w:p>
        </w:tc>
      </w:tr>
    </w:tbl>
    <w:p/>
    <w:p>
      <w:pPr>
        <w:pStyle w:val="Heading2"/>
      </w:pPr>
      <w:r>
        <w:t>12.1 MVP Acceptance Criteria</w:t>
      </w:r>
    </w:p>
    <w:p>
      <w:r>
        <w:t>The MVP is considered accepted when all of the following are true:</w:t>
      </w:r>
    </w:p>
    <w:p>
      <w:pPr>
        <w:pStyle w:val="ListParagraph"/>
        <w:numPr>
          <w:ilvl w:val="0"/>
          <w:numId w:val="2"/>
        </w:numPr>
        <w:spacing w:after="60" w:line="264"/>
      </w:pPr>
      <w:r>
        <w:rPr>
          <w:rFonts w:ascii="Calibri" w:hAnsi="Calibri"/>
          <w:color w:val="1A1A1A"/>
          <w:sz w:val="21"/>
        </w:rPr>
        <w:t>All six modules (A–F) operate end-to-end across a live cycle.</w:t>
      </w:r>
    </w:p>
    <w:p>
      <w:pPr>
        <w:pStyle w:val="ListParagraph"/>
        <w:numPr>
          <w:ilvl w:val="0"/>
          <w:numId w:val="2"/>
        </w:numPr>
        <w:spacing w:after="60" w:line="264"/>
      </w:pPr>
      <w:r>
        <w:rPr>
          <w:rFonts w:ascii="Calibri" w:hAnsi="Calibri"/>
          <w:color w:val="1A1A1A"/>
          <w:sz w:val="21"/>
        </w:rPr>
        <w:t>The Human-in-the-Loop approval gate is enforced on every outbound communication and key decision.</w:t>
      </w:r>
    </w:p>
    <w:p>
      <w:pPr>
        <w:pStyle w:val="ListParagraph"/>
        <w:numPr>
          <w:ilvl w:val="0"/>
          <w:numId w:val="2"/>
        </w:numPr>
        <w:spacing w:after="60" w:line="264"/>
      </w:pPr>
      <w:r>
        <w:rPr>
          <w:rFonts w:ascii="Calibri" w:hAnsi="Calibri"/>
          <w:color w:val="1A1A1A"/>
          <w:sz w:val="21"/>
        </w:rPr>
        <w:t>All scores and metrics are computed deterministically; the LLM never computes or fabricates figures.</w:t>
      </w:r>
    </w:p>
    <w:p>
      <w:pPr>
        <w:pStyle w:val="ListParagraph"/>
        <w:numPr>
          <w:ilvl w:val="0"/>
          <w:numId w:val="2"/>
        </w:numPr>
        <w:spacing w:after="60" w:line="264"/>
      </w:pPr>
      <w:r>
        <w:rPr>
          <w:rFonts w:ascii="Calibri" w:hAnsi="Calibri"/>
          <w:color w:val="1A1A1A"/>
          <w:sz w:val="21"/>
        </w:rPr>
        <w:t>The deterministic core continues to function with the LLM disabled.</w:t>
      </w:r>
    </w:p>
    <w:p>
      <w:pPr>
        <w:pStyle w:val="ListParagraph"/>
        <w:numPr>
          <w:ilvl w:val="0"/>
          <w:numId w:val="2"/>
        </w:numPr>
        <w:spacing w:after="60" w:line="264"/>
      </w:pPr>
      <w:r>
        <w:rPr>
          <w:rFonts w:ascii="Calibri" w:hAnsi="Calibri"/>
          <w:color w:val="1A1A1A"/>
          <w:sz w:val="21"/>
        </w:rPr>
        <w:t>Every agent run and outbound action is recorded in an auditable, tamper-evident trail.</w:t>
      </w:r>
    </w:p>
    <w:p>
      <w:pPr>
        <w:pStyle w:val="ListParagraph"/>
        <w:numPr>
          <w:ilvl w:val="0"/>
          <w:numId w:val="2"/>
        </w:numPr>
        <w:spacing w:after="60" w:line="264"/>
      </w:pPr>
      <w:r>
        <w:rPr>
          <w:rFonts w:ascii="Calibri" w:hAnsi="Calibri"/>
          <w:color w:val="1A1A1A"/>
          <w:sz w:val="21"/>
        </w:rPr>
        <w:t>The solution is deployed to Shell's Azure environment (single-tenant) with IT-security sign-off obtained.</w:t>
      </w:r>
    </w:p>
    <w:p>
      <w:pPr>
        <w:pStyle w:val="ListParagraph"/>
        <w:numPr>
          <w:ilvl w:val="0"/>
          <w:numId w:val="2"/>
        </w:numPr>
        <w:spacing w:after="60" w:line="264"/>
      </w:pPr>
      <w:r>
        <w:rPr>
          <w:rFonts w:ascii="Calibri" w:hAnsi="Calibri"/>
          <w:color w:val="1A1A1A"/>
          <w:sz w:val="21"/>
        </w:rPr>
        <w:t>User Acceptance Testing is completed and signed off by the Mobility VMO team.</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color w:val="888888"/>
        <w:sz w:val="16"/>
        <w:szCs w:val="16"/>
      </w:rPr>
      <w:t xml:space="preserve">ZenVendorPulse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color w:val="888888"/>
        <w:sz w:val="16"/>
        <w:szCs w:val="16"/>
      </w:rPr>
      <w:t xml:space="preserve">VendorPulse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6"/>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VendorPulse Business Requirements Document</dc:title>
  <dc:creator>ZenVendorPulse Product Team</dc:creator>
  <cp:lastModifiedBy>Un-named</cp:lastModifiedBy>
  <cp:revision>1</cp:revision>
  <dcterms:created xsi:type="dcterms:W3CDTF">2026-06-23T12:04:27.097Z</dcterms:created>
  <dcterms:modified xsi:type="dcterms:W3CDTF">2026-06-23T12:04:27.097Z</dcterms:modified>
</cp:coreProperties>
</file>

<file path=docProps/custom.xml><?xml version="1.0" encoding="utf-8"?>
<Properties xmlns="http://schemas.openxmlformats.org/officeDocument/2006/custom-properties" xmlns:vt="http://schemas.openxmlformats.org/officeDocument/2006/docPropsVTypes"/>
</file>