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ZenVendorPulse — Productionization Readiness Overview</w:t>
      </w:r>
    </w:p>
    <w:p>
      <w:pPr>
        <w:jc w:val="center"/>
      </w:pPr>
      <w:r>
        <w:t>* * *</w:t>
      </w:r>
    </w:p>
    <w:p>
      <w:pPr>
        <w:pStyle w:val="Heading1"/>
      </w:pPr>
      <w:r>
        <w:t>1. Purpose</w:t>
      </w:r>
    </w:p>
    <w:p>
      <w:r>
        <w:t>This note summarizes two assessments performed against the current ZenVendorPulse codebase in preparation for moving the solution toward production:</w:t>
      </w:r>
    </w:p>
    <w:p>
      <w:pPr>
        <w:pStyle w:val="ListNumber"/>
      </w:pPr>
      <w:r>
        <w:rPr>
          <w:b/>
        </w:rPr>
        <w:t>Proprietary / third-party usage</w:t>
      </w:r>
      <w:r>
        <w:t xml:space="preserve"> — whether any license, commercial term, or integration pattern embedded in the code would create friction when the solution is productionized.</w:t>
      </w:r>
    </w:p>
    <w:p>
      <w:pPr>
        <w:pStyle w:val="ListNumber"/>
      </w:pPr>
      <w:r>
        <w:rPr>
          <w:b/>
        </w:rPr>
        <w:t>Maintainability</w:t>
      </w:r>
      <w:r>
        <w:t xml:space="preserve"> — the overall health and sustainability of the open-source libraries the solution depends on, across both backend and frontend stacks.</w:t>
      </w:r>
    </w:p>
    <w:p>
      <w:r>
        <w:t>The goal is to give a clear readiness picture without going into implementation-level detail.</w:t>
      </w:r>
    </w:p>
    <w:p>
      <w:pPr>
        <w:jc w:val="center"/>
      </w:pPr>
      <w:r>
        <w:t>* * *</w:t>
      </w:r>
    </w:p>
    <w:p>
      <w:pPr>
        <w:pStyle w:val="Heading1"/>
      </w:pPr>
      <w:r>
        <w:t>2. Proprietary and Third-Party Usage</w:t>
      </w:r>
    </w:p>
    <w:p>
      <w:pPr>
        <w:pStyle w:val="Heading2"/>
      </w:pPr>
      <w:r>
        <w:t>2.1 Open-source libraries — licensing position</w:t>
      </w:r>
    </w:p>
    <w:p>
      <w:r>
        <w:t xml:space="preserve">Every open-source library the solution consumes, both directly and transitively, falls under a </w:t>
      </w:r>
      <w:r>
        <w:rPr>
          <w:b/>
        </w:rPr>
        <w:t>permissive license</w:t>
      </w:r>
      <w:r>
        <w:t xml:space="preserve"> (MIT, BSD, Apache 2.0, ISC). A small number of build-time-only packages carry slightly different terms (MPL-2.0 and CC-BY-4.0), but these are standard in modern web tooling and do not impose obligations on the shipped product beyond attribution.</w:t>
      </w:r>
    </w:p>
    <w:p>
      <w:r>
        <w:rPr>
          <w:b/>
        </w:rPr>
        <w:t>There is no exposure to copyleft licenses (GPL, AGPL, SSPL)</w:t>
      </w:r>
      <w:r>
        <w:t xml:space="preserve"> that would obligate source disclosure or restrict commercial distribution.</w:t>
      </w:r>
    </w:p>
    <w:p>
      <w:r>
        <w:t>Recommended practice before release:</w:t>
      </w:r>
    </w:p>
    <w:p>
      <w:pPr>
        <w:pStyle w:val="ListBullet"/>
      </w:pPr>
      <w:r>
        <w:t>Generate a Software Bill of Materials (SBOM) as part of the build.</w:t>
      </w:r>
    </w:p>
    <w:p>
      <w:pPr>
        <w:pStyle w:val="ListBullet"/>
      </w:pPr>
      <w:r>
        <w:t>Publish a standard third-party attributions page as part of the product.</w:t>
      </w:r>
    </w:p>
    <w:p>
      <w:pPr>
        <w:pStyle w:val="Heading2"/>
      </w:pPr>
      <w:r>
        <w:t>2.2 Proprietary external services</w:t>
      </w:r>
    </w:p>
    <w:p>
      <w:r>
        <w:t>The solution integrates with three proprietary cloud services. Each carries its own commercial terms, onboarding process, and compliance obligations that apply when the product is offered to customers: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 today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Production consideration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Azure OpenAI</w:t>
            </w:r>
          </w:p>
        </w:tc>
        <w:tc>
          <w:tcPr>
            <w:tcW w:type="dxa" w:w="2880"/>
          </w:tcPr>
          <w:p>
            <w:r/>
            <w:r>
              <w:t>Powers the agentic and LLM-assisted features (briefs, minutes, summarization).</w:t>
            </w:r>
          </w:p>
        </w:tc>
        <w:tc>
          <w:tcPr>
            <w:tcW w:type="dxa" w:w="2880"/>
          </w:tcPr>
          <w:p>
            <w:r/>
            <w:r>
              <w:t>Will require a customer-scoped data processing agreement, a BAA where applicable, and a regional deployment strategy for EU/UK data residency.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Microsoft Graph API</w:t>
            </w:r>
          </w:p>
        </w:tc>
        <w:tc>
          <w:tcPr>
            <w:tcW w:type="dxa" w:w="2880"/>
          </w:tcPr>
          <w:p>
            <w:r/>
            <w:r>
              <w:t xml:space="preserve">Meeting scheduling, Teams invite creation. Will also be the </w:t>
            </w:r>
            <w:r>
              <w:rPr>
                <w:b/>
              </w:rPr>
              <w:t>future channel for email delivery</w:t>
            </w:r>
            <w:r>
              <w:t xml:space="preserve"> (see §2.3).</w:t>
            </w:r>
          </w:p>
        </w:tc>
        <w:tc>
          <w:tcPr>
            <w:tcW w:type="dxa" w:w="2880"/>
          </w:tcPr>
          <w:p>
            <w:r/>
            <w:r>
              <w:t>Will need to be re-registered as a multi-tenant published application with minimized scopes and Microsoft Publisher Verification completed.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Google OAuth (Gmail / Forms)</w:t>
            </w:r>
          </w:p>
        </w:tc>
        <w:tc>
          <w:tcPr>
            <w:tcW w:type="dxa" w:w="2880"/>
          </w:tcPr>
          <w:p>
            <w:r/>
            <w:r>
              <w:t>Currently used for scorecard distribution (forms) and outbound email.</w:t>
            </w:r>
          </w:p>
        </w:tc>
        <w:tc>
          <w:tcPr>
            <w:tcW w:type="dxa" w:w="2880"/>
          </w:tcPr>
          <w:p>
            <w:r/>
            <w:r>
              <w:t>Gmail usage will be phased out in favour of Microsoft Graph — see §2.3. Google Forms usage will continue and will require standard OAuth verification and an annual security assessment.</w:t>
            </w:r>
          </w:p>
        </w:tc>
      </w:tr>
    </w:tbl>
    <w:p/>
    <w:p>
      <w:pPr>
        <w:pStyle w:val="Heading2"/>
      </w:pPr>
      <w:r>
        <w:t>2.3 Planned change — email delivery moving to Microsoft Graph</w:t>
      </w:r>
    </w:p>
    <w:p>
      <w:r>
        <w:t>A deliberate consolidation is planned as part of productionization:</w:t>
      </w:r>
    </w:p>
    <w:p>
      <w:pPr>
        <w:pStyle w:val="ListBullet"/>
      </w:pPr>
      <w:r>
        <w:rPr>
          <w:b/>
        </w:rPr>
        <w:t>Today:</w:t>
      </w:r>
      <w:r>
        <w:t xml:space="preserve"> outbound email (scorecard dispatch, meeting comms, minutes distribution) uses the </w:t>
      </w:r>
      <w:r>
        <w:rPr>
          <w:b/>
        </w:rPr>
        <w:t>Google Gmail API</w:t>
      </w:r>
      <w:r>
        <w:t xml:space="preserve"> via user-delegated OAuth.</w:t>
      </w:r>
    </w:p>
    <w:p>
      <w:pPr>
        <w:pStyle w:val="ListBullet"/>
      </w:pPr>
      <w:r>
        <w:rPr>
          <w:b/>
        </w:rPr>
        <w:t>Target state:</w:t>
      </w:r>
      <w:r>
        <w:t xml:space="preserve"> outbound email will be sent via the </w:t>
      </w:r>
      <w:r>
        <w:rPr>
          <w:b/>
        </w:rPr>
        <w:t>Microsoft Graph `sendMail` / message APIs</w:t>
      </w:r>
      <w:r>
        <w:t>, aligning email delivery with the same identity and tenant used for calendar and Teams operations.</w:t>
      </w:r>
    </w:p>
    <w:p>
      <w:r>
        <w:t>Benefits of this change:</w:t>
      </w:r>
    </w:p>
    <w:p>
      <w:pPr>
        <w:pStyle w:val="ListBullet"/>
      </w:pPr>
      <w:r>
        <w:t>Removes the dependency on a user's personal Google account and the associated annual security-assessment cost for sending mail.</w:t>
      </w:r>
    </w:p>
    <w:p>
      <w:pPr>
        <w:pStyle w:val="ListBullet"/>
      </w:pPr>
      <w:r>
        <w:t>Consolidates enterprise identity and audit into a single Microsoft 365 footprint.</w:t>
      </w:r>
    </w:p>
    <w:p>
      <w:pPr>
        <w:pStyle w:val="ListBullet"/>
      </w:pPr>
      <w:r>
        <w:t>Simplifies the multi-tenant onboarding story — a single Microsoft admin consent covers scheduling, Teams, and mail.</w:t>
      </w:r>
    </w:p>
    <w:p>
      <w:pPr>
        <w:pStyle w:val="ListBullet"/>
      </w:pPr>
      <w:r>
        <w:t>Reduces the overall compliance surface before go-live.</w:t>
      </w:r>
    </w:p>
    <w:p>
      <w:r>
        <w:t xml:space="preserve">Google APIs will remain in scope only for </w:t>
      </w:r>
      <w:r>
        <w:rPr>
          <w:b/>
        </w:rPr>
        <w:t>Google Forms response ingestion</w:t>
      </w:r>
      <w:r>
        <w:t>, which is not currently available through Microsoft Graph.</w:t>
      </w:r>
    </w:p>
    <w:p>
      <w:pPr>
        <w:pStyle w:val="Heading2"/>
      </w:pPr>
      <w:r>
        <w:t>2.4 Other productionization items flagged</w:t>
      </w:r>
    </w:p>
    <w:p>
      <w:r>
        <w:t>Without listing internals, the review identified a small number of standard hardening items that should be addressed before customer onboarding:</w:t>
      </w:r>
    </w:p>
    <w:p>
      <w:pPr>
        <w:pStyle w:val="ListBullet"/>
      </w:pPr>
      <w:r>
        <w:t>Credential management and secret rotation to be moved to a managed secrets store.</w:t>
      </w:r>
    </w:p>
    <w:p>
      <w:pPr>
        <w:pStyle w:val="ListBullet"/>
      </w:pPr>
      <w:r>
        <w:t>Seed and demonstration data to be replaced with neutral content.</w:t>
      </w:r>
    </w:p>
    <w:p>
      <w:pPr>
        <w:pStyle w:val="ListBullet"/>
      </w:pPr>
      <w:r>
        <w:t>Tenant isolation, authentication, and role-based access control to be introduced at the application layer.</w:t>
      </w:r>
    </w:p>
    <w:p>
      <w:pPr>
        <w:pStyle w:val="ListBullet"/>
      </w:pPr>
      <w:r>
        <w:t>Structured audit logging and per-tenant data retention policies.</w:t>
      </w:r>
    </w:p>
    <w:p>
      <w:r>
        <w:t>None of these are blockers at the code level; they are the usual pre-GA checklist items.</w:t>
      </w:r>
    </w:p>
    <w:p>
      <w:pPr>
        <w:jc w:val="center"/>
      </w:pPr>
      <w:r>
        <w:t>* * *</w:t>
      </w:r>
    </w:p>
    <w:p>
      <w:pPr>
        <w:pStyle w:val="Heading1"/>
      </w:pPr>
      <w:r>
        <w:t>3. Maintainability of External Libraries</w:t>
      </w:r>
    </w:p>
    <w:p>
      <w:pPr>
        <w:pStyle w:val="Heading2"/>
      </w:pPr>
      <w:r>
        <w:t>3.1 Overall position</w:t>
      </w:r>
    </w:p>
    <w:p>
      <w:r>
        <w:t xml:space="preserve">Across both the Python backend and the React/Vite frontend, the dependency footprint is </w:t>
      </w:r>
      <w:r>
        <w:rPr>
          <w:b/>
        </w:rPr>
        <w:t>healthy and sustainable</w:t>
      </w:r>
      <w:r>
        <w:t>. The libraries in use are mainstream, actively maintained, and have meaningful commercial or foundation backing (Meta, Microsoft, Google, Tailwind Labs, OpenJS Foundation, VoidZero, and similar).</w:t>
      </w:r>
    </w:p>
    <w:p>
      <w:r>
        <w:t>No library in the stack is abandoned, orphaned, or at meaningful risk of disappearing within the 3–5 year product horizon.</w:t>
      </w:r>
    </w:p>
    <w:p>
      <w:pPr>
        <w:pStyle w:val="Heading2"/>
      </w:pPr>
      <w:r>
        <w:t>3.2 What requires ongoing attention</w:t>
      </w:r>
    </w:p>
    <w:p>
      <w:r>
        <w:t>Three themes warrant standing engineering capacity rather than one-time effort:</w:t>
      </w:r>
    </w:p>
    <w:p>
      <w:pPr>
        <w:pStyle w:val="ListNumber"/>
      </w:pPr>
      <w:r>
        <w:rPr>
          <w:b/>
        </w:rPr>
        <w:t>Major-version churn on the frontend.</w:t>
      </w:r>
      <w:r>
        <w:t xml:space="preserve"> The stack sits on recent majors of React, Tailwind, Vite, and ESLint. Each has a roughly annual major release with some migration effort. A modest engineering budget — on the order of one engineer-month per year — will be required to stay current.</w:t>
      </w:r>
    </w:p>
    <w:p>
      <w:pPr>
        <w:pStyle w:val="ListNumber"/>
      </w:pPr>
      <w:r>
        <w:rPr>
          <w:b/>
        </w:rPr>
        <w:t>SDK drift on the LLM layer.</w:t>
      </w:r>
      <w:r>
        <w:t xml:space="preserve"> Vendor SDKs for LLM providers iterate rapidly. Version pinning and deliberate upgrades (rather than opportunistic ones) are the mitigation.</w:t>
      </w:r>
    </w:p>
    <w:p>
      <w:pPr>
        <w:pStyle w:val="ListNumber"/>
      </w:pPr>
      <w:r>
        <w:rPr>
          <w:b/>
        </w:rPr>
        <w:t>Legacy status of one Google client library.</w:t>
      </w:r>
      <w:r>
        <w:t xml:space="preserve"> The Python client used for Gmail and Forms is classified as "legacy" by Google, with newer services using a different client family. This is not urgent, but a migration will likely be needed within the product horizon. Moving email off Google (see §2.3) reduces the size of this future effort.</w:t>
      </w:r>
    </w:p>
    <w:p>
      <w:pPr>
        <w:pStyle w:val="Heading2"/>
      </w:pPr>
      <w:r>
        <w:t>3.3 Recommended engineering safeguards</w:t>
      </w:r>
    </w:p>
    <w:p>
      <w:r>
        <w:t>To keep the maintainability picture stable over time:</w:t>
      </w:r>
    </w:p>
    <w:p>
      <w:pPr>
        <w:pStyle w:val="ListBullet"/>
      </w:pPr>
      <w:r>
        <w:t>Introduce lock files in both ecosystems and pin versions deterministically.</w:t>
      </w:r>
    </w:p>
    <w:p>
      <w:pPr>
        <w:pStyle w:val="ListBullet"/>
      </w:pPr>
      <w:r>
        <w:t>Enable automated dependency monitoring (Dependabot or equivalent) with weekly batched updates.</w:t>
      </w:r>
    </w:p>
    <w:p>
      <w:pPr>
        <w:pStyle w:val="ListBullet"/>
      </w:pPr>
      <w:r>
        <w:t xml:space="preserve">Run automated vulnerability scans (e.g., </w:t>
      </w:r>
      <w:r>
        <w:rPr>
          <w:rFonts w:ascii="Consolas" w:hAnsi="Consolas"/>
        </w:rPr>
        <w:t>pip-audit</w:t>
      </w:r>
      <w:r>
        <w:t xml:space="preserve">, </w:t>
      </w:r>
      <w:r>
        <w:rPr>
          <w:rFonts w:ascii="Consolas" w:hAnsi="Consolas"/>
        </w:rPr>
        <w:t>npm audit</w:t>
      </w:r>
      <w:r>
        <w:t>) as part of CI.</w:t>
      </w:r>
    </w:p>
    <w:p>
      <w:pPr>
        <w:pStyle w:val="ListBullet"/>
      </w:pPr>
      <w:r>
        <w:t>Generate an SBOM per release for supply-chain transparency.</w:t>
      </w:r>
    </w:p>
    <w:p>
      <w:pPr>
        <w:pStyle w:val="ListBullet"/>
      </w:pPr>
      <w:r>
        <w:t>Maintain a quarterly review of any single-maintainer dependencies in the tree.</w:t>
      </w:r>
    </w:p>
    <w:p>
      <w:pPr>
        <w:jc w:val="center"/>
      </w:pPr>
      <w:r>
        <w:t>* * *</w:t>
      </w:r>
    </w:p>
    <w:p>
      <w:pPr>
        <w:pStyle w:val="Heading1"/>
      </w:pPr>
      <w:r>
        <w:t>4. Summary</w:t>
      </w:r>
    </w:p>
    <w:p>
      <w:pPr>
        <w:pStyle w:val="ListBullet"/>
      </w:pPr>
      <w:r>
        <w:rPr>
          <w:b/>
        </w:rPr>
        <w:t>Licensing:</w:t>
      </w:r>
      <w:r>
        <w:t xml:space="preserve"> Clean. No copyleft exposure. Production distribution is not blocked by the open-source footprint.</w:t>
      </w:r>
    </w:p>
    <w:p>
      <w:pPr>
        <w:pStyle w:val="ListBullet"/>
      </w:pPr>
      <w:r>
        <w:rPr>
          <w:b/>
        </w:rPr>
        <w:t>Proprietary services:</w:t>
      </w:r>
      <w:r>
        <w:t xml:space="preserve"> Manageable. Azure OpenAI and Microsoft Graph are the strategic dependencies; Google usage is being deliberately narrowed, with email moving to Microsoft Graph as part of the productionization work.</w:t>
      </w:r>
    </w:p>
    <w:p>
      <w:pPr>
        <w:pStyle w:val="ListBullet"/>
      </w:pPr>
      <w:r>
        <w:rPr>
          <w:b/>
        </w:rPr>
        <w:t>Maintainability:</w:t>
      </w:r>
      <w:r>
        <w:t xml:space="preserve"> Sound. The stack is modern and well-supported. Ongoing upkeep is predictable and modest.</w:t>
      </w:r>
    </w:p>
    <w:p>
      <w:pPr>
        <w:pStyle w:val="ListBullet"/>
      </w:pPr>
      <w:r>
        <w:rPr>
          <w:b/>
        </w:rPr>
        <w:t>Remaining work:</w:t>
      </w:r>
      <w:r>
        <w:t xml:space="preserve"> Standard pre-GA hardening — secrets, tenancy, access control, auditability, and compliance paperwork. None of this changes the overall readiness picture, and it can be phased.</w:t>
      </w:r>
    </w:p>
    <w:p>
      <w:r>
        <w:t>Happy to walk through any section in more detail.</w:t>
      </w:r>
    </w:p>
    <w:p>
      <w:pPr>
        <w:jc w:val="center"/>
      </w:pPr>
      <w:r>
        <w:t>* * 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