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B3A6F"/>
          <w:sz w:val="52"/>
        </w:rPr>
        <w:t>VendorPulse — Executive Summary</w:t>
      </w:r>
    </w:p>
    <w:p>
      <w:r>
        <w:rPr>
          <w:rFonts w:ascii="Calibri" w:hAnsi="Calibri"/>
          <w:i/>
          <w:color w:val="64748B"/>
          <w:sz w:val="24"/>
        </w:rPr>
        <w:t>Shell engagement · Version 2.0 · 2026-06-03</w:t>
      </w:r>
    </w:p>
    <w:p>
      <w:pPr>
        <w:pBdr>
          <w:bottom w:val="single" w:sz="6" w:space="1" w:color="C7D0DD"/>
        </w:pBdr>
      </w:pPr>
    </w:p>
    <w:p>
      <w:pPr>
        <w:keepNext/>
        <w:spacing w:before="360" w:after="160"/>
      </w:pPr>
      <w:r>
        <w:rPr>
          <w:rFonts w:ascii="Calibri" w:hAnsi="Calibri"/>
          <w:b/>
          <w:color w:val="1B3A6F"/>
          <w:sz w:val="44"/>
        </w:rPr>
        <w:t>VendorPulse for Shell — Executive Summary</w:t>
      </w:r>
    </w:p>
    <w:p>
      <w:pPr>
        <w:spacing w:before="120" w:after="160"/>
        <w:ind w:left="227"/>
        <w:shd w:val="clear" w:color="auto" w:fill="FFF8E7"/>
        <w:pBdr>
          <w:left w:val="single" w:sz="24" w:space="8" w:color="C99A06"/>
        </w:pBdr>
      </w:pPr>
      <w:r>
        <w:rPr>
          <w:rFonts w:ascii="Calibri" w:hAnsi="Calibri"/>
          <w:b/>
          <w:color w:val="1E293B"/>
          <w:sz w:val="22"/>
        </w:rPr>
        <w:t>Version:</w:t>
      </w:r>
      <w:r>
        <w:rPr>
          <w:rFonts w:ascii="Calibri" w:hAnsi="Calibri"/>
          <w:color w:val="1E293B"/>
          <w:sz w:val="22"/>
        </w:rPr>
        <w:t xml:space="preserve"> 2.0 | </w:t>
      </w:r>
      <w:r>
        <w:rPr>
          <w:rFonts w:ascii="Calibri" w:hAnsi="Calibri"/>
          <w:b/>
          <w:color w:val="1E293B"/>
          <w:sz w:val="22"/>
        </w:rPr>
        <w:t>Date:</w:t>
      </w:r>
      <w:r>
        <w:rPr>
          <w:rFonts w:ascii="Calibri" w:hAnsi="Calibri"/>
          <w:color w:val="1E293B"/>
          <w:sz w:val="22"/>
        </w:rPr>
        <w:t xml:space="preserve"> 2026-06-03 </w:t>
      </w:r>
      <w:r>
        <w:rPr>
          <w:rFonts w:ascii="Calibri" w:hAnsi="Calibri"/>
          <w:b/>
          <w:color w:val="1E293B"/>
          <w:sz w:val="22"/>
        </w:rPr>
        <w:t>Audience:</w:t>
      </w:r>
      <w:r>
        <w:rPr>
          <w:rFonts w:ascii="Calibri" w:hAnsi="Calibri"/>
          <w:color w:val="1E293B"/>
          <w:sz w:val="22"/>
        </w:rPr>
        <w:t xml:space="preserve"> Shell VP Sponsor, Shell IT VMO leadership, Zensar VP / Delivery Director </w:t>
      </w:r>
      <w:r>
        <w:rPr>
          <w:rFonts w:ascii="Calibri" w:hAnsi="Calibri"/>
          <w:b/>
          <w:color w:val="1E293B"/>
          <w:sz w:val="22"/>
        </w:rPr>
        <w:t>Read-time:</w:t>
      </w:r>
      <w:r>
        <w:rPr>
          <w:rFonts w:ascii="Calibri" w:hAnsi="Calibri"/>
          <w:color w:val="1E293B"/>
          <w:sz w:val="22"/>
        </w:rPr>
        <w:t xml:space="preserve"> 8 minutes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1. The opportunity in one paragraph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Shell currently runs vendor governance cycles (QBRs / EGBs) as a largely manual exercise — coordinators chase availability over email, scorecards arrive piecemeal across inboxes, alignment meetings recap the same recurring issues, and post-meeting minutes are inconsistent quarter on quarter. </w:t>
      </w:r>
      <w:r>
        <w:rPr>
          <w:rFonts w:ascii="Calibri" w:hAnsi="Calibri"/>
          <w:b/>
          <w:color w:val="1E293B"/>
          <w:sz w:val="22"/>
        </w:rPr>
        <w:t>VendorPulse is an agentic AI platform that automates the orchestration end-to-end</w:t>
      </w:r>
      <w:r>
        <w:rPr>
          <w:rFonts w:ascii="Calibri" w:hAnsi="Calibri"/>
          <w:color w:val="1E293B"/>
          <w:sz w:val="22"/>
        </w:rPr>
        <w:t xml:space="preserve"> while keeping every outbound action (emails, invites, briefs, minutes) under human approval. The proof-of-concept already demonstrates the six-stage workflow against a Gmail/Google-Forms-based mock environment. </w:t>
      </w:r>
      <w:r>
        <w:rPr>
          <w:rFonts w:ascii="Calibri" w:hAnsi="Calibri"/>
          <w:b/>
          <w:color w:val="1E293B"/>
          <w:sz w:val="22"/>
        </w:rPr>
        <w:t>This document set scopes the work to lift that POC into a Shell-grade production deployment</w:t>
      </w:r>
      <w:r>
        <w:rPr>
          <w:rFonts w:ascii="Calibri" w:hAnsi="Calibri"/>
          <w:color w:val="1E293B"/>
          <w:sz w:val="22"/>
        </w:rPr>
        <w:t xml:space="preserve"> hosted in Shell's Azure tenant, integrated with Outlook + Teams, and removed entirely from Google's stack.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2. What we are proposing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A </w:t>
      </w:r>
      <w:r>
        <w:rPr>
          <w:rFonts w:ascii="Calibri" w:hAnsi="Calibri"/>
          <w:b/>
          <w:color w:val="1E293B"/>
          <w:sz w:val="22"/>
        </w:rPr>
        <w:t>single-tenant production deployment</w:t>
      </w:r>
      <w:r>
        <w:rPr>
          <w:rFonts w:ascii="Calibri" w:hAnsi="Calibri"/>
          <w:color w:val="1E293B"/>
          <w:sz w:val="22"/>
        </w:rPr>
        <w:t xml:space="preserve"> of VendorPulse inside Shell's Microsoft 365 / Azure estate:</w:t>
      </w:r>
    </w:p>
    <w:p>
      <w:pPr>
        <w:spacing w:before="80" w:after="160"/>
        <w:ind w:left="113"/>
        <w:shd w:val="clear" w:color="auto" w:fill="F1F3F6"/>
      </w:pPr>
      <w:r>
        <w:rPr>
          <w:rFonts w:ascii="Consolas" w:hAnsi="Consolas"/>
          <w:color w:val="334055"/>
          <w:sz w:val="19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/>
          <w:color w:val="334055"/>
          <w:sz w:val="19"/>
        </w:rPr>
        <w:t>│                      Shell Azure Subscription                    │</w:t>
      </w:r>
      <w:r>
        <w:br/>
      </w:r>
      <w:r>
        <w:rPr>
          <w:rFonts w:ascii="Consolas" w:hAnsi="Consolas"/>
          <w:color w:val="334055"/>
          <w:sz w:val="19"/>
        </w:rPr>
        <w:t>│                                                                  │</w:t>
      </w:r>
      <w:r>
        <w:br/>
      </w:r>
      <w:r>
        <w:rPr>
          <w:rFonts w:ascii="Consolas" w:hAnsi="Consolas"/>
          <w:color w:val="334055"/>
          <w:sz w:val="19"/>
        </w:rPr>
        <w:t>│   Shell User → Entra ID SSO → App Service (FastAPI + React)     │</w:t>
      </w:r>
      <w:r>
        <w:br/>
      </w:r>
      <w:r>
        <w:rPr>
          <w:rFonts w:ascii="Consolas" w:hAnsi="Consolas"/>
          <w:color w:val="334055"/>
          <w:sz w:val="19"/>
        </w:rPr>
        <w:t>│                                  │                               │</w:t>
      </w:r>
      <w:r>
        <w:br/>
      </w:r>
      <w:r>
        <w:rPr>
          <w:rFonts w:ascii="Consolas" w:hAnsi="Consolas"/>
          <w:color w:val="334055"/>
          <w:sz w:val="19"/>
        </w:rPr>
        <w:t>│                                  ├──► Azure Key Vault (secrets)  │</w:t>
      </w:r>
      <w:r>
        <w:br/>
      </w:r>
      <w:r>
        <w:rPr>
          <w:rFonts w:ascii="Consolas" w:hAnsi="Consolas"/>
          <w:color w:val="334055"/>
          <w:sz w:val="19"/>
        </w:rPr>
        <w:t>│                                  ├──► Azure PostgreSQL (data)    │</w:t>
      </w:r>
      <w:r>
        <w:br/>
      </w:r>
      <w:r>
        <w:rPr>
          <w:rFonts w:ascii="Consolas" w:hAnsi="Consolas"/>
          <w:color w:val="334055"/>
          <w:sz w:val="19"/>
        </w:rPr>
        <w:t>│                                  ├──► App Insights (telemetry)   │</w:t>
      </w:r>
      <w:r>
        <w:br/>
      </w:r>
      <w:r>
        <w:rPr>
          <w:rFonts w:ascii="Consolas" w:hAnsi="Consolas"/>
          <w:color w:val="334055"/>
          <w:sz w:val="19"/>
        </w:rPr>
        <w:t>│                                  └──► Log Analytics (audit)      │</w:t>
      </w:r>
      <w:r>
        <w:br/>
      </w:r>
      <w:r>
        <w:rPr>
          <w:rFonts w:ascii="Consolas" w:hAnsi="Consolas"/>
          <w:color w:val="334055"/>
          <w:sz w:val="19"/>
        </w:rPr>
        <w:t>│                                  │                               │</w:t>
      </w:r>
      <w:r>
        <w:br/>
      </w:r>
      <w:r>
        <w:rPr>
          <w:rFonts w:ascii="Consolas" w:hAnsi="Consolas"/>
          <w:color w:val="334055"/>
          <w:sz w:val="19"/>
        </w:rPr>
        <w:t>│   ┌──────────────────────────────┼───────────────────────────┐  │</w:t>
      </w:r>
      <w:r>
        <w:br/>
      </w:r>
      <w:r>
        <w:rPr>
          <w:rFonts w:ascii="Consolas" w:hAnsi="Consolas"/>
          <w:color w:val="334055"/>
          <w:sz w:val="19"/>
        </w:rPr>
        <w:t>│   │      Microsoft Graph (Shell tenant, app-only)             │  │</w:t>
      </w:r>
      <w:r>
        <w:br/>
      </w:r>
      <w:r>
        <w:rPr>
          <w:rFonts w:ascii="Consolas" w:hAnsi="Consolas"/>
          <w:color w:val="334055"/>
          <w:sz w:val="19"/>
        </w:rPr>
        <w:t>│   │   • Calendar (findMeetingTimes, events)                   │  │</w:t>
      </w:r>
      <w:r>
        <w:br/>
      </w:r>
      <w:r>
        <w:rPr>
          <w:rFonts w:ascii="Consolas" w:hAnsi="Consolas"/>
          <w:color w:val="334055"/>
          <w:sz w:val="19"/>
        </w:rPr>
        <w:t>│   │   • Mail (sendMail from service mailbox)                  │  │</w:t>
      </w:r>
      <w:r>
        <w:br/>
      </w:r>
      <w:r>
        <w:rPr>
          <w:rFonts w:ascii="Consolas" w:hAnsi="Consolas"/>
          <w:color w:val="334055"/>
          <w:sz w:val="19"/>
        </w:rPr>
        <w:t>│   │   • Teams meetings (onlineMeeting provider)               │  │</w:t>
      </w:r>
      <w:r>
        <w:br/>
      </w:r>
      <w:r>
        <w:rPr>
          <w:rFonts w:ascii="Consolas" w:hAnsi="Consolas"/>
          <w:color w:val="334055"/>
          <w:sz w:val="19"/>
        </w:rPr>
        <w:t>│   │   • Users (directory lookup)                              │  │</w:t>
      </w:r>
      <w:r>
        <w:br/>
      </w:r>
      <w:r>
        <w:rPr>
          <w:rFonts w:ascii="Consolas" w:hAnsi="Consolas"/>
          <w:color w:val="334055"/>
          <w:sz w:val="19"/>
        </w:rPr>
        <w:t>│   └────────────────────────────────────────────────────────────┘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Fonts w:ascii="Consolas" w:hAnsi="Consolas"/>
          <w:color w:val="334055"/>
          <w:sz w:val="19"/>
        </w:rPr>
        <w:t>│                                  │                               │</w:t>
      </w:r>
      <w:r>
        <w:br/>
      </w:r>
      <w:r>
        <w:rPr>
          <w:rFonts w:ascii="Consolas" w:hAnsi="Consolas"/>
          <w:color w:val="334055"/>
          <w:sz w:val="19"/>
        </w:rPr>
        <w:t>└──────────────────────────────────┼───────────────────────────────┘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         │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┌──────────────▼────────────────┐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│   LLM provider                 │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│   (Claude API via Anthropic    │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│    OR Azure OpenAI — TBD §08)  │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└────────────────────────────────┘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No data leaves Shell's tenant except</w:t>
      </w:r>
      <w:r>
        <w:rPr>
          <w:rFonts w:ascii="Calibri" w:hAnsi="Calibri"/>
          <w:color w:val="1E293B"/>
          <w:sz w:val="22"/>
        </w:rPr>
        <w:t xml:space="preserve"> the prompts and responses sent to the LLM provider. Shell's choice of provider (Anthropic API vs. Azure OpenAI) controls where that data lands — both options keep data out of training and both are negotiable on data residency.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3. What changes vs. the POC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We are not extending the POC. We are </w:t>
      </w:r>
      <w:r>
        <w:rPr>
          <w:rFonts w:ascii="Calibri" w:hAnsi="Calibri"/>
          <w:b/>
          <w:color w:val="1E293B"/>
          <w:sz w:val="22"/>
        </w:rPr>
        <w:t>rebuilding for production</w:t>
      </w:r>
      <w:r>
        <w:rPr>
          <w:rFonts w:ascii="Calibri" w:hAnsi="Calibri"/>
          <w:color w:val="1E293B"/>
          <w:sz w:val="22"/>
        </w:rPr>
        <w:t>. Three deliberate consolidations:</w:t>
      </w:r>
    </w:p>
    <w:p>
      <w:pPr>
        <w:spacing w:after="60"/>
        <w:ind w:left="340"/>
      </w:pPr>
      <w:r>
        <w:rPr>
          <w:rFonts w:ascii="Calibri" w:hAnsi="Calibri"/>
          <w:b/>
          <w:color w:val="1E293B"/>
          <w:sz w:val="22"/>
        </w:rPr>
        <w:t>Email delivery moves off Gmail.</w:t>
      </w:r>
      <w:r>
        <w:rPr>
          <w:rFonts w:ascii="Calibri" w:hAnsi="Calibri"/>
          <w:color w:val="1E293B"/>
          <w:sz w:val="22"/>
        </w:rPr>
        <w:t xml:space="preserve"> All outbound email — scorecard requests, reminders, meeting invites, minutes distribution — uses Microsoft Graph </w:t>
      </w:r>
      <w:r>
        <w:rPr>
          <w:rFonts w:ascii="Consolas" w:hAnsi="Consolas"/>
          <w:color w:val="334055"/>
          <w:sz w:val="20"/>
          <w:shd w:val="clear" w:color="auto" w:fill="F1F3F6"/>
        </w:rPr>
        <w:t>sendMail</w:t>
      </w:r>
      <w:r>
        <w:rPr>
          <w:rFonts w:ascii="Calibri" w:hAnsi="Calibri"/>
          <w:color w:val="1E293B"/>
          <w:sz w:val="22"/>
        </w:rPr>
        <w:t xml:space="preserve"> from a dedicated Shell service mailbox. </w:t>
      </w:r>
      <w:r>
        <w:rPr>
          <w:rFonts w:ascii="Calibri" w:hAnsi="Calibri"/>
          <w:b/>
          <w:color w:val="1E293B"/>
          <w:sz w:val="22"/>
        </w:rPr>
        <w:t>Single identity, single audit trail, no Google compliance overhead.</w:t>
      </w:r>
    </w:p>
    <w:p>
      <w:pPr>
        <w:spacing w:after="60"/>
        <w:ind w:left="340"/>
      </w:pPr>
      <w:r>
        <w:rPr>
          <w:rFonts w:ascii="Calibri" w:hAnsi="Calibri"/>
          <w:b/>
          <w:color w:val="1E293B"/>
          <w:sz w:val="22"/>
        </w:rPr>
        <w:t>Scorecard collection moves off Google Forms.</w:t>
      </w:r>
      <w:r>
        <w:rPr>
          <w:rFonts w:ascii="Calibri" w:hAnsi="Calibri"/>
          <w:color w:val="1E293B"/>
          <w:sz w:val="22"/>
        </w:rPr>
        <w:t xml:space="preserve"> Two options on the table (see §07): Microsoft Forms via Graph, or a native in-app scorecard. Our recommendation is </w:t>
      </w:r>
      <w:r>
        <w:rPr>
          <w:rFonts w:ascii="Calibri" w:hAnsi="Calibri"/>
          <w:b/>
          <w:color w:val="1E293B"/>
          <w:sz w:val="22"/>
        </w:rPr>
        <w:t>native in-app</w:t>
      </w:r>
      <w:r>
        <w:rPr>
          <w:rFonts w:ascii="Calibri" w:hAnsi="Calibri"/>
          <w:color w:val="1E293B"/>
          <w:sz w:val="22"/>
        </w:rPr>
        <w:t xml:space="preserve"> — eliminates external dependency, simplifies attribution, and gives Shell control over the schema.</w:t>
      </w:r>
    </w:p>
    <w:p>
      <w:pPr>
        <w:spacing w:after="60"/>
        <w:ind w:left="340"/>
      </w:pPr>
      <w:r>
        <w:rPr>
          <w:rFonts w:ascii="Calibri" w:hAnsi="Calibri"/>
          <w:b/>
          <w:color w:val="1E293B"/>
          <w:sz w:val="22"/>
        </w:rPr>
        <w:t>Authentication moves to Shell SSO.</w:t>
      </w:r>
      <w:r>
        <w:rPr>
          <w:rFonts w:ascii="Calibri" w:hAnsi="Calibri"/>
          <w:color w:val="1E293B"/>
          <w:sz w:val="22"/>
        </w:rPr>
        <w:t xml:space="preserve"> Today the POC has no auth. Production uses Entra ID OIDC with role-based access control mapped to Shell groups (VMO coordinators, executive sponsors, finance, etc.).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>These are the only architectural changes. The six-agent state machine, the human-in-the-loop approval gate, the deterministic-vs-AI separation, the audit table — all unchanged.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4. What Shell gets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Capability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Coordinator time saved per cycle (estimate)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Quality improvement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Attendee refresh + RSVP tracking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~3 hours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Fewer no-shows; replacement tracking; cycle-over-cycle continuity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Slot ranking + Teams invite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~2 hours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Deterministic, organiser-weighted ranking — no more "Doodle then panic"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Scorecard dispatch + reminder escalation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~4 hours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Personalised emails, escalating reminders, automatic outlier flagging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Score compilation + outlier detection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~3 hours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Statistical outlier flagging, missing-submission tracking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Alignment doc + face-off model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~2 hours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Cycle-over-cycle deltas surfaced automatically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Vendor brief + pushback handling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~4 hours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Three response stances per pushback item, legal-flag detection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Meeting minutes + action extraction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~3 hours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Consistent format, every action item captured and tracked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Leadership brief / analytics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~2 hours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Cross-cycle trends, recurring issues, executive-ready summary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Per cycle, per vendor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~23 hours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Reduction in variance across coordinators is the bigger win</w:t>
            </w:r>
          </w:p>
        </w:tc>
      </w:tr>
    </w:tbl>
    <w:p/>
    <w:p>
      <w:pPr>
        <w:spacing w:after="120"/>
      </w:pPr>
      <w:r>
        <w:rPr>
          <w:rFonts w:ascii="Calibri" w:hAnsi="Calibri"/>
          <w:color w:val="1E293B"/>
          <w:sz w:val="22"/>
        </w:rPr>
        <w:t xml:space="preserve">For Shell's vendor portfolio (we assume ~15–25 vendors on EGB QBRs quarterly — to confirm), this is </w:t>
      </w:r>
      <w:r>
        <w:rPr>
          <w:rFonts w:ascii="Calibri" w:hAnsi="Calibri"/>
          <w:b/>
          <w:color w:val="1E293B"/>
          <w:sz w:val="22"/>
        </w:rPr>
        <w:t>on the order of 400–600 coordinator hours saved per quarter</w:t>
      </w:r>
      <w:r>
        <w:rPr>
          <w:rFonts w:ascii="Calibri" w:hAnsi="Calibri"/>
          <w:color w:val="1E293B"/>
          <w:sz w:val="22"/>
        </w:rPr>
        <w:t xml:space="preserve"> with materially better consistency in governance output.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5. Effort and timeline (summary — full detail in §11)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Week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Duration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Outcome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Week 1 — Foundations, Migration &amp; Design Alignment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5 days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Day-2 design checkpoint with Shell; production substrate up (Postgres, Entra ID auth, App Service); Gmail/Forms removed; Module A working end-to-end against real Graph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Week 2 — Functional completion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5 days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All six agents (A–F) working; scorecard collection per Shell's chosen mode (in-app form / Excel attachment / other); Shell-themed UI and Outlook-friendly emails; admin module complete; code freeze Friday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Week 3 — Hardening, UAT, Pilot Go-Live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5 days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UAT with 3 named coordinators; defect fixes; security sign-off; production cutover; one real pilot vendor cycle running; coordinator training; handover to Shell IT Ops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Total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~3 weeks</w:t>
            </w:r>
            <w:r>
              <w:rPr>
                <w:rFonts w:ascii="Calibri" w:hAnsi="Calibri"/>
                <w:color w:val="1E293B"/>
                <w:sz w:val="20"/>
              </w:rPr>
              <w:t xml:space="preserve"> (15 working days)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Production-grade, Shell-owned, BAU-handed-over with a 4-week defect-warranty period</w:t>
            </w:r>
          </w:p>
        </w:tc>
      </w:tr>
    </w:tbl>
    <w:p/>
    <w:p>
      <w:pPr>
        <w:spacing w:after="120"/>
      </w:pPr>
      <w:r>
        <w:rPr>
          <w:rFonts w:ascii="Calibri" w:hAnsi="Calibri"/>
          <w:color w:val="1E293B"/>
          <w:sz w:val="22"/>
        </w:rPr>
        <w:t xml:space="preserve">This is a </w:t>
      </w:r>
      <w:r>
        <w:rPr>
          <w:rFonts w:ascii="Calibri" w:hAnsi="Calibri"/>
          <w:b/>
          <w:color w:val="1E293B"/>
          <w:sz w:val="22"/>
        </w:rPr>
        <w:t>compressed sprint-paced delivery</w:t>
      </w:r>
      <w:r>
        <w:rPr>
          <w:rFonts w:ascii="Calibri" w:hAnsi="Calibri"/>
          <w:color w:val="1E293B"/>
          <w:sz w:val="22"/>
        </w:rPr>
        <w:t xml:space="preserve">, not a phased programme. It assumes a team of </w:t>
      </w:r>
      <w:r>
        <w:rPr>
          <w:rFonts w:ascii="Calibri" w:hAnsi="Calibri"/>
          <w:b/>
          <w:color w:val="1E293B"/>
          <w:sz w:val="22"/>
        </w:rPr>
        <w:t>1 Solution Architect, 1 Tech Lead, 2 Backend engineers, 2 Frontend engineers, 1 QA, 1 DevOps Engineer, 1 Delivery Manager (all 100% allocated for the 3 weeks)</w:t>
      </w:r>
      <w:r>
        <w:rPr>
          <w:rFonts w:ascii="Calibri" w:hAnsi="Calibri"/>
          <w:color w:val="1E293B"/>
          <w:sz w:val="22"/>
        </w:rPr>
        <w:t xml:space="preserve">, with Shell providing </w:t>
      </w:r>
      <w:r>
        <w:rPr>
          <w:rFonts w:ascii="Calibri" w:hAnsi="Calibri"/>
          <w:b/>
          <w:color w:val="1E293B"/>
          <w:sz w:val="22"/>
        </w:rPr>
        <w:t>1 VMO product owner, 1 IT architecture liaison, 1 IT security liaison, 1 Entra ID admin, 1 Azure subscription owner</w:t>
      </w:r>
      <w:r>
        <w:rPr>
          <w:rFonts w:ascii="Calibri" w:hAnsi="Calibri"/>
          <w:color w:val="1E293B"/>
          <w:sz w:val="22"/>
        </w:rPr>
        <w:t xml:space="preserve"> — all available daily for the duration.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The compressed shape is only possible because Shell-side access provisioning (Entra ID app registrations, Azure subscription, service mailbox, LLM contract, etc.) is </w:t>
      </w:r>
      <w:r>
        <w:rPr>
          <w:rFonts w:ascii="Calibri" w:hAnsi="Calibri"/>
          <w:b/>
          <w:color w:val="1E293B"/>
          <w:sz w:val="22"/>
        </w:rPr>
        <w:t>pre-positioned during contract negotiation</w:t>
      </w:r>
      <w:r>
        <w:rPr>
          <w:rFonts w:ascii="Calibri" w:hAnsi="Calibri"/>
          <w:color w:val="1E293B"/>
          <w:sz w:val="22"/>
        </w:rPr>
        <w:t xml:space="preserve"> and is confirmed in place on Day 1. See </w:t>
      </w:r>
      <w:r>
        <w:rPr>
          <w:rFonts w:ascii="Calibri" w:hAnsi="Calibri"/>
          <w:color w:val="0F5BA8"/>
          <w:sz w:val="22"/>
          <w:u w:val="single"/>
        </w:rPr>
        <w:t>§11 Productionization Roadmap</w:t>
      </w:r>
      <w:r>
        <w:rPr>
          <w:rFonts w:ascii="Calibri" w:hAnsi="Calibri"/>
          <w:color w:val="1E293B"/>
          <w:sz w:val="22"/>
        </w:rPr>
        <w:t xml:space="preserve"> for the day-by-day plan and </w:t>
      </w:r>
      <w:r>
        <w:rPr>
          <w:rFonts w:ascii="Calibri" w:hAnsi="Calibri"/>
          <w:color w:val="0F5BA8"/>
          <w:sz w:val="22"/>
          <w:u w:val="single"/>
        </w:rPr>
        <w:t>§08 Dependencies &amp; Access</w:t>
      </w:r>
      <w:r>
        <w:rPr>
          <w:rFonts w:ascii="Calibri" w:hAnsi="Calibri"/>
          <w:color w:val="1E293B"/>
          <w:sz w:val="22"/>
        </w:rPr>
        <w:t xml:space="preserve"> for the full pre-mobilisation checklist.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6. The five questions a sponsor will ask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Q1. "Does any Shell data leave Shell's tenant?"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Only the data sent to the LLM provider.</w:t>
      </w:r>
      <w:r>
        <w:rPr>
          <w:rFonts w:ascii="Calibri" w:hAnsi="Calibri"/>
          <w:color w:val="1E293B"/>
          <w:sz w:val="22"/>
        </w:rPr>
        <w:t xml:space="preserve"> Everything else — emails, scorecards, minutes, vendor profiles, audit records, source code — stays inside Shell's Azure subscription. The LLM data path is unavoidable for an AI product and is governed by Shell's choice of provider: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Anthropic API direct</w:t>
      </w:r>
      <w:r>
        <w:rPr>
          <w:rFonts w:ascii="Calibri" w:hAnsi="Calibri"/>
          <w:color w:val="1E293B"/>
          <w:sz w:val="22"/>
        </w:rPr>
        <w:t xml:space="preserve"> — data goes to Anthropic; standard zero-data-retention enterprise terms available; </w:t>
      </w:r>
      <w:r>
        <w:rPr>
          <w:rFonts w:ascii="Calibri" w:hAnsi="Calibri"/>
          <w:b/>
          <w:color w:val="1E293B"/>
          <w:sz w:val="22"/>
        </w:rPr>
        <w:t>no training on customer data</w:t>
      </w:r>
      <w:r>
        <w:rPr>
          <w:rFonts w:ascii="Calibri" w:hAnsi="Calibri"/>
          <w:color w:val="1E293B"/>
          <w:sz w:val="22"/>
        </w:rPr>
        <w:t>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Azure OpenAI</w:t>
      </w:r>
      <w:r>
        <w:rPr>
          <w:rFonts w:ascii="Calibri" w:hAnsi="Calibri"/>
          <w:color w:val="1E293B"/>
          <w:sz w:val="22"/>
        </w:rPr>
        <w:t xml:space="preserve"> — data stays inside Azure; Microsoft contractual no-training; supports EU/UK regional residency.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Shell's IT Security and Privacy teams own this choice. See </w:t>
      </w:r>
      <w:r>
        <w:rPr>
          <w:rFonts w:ascii="Calibri" w:hAnsi="Calibri"/>
          <w:color w:val="0F5BA8"/>
          <w:sz w:val="22"/>
          <w:u w:val="single"/>
        </w:rPr>
        <w:t>§08</w:t>
      </w:r>
      <w:r>
        <w:rPr>
          <w:rFonts w:ascii="Calibri" w:hAnsi="Calibri"/>
          <w:color w:val="1E293B"/>
          <w:sz w:val="22"/>
        </w:rPr>
        <w:t>.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Q2. "What happens if Microsoft 365 has an outage?"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The app continues running. Scheduled actions queue. Manual workflows fall back to the in-app forms (which do not depend on Graph). Once Graph recovers, the queue drains automatically. See </w:t>
      </w:r>
      <w:r>
        <w:rPr>
          <w:rFonts w:ascii="Calibri" w:hAnsi="Calibri"/>
          <w:color w:val="0F5BA8"/>
          <w:sz w:val="22"/>
          <w:u w:val="single"/>
        </w:rPr>
        <w:t>§10</w:t>
      </w:r>
      <w:r>
        <w:rPr>
          <w:rFonts w:ascii="Calibri" w:hAnsi="Calibri"/>
          <w:color w:val="1E293B"/>
          <w:sz w:val="22"/>
        </w:rPr>
        <w:t>.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Q3. "What happens if the LLM provider has an outage?"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Six agents, six failure modes. All six fail </w:t>
      </w:r>
      <w:r>
        <w:rPr>
          <w:rFonts w:ascii="Calibri" w:hAnsi="Calibri"/>
          <w:b/>
          <w:color w:val="1E293B"/>
          <w:sz w:val="22"/>
        </w:rPr>
        <w:t>soft</w:t>
      </w:r>
      <w:r>
        <w:rPr>
          <w:rFonts w:ascii="Calibri" w:hAnsi="Calibri"/>
          <w:color w:val="1E293B"/>
          <w:sz w:val="22"/>
        </w:rPr>
        <w:t xml:space="preserve"> — every agent returns </w:t>
      </w:r>
      <w:r>
        <w:rPr>
          <w:rFonts w:ascii="Consolas" w:hAnsi="Consolas"/>
          <w:color w:val="334055"/>
          <w:sz w:val="20"/>
          <w:shd w:val="clear" w:color="auto" w:fill="F1F3F6"/>
        </w:rPr>
        <w:t>status = failed</w:t>
      </w:r>
      <w:r>
        <w:rPr>
          <w:rFonts w:ascii="Calibri" w:hAnsi="Calibri"/>
          <w:color w:val="1E293B"/>
          <w:sz w:val="22"/>
        </w:rPr>
        <w:t xml:space="preserve"> with an error message; the workflow does not advance; the coordinator sees a "retry" button; no external communications go out. The state machine is </w:t>
      </w:r>
      <w:r>
        <w:rPr>
          <w:rFonts w:ascii="Calibri" w:hAnsi="Calibri"/>
          <w:b/>
          <w:color w:val="1E293B"/>
          <w:sz w:val="22"/>
        </w:rPr>
        <w:t>deterministic and operates without LLM</w:t>
      </w:r>
      <w:r>
        <w:rPr>
          <w:rFonts w:ascii="Calibri" w:hAnsi="Calibri"/>
          <w:color w:val="1E293B"/>
          <w:sz w:val="22"/>
        </w:rPr>
        <w:t xml:space="preserve"> — only the human-readable text (briefs, minutes, summaries) is AI-generated and can be retried. See </w:t>
      </w:r>
      <w:r>
        <w:rPr>
          <w:rFonts w:ascii="Calibri" w:hAnsi="Calibri"/>
          <w:color w:val="0F5BA8"/>
          <w:sz w:val="22"/>
          <w:u w:val="single"/>
        </w:rPr>
        <w:t>§10</w:t>
      </w:r>
      <w:r>
        <w:rPr>
          <w:rFonts w:ascii="Calibri" w:hAnsi="Calibri"/>
          <w:color w:val="1E293B"/>
          <w:sz w:val="22"/>
        </w:rPr>
        <w:t>.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Q4. "How do we know the AI didn't say something stupid to a vendor?"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Every outbound communication requires human approval.</w:t>
      </w:r>
      <w:r>
        <w:rPr>
          <w:rFonts w:ascii="Calibri" w:hAnsi="Calibri"/>
          <w:color w:val="1E293B"/>
          <w:sz w:val="22"/>
        </w:rPr>
        <w:t xml:space="preserve"> The agent generates content; the coordinator reviews and approves in the UI; only then is anything sent. The agent never has direct send authority. The </w:t>
      </w:r>
      <w:r>
        <w:rPr>
          <w:rFonts w:ascii="Consolas" w:hAnsi="Consolas"/>
          <w:color w:val="334055"/>
          <w:sz w:val="20"/>
          <w:shd w:val="clear" w:color="auto" w:fill="F1F3F6"/>
        </w:rPr>
        <w:t>agent_runs</w:t>
      </w:r>
      <w:r>
        <w:rPr>
          <w:rFonts w:ascii="Calibri" w:hAnsi="Calibri"/>
          <w:color w:val="1E293B"/>
          <w:sz w:val="22"/>
        </w:rPr>
        <w:t xml:space="preserve"> audit table captures every prompt, every tool call, every output — even rejected ones — for full traceability.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Q5. "Can Shell take this over when Zensar's engagement ends?"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>Yes. The codebase, infrastructure-as-code (Bicep), CI/CD pipelines, runbooks, and on-call documentation are all Shell-owned and Shell-hosted from Day 1. Handover happens at the end of Week 3 with a 4-week defect-warranty period during which Zensar fixes P1/P2 issues; Shell IT Ops handles BAU from go-live and Zensar is on escalation only.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7. The five risks we have flagged for Shell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Detail in </w:t>
      </w:r>
      <w:r>
        <w:rPr>
          <w:rFonts w:ascii="Calibri" w:hAnsi="Calibri"/>
          <w:color w:val="0F5BA8"/>
          <w:sz w:val="22"/>
          <w:u w:val="single"/>
        </w:rPr>
        <w:t>§09</w:t>
      </w:r>
      <w:r>
        <w:rPr>
          <w:rFonts w:ascii="Calibri" w:hAnsi="Calibri"/>
          <w:color w:val="1E293B"/>
          <w:sz w:val="22"/>
        </w:rPr>
        <w:t>. Headlines:</w:t>
      </w:r>
    </w:p>
    <w:p>
      <w:pPr>
        <w:spacing w:after="60"/>
        <w:ind w:left="340"/>
      </w:pPr>
      <w:r>
        <w:rPr>
          <w:rFonts w:ascii="Calibri" w:hAnsi="Calibri"/>
          <w:b/>
          <w:color w:val="1E293B"/>
          <w:sz w:val="22"/>
        </w:rPr>
        <w:t>Entra ID app registration with `Mail.Send` + `Calendars.ReadWrite` (app-only)</w:t>
      </w:r>
      <w:r>
        <w:rPr>
          <w:rFonts w:ascii="Calibri" w:hAnsi="Calibri"/>
          <w:color w:val="1E293B"/>
          <w:sz w:val="22"/>
        </w:rPr>
        <w:t xml:space="preserve"> requires Shell admin consent and is high-privilege. Shell IT Security will want to review scopes, conditional-access posture, and the service account's mailbox access policy. </w:t>
      </w:r>
      <w:r>
        <w:rPr>
          <w:rFonts w:ascii="Calibri" w:hAnsi="Calibri"/>
          <w:b/>
          <w:color w:val="1E293B"/>
          <w:sz w:val="22"/>
        </w:rPr>
        <w:t>Long-lead-time approval (3–6 weeks). Must be complete during pre-mobilisation — admin consent in place on Day 1 is a non-negotiable day-zero prerequisite for the 3-week plan.</w:t>
      </w:r>
    </w:p>
    <w:p>
      <w:pPr>
        <w:spacing w:after="60"/>
        <w:ind w:left="340"/>
      </w:pPr>
      <w:r>
        <w:rPr>
          <w:rFonts w:ascii="Calibri" w:hAnsi="Calibri"/>
          <w:b/>
          <w:color w:val="1E293B"/>
          <w:sz w:val="22"/>
        </w:rPr>
        <w:t>LLM provider commercial relationship.</w:t>
      </w:r>
      <w:r>
        <w:rPr>
          <w:rFonts w:ascii="Calibri" w:hAnsi="Calibri"/>
          <w:color w:val="1E293B"/>
          <w:sz w:val="22"/>
        </w:rPr>
        <w:t xml:space="preserve"> Whether Shell procures Anthropic API directly or Azure OpenAI, there is a contract to put in place. Shell Procurement involvement from week 1.</w:t>
      </w:r>
    </w:p>
    <w:p>
      <w:pPr>
        <w:spacing w:after="60"/>
        <w:ind w:left="340"/>
      </w:pPr>
      <w:r>
        <w:rPr>
          <w:rFonts w:ascii="Calibri" w:hAnsi="Calibri"/>
          <w:b/>
          <w:color w:val="1E293B"/>
          <w:sz w:val="22"/>
        </w:rPr>
        <w:t>Vendor performance terminology and scorecard categories</w:t>
      </w:r>
      <w:r>
        <w:rPr>
          <w:rFonts w:ascii="Calibri" w:hAnsi="Calibri"/>
          <w:color w:val="1E293B"/>
          <w:sz w:val="22"/>
        </w:rPr>
        <w:t xml:space="preserve"> in the POC reflect a generic vendor model. Shell's actual scorecard taxonomy (Risk &amp; Compliance, Performance, Commercial, Relationship + sub-parameters) needs to be confirmed and locked early. </w:t>
      </w:r>
      <w:r>
        <w:rPr>
          <w:rFonts w:ascii="Calibri" w:hAnsi="Calibri"/>
          <w:b/>
          <w:color w:val="1E293B"/>
          <w:sz w:val="22"/>
        </w:rPr>
        <w:t>This shapes the data model.</w:t>
      </w:r>
    </w:p>
    <w:p>
      <w:pPr>
        <w:spacing w:after="60"/>
        <w:ind w:left="340"/>
      </w:pPr>
      <w:r>
        <w:rPr>
          <w:rFonts w:ascii="Calibri" w:hAnsi="Calibri"/>
          <w:b/>
          <w:color w:val="1E293B"/>
          <w:sz w:val="22"/>
        </w:rPr>
        <w:t>External attendees on Teams meetings.</w:t>
      </w:r>
      <w:r>
        <w:rPr>
          <w:rFonts w:ascii="Calibri" w:hAnsi="Calibri"/>
          <w:color w:val="1E293B"/>
          <w:sz w:val="22"/>
        </w:rPr>
        <w:t xml:space="preserve"> Shell's external collaboration policy may restrict guest-invite behaviour from a service mailbox. Needs Shell IT to confirm or carve out a policy.</w:t>
      </w:r>
    </w:p>
    <w:p>
      <w:pPr>
        <w:spacing w:after="60"/>
        <w:ind w:left="340"/>
      </w:pPr>
      <w:r>
        <w:rPr>
          <w:rFonts w:ascii="Calibri" w:hAnsi="Calibri"/>
          <w:b/>
          <w:color w:val="1E293B"/>
          <w:sz w:val="22"/>
        </w:rPr>
        <w:t>PII / sensitive data in `agent_runs` audit log.</w:t>
      </w:r>
      <w:r>
        <w:rPr>
          <w:rFonts w:ascii="Calibri" w:hAnsi="Calibri"/>
          <w:color w:val="1E293B"/>
          <w:sz w:val="22"/>
        </w:rPr>
        <w:t xml:space="preserve"> The audit captures full LLM prompts, which include vendor names and individual scorecard comments. </w:t>
      </w:r>
      <w:r>
        <w:rPr>
          <w:rFonts w:ascii="Calibri" w:hAnsi="Calibri"/>
          <w:b/>
          <w:color w:val="1E293B"/>
          <w:sz w:val="22"/>
        </w:rPr>
        <w:t>Retention policy and access controls on this table need Shell Privacy sign-off.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8. Decision points for Shell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>Before Day 1 of delivery, Shell needs to confirm the following. Most of these have a recommended answer from us; Shell can override. Any unresolved item at Day 1 forces a re-baseline conversation.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#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Decision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Our recommendation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Reason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D1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LLM provider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Anthropic Claude via Anthropic API</w:t>
            </w:r>
            <w:r>
              <w:rPr>
                <w:rFonts w:ascii="Calibri" w:hAnsi="Calibri"/>
                <w:color w:val="1E293B"/>
                <w:sz w:val="20"/>
              </w:rPr>
              <w:t>, with negotiated enterprise terms (no training, zero retention)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Best-in-class tool-calling reliability for the agentic pattern; the POC has been built and tuned against Claude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D2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Scorecard collection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Native in-app form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Removes external dependency; gives Shell control over the schema; better UX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D3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Hosting region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Azure West Europe</w:t>
            </w:r>
            <w:r>
              <w:rPr>
                <w:rFonts w:ascii="Calibri" w:hAnsi="Calibri"/>
                <w:color w:val="1E293B"/>
                <w:sz w:val="20"/>
              </w:rPr>
              <w:t xml:space="preserve"> (UK South as alternative)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Default Shell EMEA workload region; data residency in EU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D4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Service account model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Dedicated `vendorpulse-svc@shell.com` mailbox</w:t>
            </w:r>
            <w:r>
              <w:rPr>
                <w:rFonts w:ascii="Calibri" w:hAnsi="Calibri"/>
                <w:color w:val="1E293B"/>
                <w:sz w:val="20"/>
              </w:rPr>
              <w:t xml:space="preserve"> with app-only access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Audit-clean; survives staff turnover; isolated blast radius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D5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Database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Azure Database for PostgreSQL — Flexible Server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Managed; Shell-standard for stateful workloads; pgvector available for future embedding-based search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D6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Authentication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Entra ID OIDC</w:t>
            </w:r>
            <w:r>
              <w:rPr>
                <w:rFonts w:ascii="Calibri" w:hAnsi="Calibri"/>
                <w:color w:val="1E293B"/>
                <w:sz w:val="20"/>
              </w:rPr>
              <w:t xml:space="preserve"> with group-mapped roles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Shell-standard SSO; zero password management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D7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CI/CD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Azure DevOps</w:t>
            </w:r>
            <w:r>
              <w:rPr>
                <w:rFonts w:ascii="Calibri" w:hAnsi="Calibri"/>
                <w:color w:val="1E293B"/>
                <w:sz w:val="20"/>
              </w:rPr>
              <w:t xml:space="preserve"> (or Shell's GitHub Enterprise if preferred)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Shell-standard for application delivery</w:t>
            </w:r>
          </w:p>
        </w:tc>
      </w:tr>
    </w:tbl>
    <w:p/>
    <w:p>
      <w:pPr>
        <w:spacing w:after="120"/>
      </w:pPr>
      <w:r>
        <w:rPr>
          <w:rFonts w:ascii="Calibri" w:hAnsi="Calibri"/>
          <w:color w:val="1E293B"/>
          <w:sz w:val="22"/>
        </w:rPr>
        <w:t xml:space="preserve">We will request a decision workshop during pre-mobilisation (before Day 1) to lock these. The remaining items are confirmed at the </w:t>
      </w:r>
      <w:r>
        <w:rPr>
          <w:rFonts w:ascii="Calibri" w:hAnsi="Calibri"/>
          <w:b/>
          <w:color w:val="1E293B"/>
          <w:sz w:val="22"/>
        </w:rPr>
        <w:t>Day-2 design alignment checkpoint</w:t>
      </w:r>
      <w:r>
        <w:rPr>
          <w:rFonts w:ascii="Calibri" w:hAnsi="Calibri"/>
          <w:color w:val="1E293B"/>
          <w:sz w:val="22"/>
        </w:rPr>
        <w:t xml:space="preserve"> (see </w:t>
      </w:r>
      <w:r>
        <w:rPr>
          <w:rFonts w:ascii="Calibri" w:hAnsi="Calibri"/>
          <w:color w:val="0F5BA8"/>
          <w:sz w:val="22"/>
          <w:u w:val="single"/>
        </w:rPr>
        <w:t>§11 Productionization Roadmap</w:t>
      </w:r>
      <w:r>
        <w:rPr>
          <w:rFonts w:ascii="Calibri" w:hAnsi="Calibri"/>
          <w:color w:val="1E293B"/>
          <w:sz w:val="22"/>
        </w:rPr>
        <w:t>).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9. What we are NOT doing in this phase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>To keep scope honest: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Not building a Shell-wide vendor master integration.</w:t>
      </w:r>
      <w:r>
        <w:rPr>
          <w:rFonts w:ascii="Calibri" w:hAnsi="Calibri"/>
          <w:color w:val="1E293B"/>
          <w:sz w:val="22"/>
        </w:rPr>
        <w:t xml:space="preserve"> VendorPulse maintains its own vendor list, seeded from Shell-provided CSV/Excel for the pilot. A SAP Ariba / Coupa integration is a follow-on phase.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Not building a contract-management feature.</w:t>
      </w:r>
      <w:r>
        <w:rPr>
          <w:rFonts w:ascii="Calibri" w:hAnsi="Calibri"/>
          <w:color w:val="1E293B"/>
          <w:sz w:val="22"/>
        </w:rPr>
        <w:t xml:space="preserve"> VendorPulse references contract terms in the alignment/brief stage but does not store contracts.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Not building a finance / spend integration.</w:t>
      </w:r>
      <w:r>
        <w:rPr>
          <w:rFonts w:ascii="Calibri" w:hAnsi="Calibri"/>
          <w:color w:val="1E293B"/>
          <w:sz w:val="22"/>
        </w:rPr>
        <w:t xml:space="preserve"> Spend data is referenced manually in scorecards; an SAP integration is out of scope for the first release.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Not building a mobile app.</w:t>
      </w:r>
      <w:r>
        <w:rPr>
          <w:rFonts w:ascii="Calibri" w:hAnsi="Calibri"/>
          <w:color w:val="1E293B"/>
          <w:sz w:val="22"/>
        </w:rPr>
        <w:t xml:space="preserve"> Web-only, optimised for Shell's standard desktop browser stack.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Not multi-language at launch.</w:t>
      </w:r>
      <w:r>
        <w:rPr>
          <w:rFonts w:ascii="Calibri" w:hAnsi="Calibri"/>
          <w:color w:val="1E293B"/>
          <w:sz w:val="22"/>
        </w:rPr>
        <w:t xml:space="preserve"> English UI only; Phase 2 candidate.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10. Recommendation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Proceed with the engagement on the proposed phased plan. The architectural shift from POC to Shell production is </w:t>
      </w:r>
      <w:r>
        <w:rPr>
          <w:rFonts w:ascii="Calibri" w:hAnsi="Calibri"/>
          <w:b/>
          <w:color w:val="1E293B"/>
          <w:sz w:val="22"/>
        </w:rPr>
        <w:t>moderate, not radical</w:t>
      </w:r>
      <w:r>
        <w:rPr>
          <w:rFonts w:ascii="Calibri" w:hAnsi="Calibri"/>
          <w:color w:val="1E293B"/>
          <w:sz w:val="22"/>
        </w:rPr>
        <w:t xml:space="preserve"> — the workflow engine, agent pattern, and deterministic/AI separation are all production-suitable as designed. The work is concentrated in three areas: (a) </w:t>
      </w:r>
      <w:r>
        <w:rPr>
          <w:rFonts w:ascii="Calibri" w:hAnsi="Calibri"/>
          <w:b/>
          <w:color w:val="1E293B"/>
          <w:sz w:val="22"/>
        </w:rPr>
        <w:t>removing Gmail + Forms</w:t>
      </w:r>
      <w:r>
        <w:rPr>
          <w:rFonts w:ascii="Calibri" w:hAnsi="Calibri"/>
          <w:color w:val="1E293B"/>
          <w:sz w:val="22"/>
        </w:rPr>
        <w:t xml:space="preserve">, (b) </w:t>
      </w:r>
      <w:r>
        <w:rPr>
          <w:rFonts w:ascii="Calibri" w:hAnsi="Calibri"/>
          <w:b/>
          <w:color w:val="1E293B"/>
          <w:sz w:val="22"/>
        </w:rPr>
        <w:t>adding Entra ID + Key Vault + Postgres + App Service</w:t>
      </w:r>
      <w:r>
        <w:rPr>
          <w:rFonts w:ascii="Calibri" w:hAnsi="Calibri"/>
          <w:color w:val="1E293B"/>
          <w:sz w:val="22"/>
        </w:rPr>
        <w:t xml:space="preserve"> as the production substrate, and (c) </w:t>
      </w:r>
      <w:r>
        <w:rPr>
          <w:rFonts w:ascii="Calibri" w:hAnsi="Calibri"/>
          <w:b/>
          <w:color w:val="1E293B"/>
          <w:sz w:val="22"/>
        </w:rPr>
        <w:t>hardening for Shell-scale operations</w:t>
      </w:r>
      <w:r>
        <w:rPr>
          <w:rFonts w:ascii="Calibri" w:hAnsi="Calibri"/>
          <w:color w:val="1E293B"/>
          <w:sz w:val="22"/>
        </w:rPr>
        <w:t xml:space="preserve"> (observability, audit, on-call). All three are well-understood activities with no novel risk.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The two items that need the most attention from Shell's side are </w:t>
      </w:r>
      <w:r>
        <w:rPr>
          <w:rFonts w:ascii="Calibri" w:hAnsi="Calibri"/>
          <w:b/>
          <w:color w:val="1E293B"/>
          <w:sz w:val="22"/>
        </w:rPr>
        <w:t>Entra ID app registration approval</w:t>
      </w:r>
      <w:r>
        <w:rPr>
          <w:rFonts w:ascii="Calibri" w:hAnsi="Calibri"/>
          <w:color w:val="1E293B"/>
          <w:sz w:val="22"/>
        </w:rPr>
        <w:t xml:space="preserve"> and </w:t>
      </w:r>
      <w:r>
        <w:rPr>
          <w:rFonts w:ascii="Calibri" w:hAnsi="Calibri"/>
          <w:b/>
          <w:color w:val="1E293B"/>
          <w:sz w:val="22"/>
        </w:rPr>
        <w:t>LLM provider procurement</w:t>
      </w:r>
      <w:r>
        <w:rPr>
          <w:rFonts w:ascii="Calibri" w:hAnsi="Calibri"/>
          <w:color w:val="1E293B"/>
          <w:sz w:val="22"/>
        </w:rPr>
        <w:t>, both of which are long-lead-time items that must start at week 1.</w:t>
      </w:r>
    </w:p>
    <w:p>
      <w:pPr>
        <w:pBdr>
          <w:bottom w:val="single" w:sz="6" w:space="1" w:color="C7D0DD"/>
        </w:pBdr>
      </w:pPr>
    </w:p>
    <w:p>
      <w:pPr>
        <w:spacing w:after="120"/>
      </w:pPr>
      <w:r>
        <w:rPr>
          <w:rFonts w:ascii="Calibri" w:hAnsi="Calibri"/>
          <w:i/>
          <w:color w:val="1E293B"/>
          <w:sz w:val="22"/>
        </w:rPr>
        <w:t>Reviewed by Delivery Manager, Solution Architect, and VP — Zensar VendorPulse practice — 2026-06-03.</w:t>
      </w:r>
    </w:p>
    <w:sectPr w:rsidR="00FC693F" w:rsidRPr="0006063C" w:rsidSect="00034616">
      <w:footerReference w:type="default" r:id="rId9"/>
      <w:pgSz w:w="12240" w:h="15840"/>
      <w:pgMar w:top="1134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