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Calibri" w:hAnsi="Calibri"/>
          <w:b/>
          <w:color w:val="1B3A6F"/>
          <w:sz w:val="52"/>
        </w:rPr>
        <w:t>VendorPulse — Solution Architecture</w:t>
      </w:r>
    </w:p>
    <w:p>
      <w:r>
        <w:rPr>
          <w:rFonts w:ascii="Calibri" w:hAnsi="Calibri"/>
          <w:i/>
          <w:color w:val="64748B"/>
          <w:sz w:val="24"/>
        </w:rPr>
        <w:t>Shell engagement · Version 2.0 · 2026-06-03</w:t>
      </w:r>
    </w:p>
    <w:p>
      <w:pPr>
        <w:pBdr>
          <w:bottom w:val="single" w:sz="6" w:space="1" w:color="C7D0DD"/>
        </w:pBdr>
      </w:pPr>
    </w:p>
    <w:p>
      <w:pPr>
        <w:keepNext/>
        <w:spacing w:before="360" w:after="160"/>
      </w:pPr>
      <w:r>
        <w:rPr>
          <w:rFonts w:ascii="Calibri" w:hAnsi="Calibri"/>
          <w:b/>
          <w:color w:val="1B3A6F"/>
          <w:sz w:val="44"/>
        </w:rPr>
        <w:t>VendorPulse for Shell — Solution Architecture</w:t>
      </w:r>
    </w:p>
    <w:p>
      <w:pPr>
        <w:spacing w:before="120" w:after="160"/>
        <w:ind w:left="227"/>
        <w:shd w:val="clear" w:color="auto" w:fill="FFF8E7"/>
        <w:pBdr>
          <w:left w:val="single" w:sz="24" w:space="8" w:color="C99A06"/>
        </w:pBdr>
      </w:pPr>
      <w:r>
        <w:rPr>
          <w:rFonts w:ascii="Calibri" w:hAnsi="Calibri"/>
          <w:b/>
          <w:color w:val="1E293B"/>
          <w:sz w:val="22"/>
        </w:rPr>
        <w:t>Version:</w:t>
      </w:r>
      <w:r>
        <w:rPr>
          <w:rFonts w:ascii="Calibri" w:hAnsi="Calibri"/>
          <w:color w:val="1E293B"/>
          <w:sz w:val="22"/>
        </w:rPr>
        <w:t xml:space="preserve"> 2.0 | </w:t>
      </w:r>
      <w:r>
        <w:rPr>
          <w:rFonts w:ascii="Calibri" w:hAnsi="Calibri"/>
          <w:b/>
          <w:color w:val="1E293B"/>
          <w:sz w:val="22"/>
        </w:rPr>
        <w:t>Date:</w:t>
      </w:r>
      <w:r>
        <w:rPr>
          <w:rFonts w:ascii="Calibri" w:hAnsi="Calibri"/>
          <w:color w:val="1E293B"/>
          <w:sz w:val="22"/>
        </w:rPr>
        <w:t xml:space="preserve"> 2026-06-03 </w:t>
      </w:r>
      <w:r>
        <w:rPr>
          <w:rFonts w:ascii="Calibri" w:hAnsi="Calibri"/>
          <w:b/>
          <w:color w:val="1E293B"/>
          <w:sz w:val="22"/>
        </w:rPr>
        <w:t>Audience:</w:t>
      </w:r>
      <w:r>
        <w:rPr>
          <w:rFonts w:ascii="Calibri" w:hAnsi="Calibri"/>
          <w:color w:val="1E293B"/>
          <w:sz w:val="22"/>
        </w:rPr>
        <w:t xml:space="preserve"> Shell Enterprise Architect, Shell IT Architecture Review Board, Zensar Solution Architect </w:t>
      </w:r>
      <w:r>
        <w:rPr>
          <w:rFonts w:ascii="Calibri" w:hAnsi="Calibri"/>
          <w:b/>
          <w:color w:val="1E293B"/>
          <w:sz w:val="22"/>
        </w:rPr>
        <w:t>Status:</w:t>
      </w:r>
      <w:r>
        <w:rPr>
          <w:rFonts w:ascii="Calibri" w:hAnsi="Calibri"/>
          <w:color w:val="1E293B"/>
          <w:sz w:val="22"/>
        </w:rPr>
        <w:t xml:space="preserve"> For architecture review</w:t>
      </w:r>
    </w:p>
    <w:p>
      <w:pPr>
        <w:pBdr>
          <w:bottom w:val="single" w:sz="6" w:space="1" w:color="C7D0DD"/>
        </w:pBdr>
      </w:pPr>
    </w:p>
    <w:p>
      <w:pPr>
        <w:keepNext/>
        <w:spacing w:before="280" w:after="120"/>
      </w:pPr>
      <w:r>
        <w:rPr>
          <w:rFonts w:ascii="Calibri" w:hAnsi="Calibri"/>
          <w:b/>
          <w:color w:val="0F5BA8"/>
          <w:sz w:val="32"/>
        </w:rPr>
        <w:t>1. Architectural intent</w:t>
      </w:r>
    </w:p>
    <w:p>
      <w:pPr>
        <w:spacing w:after="120"/>
      </w:pPr>
      <w:r>
        <w:rPr>
          <w:rFonts w:ascii="Calibri" w:hAnsi="Calibri"/>
          <w:color w:val="1E293B"/>
          <w:sz w:val="22"/>
        </w:rPr>
        <w:t xml:space="preserve">VendorPulse is a </w:t>
      </w:r>
      <w:r>
        <w:rPr>
          <w:rFonts w:ascii="Calibri" w:hAnsi="Calibri"/>
          <w:b/>
          <w:color w:val="1E293B"/>
          <w:sz w:val="22"/>
        </w:rPr>
        <w:t>single-tenant, Shell-hosted, AI-assisted workflow application</w:t>
      </w:r>
      <w:r>
        <w:rPr>
          <w:rFonts w:ascii="Calibri" w:hAnsi="Calibri"/>
          <w:color w:val="1E293B"/>
          <w:sz w:val="22"/>
        </w:rPr>
        <w:t xml:space="preserve"> that orchestrates the end-to-end QBR vendor governance cycle. The architecture is intentionally </w:t>
      </w:r>
      <w:r>
        <w:rPr>
          <w:rFonts w:ascii="Calibri" w:hAnsi="Calibri"/>
          <w:b/>
          <w:color w:val="1E293B"/>
          <w:sz w:val="22"/>
        </w:rPr>
        <w:t>deterministic-first, AI-second</w:t>
      </w:r>
      <w:r>
        <w:rPr>
          <w:rFonts w:ascii="Calibri" w:hAnsi="Calibri"/>
          <w:color w:val="1E293B"/>
          <w:sz w:val="22"/>
        </w:rPr>
        <w:t xml:space="preserve">: every workflow transition, every score validation, every slot ranking, every audit record is governed by deterministic code. Claude is used </w:t>
      </w:r>
      <w:r>
        <w:rPr>
          <w:rFonts w:ascii="Calibri" w:hAnsi="Calibri"/>
          <w:b/>
          <w:color w:val="1E293B"/>
          <w:sz w:val="22"/>
        </w:rPr>
        <w:t>only</w:t>
      </w:r>
      <w:r>
        <w:rPr>
          <w:rFonts w:ascii="Calibri" w:hAnsi="Calibri"/>
          <w:color w:val="1E293B"/>
          <w:sz w:val="22"/>
        </w:rPr>
        <w:t xml:space="preserve"> to generate human-readable text (drafts, summaries, briefs, minutes) — and every piece of that text is held behind a human approval gate before any external communication occurs.</w:t>
      </w:r>
    </w:p>
    <w:p>
      <w:pPr>
        <w:spacing w:after="120"/>
      </w:pPr>
      <w:r>
        <w:rPr>
          <w:rFonts w:ascii="Calibri" w:hAnsi="Calibri"/>
          <w:color w:val="1E293B"/>
          <w:sz w:val="22"/>
        </w:rPr>
        <w:t xml:space="preserve">This is not a generative-AI product where the model is in charge. It is a </w:t>
      </w:r>
      <w:r>
        <w:rPr>
          <w:rFonts w:ascii="Calibri" w:hAnsi="Calibri"/>
          <w:b/>
          <w:color w:val="1E293B"/>
          <w:sz w:val="22"/>
        </w:rPr>
        <w:t>workflow product with structured AI assistance</w:t>
      </w:r>
      <w:r>
        <w:rPr>
          <w:rFonts w:ascii="Calibri" w:hAnsi="Calibri"/>
          <w:color w:val="1E293B"/>
          <w:sz w:val="22"/>
        </w:rPr>
        <w:t xml:space="preserve"> — the difference matters for Shell's risk posture.</w:t>
      </w:r>
    </w:p>
    <w:p>
      <w:pPr>
        <w:pBdr>
          <w:bottom w:val="single" w:sz="6" w:space="1" w:color="C7D0DD"/>
        </w:pBdr>
      </w:pPr>
    </w:p>
    <w:p>
      <w:pPr>
        <w:keepNext/>
        <w:spacing w:before="280" w:after="120"/>
      </w:pPr>
      <w:r>
        <w:rPr>
          <w:rFonts w:ascii="Calibri" w:hAnsi="Calibri"/>
          <w:b/>
          <w:color w:val="0F5BA8"/>
          <w:sz w:val="32"/>
        </w:rPr>
        <w:t>2. Deployment topology</w:t>
      </w:r>
    </w:p>
    <w:p>
      <w:pPr>
        <w:spacing w:before="80" w:after="160"/>
        <w:ind w:left="113"/>
        <w:shd w:val="clear" w:color="auto" w:fill="F1F3F6"/>
      </w:pPr>
      <w:r>
        <w:rPr>
          <w:rFonts w:ascii="Consolas" w:hAnsi="Consolas"/>
          <w:color w:val="334055"/>
          <w:sz w:val="19"/>
        </w:rPr>
        <w:t xml:space="preserve">                                  ┌───────────────────────────────────┐</w:t>
      </w:r>
      <w:r>
        <w:br/>
      </w:r>
      <w:r>
        <w:rPr>
          <w:rFonts w:ascii="Consolas" w:hAnsi="Consolas"/>
          <w:color w:val="334055"/>
          <w:sz w:val="19"/>
        </w:rPr>
        <w:t xml:space="preserve">                                  │     Shell Public DNS              │</w:t>
      </w:r>
      <w:r>
        <w:br/>
      </w:r>
      <w:r>
        <w:rPr>
          <w:rFonts w:ascii="Consolas" w:hAnsi="Consolas"/>
          <w:color w:val="334055"/>
          <w:sz w:val="19"/>
        </w:rPr>
        <w:t xml:space="preserve">                                  │  vendorpulse.it.shell.com         │</w:t>
      </w:r>
      <w:r>
        <w:br/>
      </w:r>
      <w:r>
        <w:rPr>
          <w:rFonts w:ascii="Consolas" w:hAnsi="Consolas"/>
          <w:color w:val="334055"/>
          <w:sz w:val="19"/>
        </w:rPr>
        <w:t xml:space="preserve">                                  └────────────┬──────────────────────┘</w:t>
      </w:r>
      <w:r>
        <w:br/>
      </w:r>
      <w:r>
        <w:rPr>
          <w:rFonts w:ascii="Consolas" w:hAnsi="Consolas"/>
          <w:color w:val="334055"/>
          <w:sz w:val="19"/>
        </w:rPr>
        <w:t xml:space="preserve">                                               │ HTTPS (TLS 1.2+)</w:t>
      </w:r>
      <w:r>
        <w:br/>
      </w:r>
      <w:r>
        <w:rPr>
          <w:rFonts w:ascii="Consolas" w:hAnsi="Consolas"/>
          <w:color w:val="334055"/>
          <w:sz w:val="19"/>
        </w:rPr>
        <w:t xml:space="preserve">                                               │</w:t>
      </w:r>
      <w:r>
        <w:br/>
      </w:r>
      <w:r>
        <w:rPr>
          <w:rFonts w:ascii="Consolas" w:hAnsi="Consolas"/>
          <w:color w:val="334055"/>
          <w:sz w:val="19"/>
        </w:rPr>
        <w:t xml:space="preserve">        ┌──────────────────────────────────────▼──────────────────────────────────────┐</w:t>
      </w:r>
      <w:r>
        <w:br/>
      </w:r>
      <w:r>
        <w:rPr>
          <w:rFonts w:ascii="Consolas" w:hAnsi="Consolas"/>
          <w:color w:val="334055"/>
          <w:sz w:val="19"/>
        </w:rPr>
        <w:t xml:space="preserve">        │                  Shell Azure Subscription (region: West Europe)              │</w:t>
      </w:r>
      <w:r>
        <w:br/>
      </w:r>
      <w:r>
        <w:rPr>
          <w:rFonts w:ascii="Consolas" w:hAnsi="Consolas"/>
          <w:color w:val="334055"/>
          <w:sz w:val="19"/>
        </w:rPr>
        <w:t xml:space="preserve">        │                                                                              │</w:t>
      </w:r>
      <w:r>
        <w:br/>
      </w:r>
      <w:r>
        <w:rPr>
          <w:rFonts w:ascii="Consolas" w:hAnsi="Consolas"/>
          <w:color w:val="334055"/>
          <w:sz w:val="19"/>
        </w:rPr>
        <w:t xml:space="preserve">        │  ┌──────────────────┐    ┌─────────────────────────────────────────────────┐ │</w:t>
      </w:r>
      <w:r>
        <w:br/>
      </w:r>
      <w:r>
        <w:rPr>
          <w:rFonts w:ascii="Consolas" w:hAnsi="Consolas"/>
          <w:color w:val="334055"/>
          <w:sz w:val="19"/>
        </w:rPr>
        <w:t xml:space="preserve">        │  │  Azure Front Door │───►│   Azure App Service (Linux containers)         │ │</w:t>
      </w:r>
      <w:r>
        <w:br/>
      </w:r>
      <w:r>
        <w:rPr>
          <w:rFonts w:ascii="Consolas" w:hAnsi="Consolas"/>
          <w:color w:val="334055"/>
          <w:sz w:val="19"/>
        </w:rPr>
        <w:t xml:space="preserve">        │  │  (WAF + caching)  │    │   ┌─────────────────────┐                      │ │</w:t>
      </w:r>
      <w:r>
        <w:br/>
      </w:r>
      <w:r>
        <w:rPr>
          <w:rFonts w:ascii="Consolas" w:hAnsi="Consolas"/>
          <w:color w:val="334055"/>
          <w:sz w:val="19"/>
        </w:rPr>
        <w:t xml:space="preserve">        │  └──────────────────┘    │   │ Frontend (React SPA) │ (static, served from │ │</w:t>
      </w:r>
      <w:r>
        <w:br/>
      </w:r>
      <w:r>
        <w:rPr>
          <w:rFonts w:ascii="Consolas" w:hAnsi="Consolas"/>
          <w:color w:val="334055"/>
          <w:sz w:val="19"/>
        </w:rPr>
        <w:t xml:space="preserve">        │                          │   │   served via nginx   │  same app or CDN)    │ │</w:t>
      </w:r>
      <w:r>
        <w:br/>
      </w:r>
      <w:r>
        <w:rPr>
          <w:rFonts w:ascii="Consolas" w:hAnsi="Consolas"/>
          <w:color w:val="334055"/>
          <w:sz w:val="19"/>
        </w:rPr>
        <w:t xml:space="preserve">        │                          │   └──────────┬──────────┘                       │ │</w:t>
      </w:r>
      <w:r>
        <w:br/>
      </w:r>
      <w:r>
        <w:rPr>
          <w:rFonts w:ascii="Consolas" w:hAnsi="Consolas"/>
          <w:color w:val="334055"/>
          <w:sz w:val="19"/>
        </w:rPr>
        <w:t xml:space="preserve">        │                          │              │                                  │ │</w:t>
      </w:r>
      <w:r>
        <w:br/>
      </w:r>
      <w:r>
        <w:rPr>
          <w:rFonts w:ascii="Consolas" w:hAnsi="Consolas"/>
          <w:color w:val="334055"/>
          <w:sz w:val="19"/>
        </w:rPr>
        <w:t xml:space="preserve">        │                          │   ┌──────────▼──────────┐                       │ │</w:t>
      </w:r>
      <w:r>
        <w:br/>
      </w:r>
      <w:r>
        <w:rPr>
          <w:rFonts w:ascii="Consolas" w:hAnsi="Consolas"/>
          <w:color w:val="334055"/>
          <w:sz w:val="19"/>
        </w:rPr>
        <w:t xml:space="preserve">        │                          │   │ FastAPI backend     │                       │ │</w:t>
      </w:r>
      <w:r>
        <w:br/>
      </w:r>
      <w:r>
        <w:rPr>
          <w:rFonts w:ascii="Consolas" w:hAnsi="Consolas"/>
          <w:color w:val="334055"/>
          <w:sz w:val="19"/>
        </w:rPr>
        <w:t xml:space="preserve">        │                          │   │ (Python 3.11 +      │                       │ │</w:t>
      </w:r>
      <w:r>
        <w:br/>
      </w:r>
      <w:r>
        <w:rPr>
          <w:rFonts w:ascii="Consolas" w:hAnsi="Consolas"/>
          <w:color w:val="334055"/>
          <w:sz w:val="19"/>
        </w:rPr>
        <w:t xml:space="preserve">        │                          │   │  uvicorn workers)   │                       │ │</w:t>
      </w:r>
      <w:r>
        <w:br/>
      </w:r>
      <w:r>
        <w:rPr>
          <w:rFonts w:ascii="Consolas" w:hAnsi="Consolas"/>
          <w:color w:val="334055"/>
          <w:sz w:val="19"/>
        </w:rPr>
        <w:t xml:space="preserve">        │                          │   └──────────┬──────────┘                       │ │</w:t>
      </w:r>
      <w:r>
        <w:br/>
      </w:r>
      <w:r>
        <w:rPr>
          <w:rFonts w:ascii="Consolas" w:hAnsi="Consolas"/>
          <w:color w:val="334055"/>
          <w:sz w:val="19"/>
        </w:rPr>
        <w:t xml:space="preserve">        │                          └──────────────┼──────────────────────────────────┘ │</w:t>
      </w:r>
      <w:r>
        <w:br/>
      </w:r>
      <w:r>
        <w:rPr>
          <w:rFonts w:ascii="Consolas" w:hAnsi="Consolas"/>
          <w:color w:val="334055"/>
          <w:sz w:val="19"/>
        </w:rPr>
        <w:t xml:space="preserve">        │                                         │                                    │</w:t>
      </w:r>
      <w:r>
        <w:br/>
      </w:r>
      <w:r>
        <w:rPr>
          <w:rFonts w:ascii="Consolas" w:hAnsi="Consolas"/>
          <w:color w:val="334055"/>
          <w:sz w:val="19"/>
        </w:rPr>
        <w:t xml:space="preserve">        │              ┌──────────────────────────┼──────────────────────────────────┐ │</w:t>
      </w:r>
      <w:r>
        <w:br/>
      </w:r>
      <w:r>
        <w:rPr>
          <w:rFonts w:ascii="Consolas" w:hAnsi="Consolas"/>
          <w:color w:val="334055"/>
          <w:sz w:val="19"/>
        </w:rPr>
        <w:t xml:space="preserve">        │              │                          │ Managed Identity                 │ │</w:t>
      </w:r>
      <w:r>
        <w:br/>
      </w:r>
      <w:r>
        <w:rPr>
          <w:rFonts w:ascii="Consolas" w:hAnsi="Consolas"/>
          <w:color w:val="334055"/>
          <w:sz w:val="19"/>
        </w:rPr>
        <w:t xml:space="preserve">        │              │                          │ (no secrets in code)             │ │</w:t>
      </w:r>
      <w:r>
        <w:br/>
      </w:r>
      <w:r>
        <w:rPr>
          <w:rFonts w:ascii="Consolas" w:hAnsi="Consolas"/>
          <w:color w:val="334055"/>
          <w:sz w:val="19"/>
        </w:rPr>
        <w:t xml:space="preserve">        │              ▼                          ▼                                  │ │</w:t>
      </w:r>
      <w:r>
        <w:br/>
      </w:r>
      <w:r>
        <w:rPr>
          <w:rFonts w:ascii="Consolas" w:hAnsi="Consolas"/>
          <w:color w:val="334055"/>
          <w:sz w:val="19"/>
        </w:rPr>
        <w:t xml:space="preserve">        │     ┌─────────────────┐      ┌──────────────────┐    ┌──────────────────┐ │ │</w:t>
      </w:r>
      <w:r>
        <w:br/>
      </w:r>
      <w:r>
        <w:rPr>
          <w:rFonts w:ascii="Consolas" w:hAnsi="Consolas"/>
          <w:color w:val="334055"/>
          <w:sz w:val="19"/>
        </w:rPr>
        <w:t xml:space="preserve">        │     │ Azure Key Vault │      │ Azure Postgres   │    │ App Insights +   │ │ │</w:t>
      </w:r>
      <w:r>
        <w:br/>
      </w:r>
      <w:r>
        <w:rPr>
          <w:rFonts w:ascii="Consolas" w:hAnsi="Consolas"/>
          <w:color w:val="334055"/>
          <w:sz w:val="19"/>
        </w:rPr>
        <w:t xml:space="preserve">        │     │ - LLM API key   │      │ Flexible Server  │    │ Log Analytics    │ │ │</w:t>
      </w:r>
      <w:r>
        <w:br/>
      </w:r>
      <w:r>
        <w:rPr>
          <w:rFonts w:ascii="Consolas" w:hAnsi="Consolas"/>
          <w:color w:val="334055"/>
          <w:sz w:val="19"/>
        </w:rPr>
        <w:t xml:space="preserve">        │     │ - Graph cert    │      │ (Private Link)   │    │ Workspace        │ │ │</w:t>
      </w:r>
      <w:r>
        <w:br/>
      </w:r>
      <w:r>
        <w:rPr>
          <w:rFonts w:ascii="Consolas" w:hAnsi="Consolas"/>
          <w:color w:val="334055"/>
          <w:sz w:val="19"/>
        </w:rPr>
        <w:t xml:space="preserve">        │     └─────────────────┘      └──────────────────┘    └──────────────────┘ │ │</w:t>
      </w:r>
      <w:r>
        <w:br/>
      </w:r>
      <w:r>
        <w:rPr>
          <w:rFonts w:ascii="Consolas" w:hAnsi="Consolas"/>
          <w:color w:val="334055"/>
          <w:sz w:val="19"/>
        </w:rPr>
        <w:t xml:space="preserve">        │              │                                                              │ │</w:t>
      </w:r>
      <w:r>
        <w:br/>
      </w:r>
      <w:r>
        <w:rPr>
          <w:rFonts w:ascii="Consolas" w:hAnsi="Consolas"/>
          <w:color w:val="334055"/>
          <w:sz w:val="19"/>
        </w:rPr>
        <w:t xml:space="preserve">        └──────────────┼──────────────────────────────────────────────────────────────┘</w:t>
      </w:r>
      <w:r>
        <w:br/>
      </w:r>
      <w:r>
        <w:rPr>
          <w:rFonts w:ascii="Consolas" w:hAnsi="Consolas"/>
          <w:color w:val="334055"/>
          <w:sz w:val="19"/>
        </w:rPr>
        <w:t xml:space="preserve">                       │</w:t>
      </w:r>
      <w:r>
        <w:br/>
      </w:r>
      <w:r>
        <w:rPr>
          <w:rFonts w:ascii="Consolas" w:hAnsi="Consolas"/>
          <w:color w:val="334055"/>
          <w:sz w:val="19"/>
        </w:rPr>
        <w:t xml:space="preserve">                       │ Outbound HTTPS (via Shell egress proxy if mandated)</w:t>
      </w:r>
      <w:r>
        <w:br/>
      </w:r>
      <w:r>
        <w:rPr>
          <w:rFonts w:ascii="Consolas" w:hAnsi="Consolas"/>
          <w:color w:val="334055"/>
          <w:sz w:val="19"/>
        </w:rPr>
        <w:t xml:space="preserve">                       │</w:t>
      </w:r>
      <w:r>
        <w:br/>
      </w:r>
      <w:r>
        <w:rPr>
          <w:rFonts w:ascii="Consolas" w:hAnsi="Consolas"/>
          <w:color w:val="334055"/>
          <w:sz w:val="19"/>
        </w:rPr>
        <w:t xml:space="preserve">    ┌──────────────────┼─────────────────────────────────────┐</w:t>
      </w:r>
      <w:r>
        <w:br/>
      </w:r>
      <w:r>
        <w:rPr>
          <w:rFonts w:ascii="Consolas" w:hAnsi="Consolas"/>
          <w:color w:val="334055"/>
          <w:sz w:val="19"/>
        </w:rPr>
        <w:t xml:space="preserve">    │                  │                                      │</w:t>
      </w:r>
      <w:r>
        <w:br/>
      </w:r>
      <w:r>
        <w:rPr>
          <w:rFonts w:ascii="Consolas" w:hAnsi="Consolas"/>
          <w:color w:val="334055"/>
          <w:sz w:val="19"/>
        </w:rPr>
        <w:t xml:space="preserve">    ▼                  ▼                                      ▼</w:t>
      </w:r>
      <w:r>
        <w:br/>
      </w:r>
      <w:r>
        <w:rPr>
          <w:rFonts w:ascii="Consolas" w:hAnsi="Consolas"/>
          <w:color w:val="334055"/>
          <w:sz w:val="19"/>
        </w:rPr>
        <w:t>┌──────────────┐  ┌──────────────────────┐  ┌──────────────────────────────────┐</w:t>
      </w:r>
      <w:r>
        <w:br/>
      </w:r>
      <w:r>
        <w:rPr>
          <w:rFonts w:ascii="Consolas" w:hAnsi="Consolas"/>
          <w:color w:val="334055"/>
          <w:sz w:val="19"/>
        </w:rPr>
        <w:t>│ Microsoft    │  │  Microsoft Graph      │  │  Anthropic Claude API            │</w:t>
      </w:r>
      <w:r>
        <w:br/>
      </w:r>
      <w:r>
        <w:rPr>
          <w:rFonts w:ascii="Consolas" w:hAnsi="Consolas"/>
          <w:color w:val="334055"/>
          <w:sz w:val="19"/>
        </w:rPr>
        <w:t>│ Entra ID     │  │  (Shell tenant)       │  │  (or Azure OpenAI — see §08)     │</w:t>
      </w:r>
      <w:r>
        <w:br/>
      </w:r>
      <w:r>
        <w:rPr>
          <w:rFonts w:ascii="Consolas" w:hAnsi="Consolas"/>
          <w:color w:val="334055"/>
          <w:sz w:val="19"/>
        </w:rPr>
        <w:t>│ (Shell SSO)  │  │  • Mail.Send (app)    │  │  - Bedrock not in scope          │</w:t>
      </w:r>
      <w:r>
        <w:br/>
      </w:r>
      <w:r>
        <w:rPr>
          <w:rFonts w:ascii="Consolas" w:hAnsi="Consolas"/>
          <w:color w:val="334055"/>
          <w:sz w:val="19"/>
        </w:rPr>
        <w:t>│              │  │  • Calendars.RW (app) │  │  - Outbound only; no callbacks   │</w:t>
      </w:r>
      <w:r>
        <w:br/>
      </w:r>
      <w:r>
        <w:rPr>
          <w:rFonts w:ascii="Consolas" w:hAnsi="Consolas"/>
          <w:color w:val="334055"/>
          <w:sz w:val="19"/>
        </w:rPr>
        <w:t>│              │  │  • OnlineMtgs (app)   │  │                                  │</w:t>
      </w:r>
      <w:r>
        <w:br/>
      </w:r>
      <w:r>
        <w:rPr>
          <w:rFonts w:ascii="Consolas" w:hAnsi="Consolas"/>
          <w:color w:val="334055"/>
          <w:sz w:val="19"/>
        </w:rPr>
        <w:t>│              │  │  • User.Read.All      │  │                                  │</w:t>
      </w:r>
      <w:r>
        <w:br/>
      </w:r>
      <w:r>
        <w:rPr>
          <w:rFonts w:ascii="Consolas" w:hAnsi="Consolas"/>
          <w:color w:val="334055"/>
          <w:sz w:val="19"/>
        </w:rPr>
        <w:t>└──────────────┘  └──────────────────────┘  └──────────────────────────────────┘</w:t>
      </w:r>
    </w:p>
    <w:p>
      <w:pPr>
        <w:keepNext/>
        <w:spacing w:before="200" w:after="80"/>
      </w:pPr>
      <w:r>
        <w:rPr>
          <w:rFonts w:ascii="Calibri" w:hAnsi="Calibri"/>
          <w:b/>
          <w:color w:val="0B808C"/>
          <w:sz w:val="26"/>
        </w:rPr>
        <w:t>2.1 Network posture</w:t>
      </w:r>
    </w:p>
    <w:p>
      <w:pPr>
        <w:spacing w:after="60"/>
        <w:ind w:left="340"/>
      </w:pPr>
      <w:r>
        <w:rPr>
          <w:b/>
          <w:color w:val="0F5BA8"/>
        </w:rPr>
        <w:t xml:space="preserve">• </w:t>
      </w:r>
      <w:r>
        <w:rPr>
          <w:rFonts w:ascii="Calibri" w:hAnsi="Calibri"/>
          <w:b/>
          <w:color w:val="1E293B"/>
          <w:sz w:val="22"/>
        </w:rPr>
        <w:t>Inbound:</w:t>
      </w:r>
      <w:r>
        <w:rPr>
          <w:rFonts w:ascii="Calibri" w:hAnsi="Calibri"/>
          <w:color w:val="1E293B"/>
          <w:sz w:val="22"/>
        </w:rPr>
        <w:t xml:space="preserve"> Azure Front Door provides WAF + TLS termination. Origin lock so App Service is only reachable from Front Door (Service Tag restriction).</w:t>
      </w:r>
    </w:p>
    <w:p>
      <w:pPr>
        <w:spacing w:after="60"/>
        <w:ind w:left="340"/>
      </w:pPr>
      <w:r>
        <w:rPr>
          <w:b/>
          <w:color w:val="0F5BA8"/>
        </w:rPr>
        <w:t xml:space="preserve">• </w:t>
      </w:r>
      <w:r>
        <w:rPr>
          <w:rFonts w:ascii="Calibri" w:hAnsi="Calibri"/>
          <w:b/>
          <w:color w:val="1E293B"/>
          <w:sz w:val="22"/>
        </w:rPr>
        <w:t>Postgres:</w:t>
      </w:r>
      <w:r>
        <w:rPr>
          <w:rFonts w:ascii="Calibri" w:hAnsi="Calibri"/>
          <w:color w:val="1E293B"/>
          <w:sz w:val="22"/>
        </w:rPr>
        <w:t xml:space="preserve"> Reached over Private Endpoint inside the App Service VNet integration. Public network access disabled.</w:t>
      </w:r>
    </w:p>
    <w:p>
      <w:pPr>
        <w:spacing w:after="60"/>
        <w:ind w:left="340"/>
      </w:pPr>
      <w:r>
        <w:rPr>
          <w:b/>
          <w:color w:val="0F5BA8"/>
        </w:rPr>
        <w:t xml:space="preserve">• </w:t>
      </w:r>
      <w:r>
        <w:rPr>
          <w:rFonts w:ascii="Calibri" w:hAnsi="Calibri"/>
          <w:b/>
          <w:color w:val="1E293B"/>
          <w:sz w:val="22"/>
        </w:rPr>
        <w:t>Key Vault:</w:t>
      </w:r>
      <w:r>
        <w:rPr>
          <w:rFonts w:ascii="Calibri" w:hAnsi="Calibri"/>
          <w:color w:val="1E293B"/>
          <w:sz w:val="22"/>
        </w:rPr>
        <w:t xml:space="preserve"> Reached over Private Endpoint. Managed identity from App Service is the only principal granted </w:t>
      </w:r>
      <w:r>
        <w:rPr>
          <w:rFonts w:ascii="Consolas" w:hAnsi="Consolas"/>
          <w:color w:val="334055"/>
          <w:sz w:val="20"/>
          <w:shd w:val="clear" w:color="auto" w:fill="F1F3F6"/>
        </w:rPr>
        <w:t>get</w:t>
      </w:r>
      <w:r>
        <w:rPr>
          <w:rFonts w:ascii="Calibri" w:hAnsi="Calibri"/>
          <w:color w:val="1E293B"/>
          <w:sz w:val="22"/>
        </w:rPr>
        <w:t xml:space="preserve"> on secrets.</w:t>
      </w:r>
    </w:p>
    <w:p>
      <w:pPr>
        <w:spacing w:after="60"/>
        <w:ind w:left="340"/>
      </w:pPr>
      <w:r>
        <w:rPr>
          <w:b/>
          <w:color w:val="0F5BA8"/>
        </w:rPr>
        <w:t xml:space="preserve">• </w:t>
      </w:r>
      <w:r>
        <w:rPr>
          <w:rFonts w:ascii="Calibri" w:hAnsi="Calibri"/>
          <w:b/>
          <w:color w:val="1E293B"/>
          <w:sz w:val="22"/>
        </w:rPr>
        <w:t>Outbound to Graph and Anthropic:</w:t>
      </w:r>
      <w:r>
        <w:rPr>
          <w:rFonts w:ascii="Calibri" w:hAnsi="Calibri"/>
          <w:color w:val="1E293B"/>
          <w:sz w:val="22"/>
        </w:rPr>
        <w:t xml:space="preserve"> Routed through Shell's standard egress proxy if Shell IT mandates explicit egress control. Otherwise direct over the App Service outbound IPs (which can be added to allowlists).</w:t>
      </w:r>
    </w:p>
    <w:p>
      <w:pPr>
        <w:spacing w:after="60"/>
        <w:ind w:left="340"/>
      </w:pPr>
      <w:r>
        <w:rPr>
          <w:b/>
          <w:color w:val="0F5BA8"/>
        </w:rPr>
        <w:t xml:space="preserve">• </w:t>
      </w:r>
      <w:r>
        <w:rPr>
          <w:rFonts w:ascii="Calibri" w:hAnsi="Calibri"/>
          <w:b/>
          <w:color w:val="1E293B"/>
          <w:sz w:val="22"/>
        </w:rPr>
        <w:t>No public ingress</w:t>
      </w:r>
      <w:r>
        <w:rPr>
          <w:rFonts w:ascii="Calibri" w:hAnsi="Calibri"/>
          <w:color w:val="1E293B"/>
          <w:sz w:val="22"/>
        </w:rPr>
        <w:t xml:space="preserve"> to any component other than Front Door.</w:t>
      </w:r>
    </w:p>
    <w:p>
      <w:pPr>
        <w:keepNext/>
        <w:spacing w:before="200" w:after="80"/>
      </w:pPr>
      <w:r>
        <w:rPr>
          <w:rFonts w:ascii="Calibri" w:hAnsi="Calibri"/>
          <w:b/>
          <w:color w:val="0B808C"/>
          <w:sz w:val="26"/>
        </w:rPr>
        <w:t>2.2 Why App Service (not AKS, not Container Apps)</w:t>
      </w:r>
    </w:p>
    <w:p>
      <w:pPr>
        <w:spacing w:after="60"/>
        <w:ind w:left="340"/>
      </w:pPr>
      <w:r>
        <w:rPr>
          <w:b/>
          <w:color w:val="0F5BA8"/>
        </w:rPr>
        <w:t xml:space="preserve">• </w:t>
      </w:r>
      <w:r>
        <w:rPr>
          <w:rFonts w:ascii="Calibri" w:hAnsi="Calibri"/>
          <w:b/>
          <w:color w:val="1E293B"/>
          <w:sz w:val="22"/>
        </w:rPr>
        <w:t>App Service Linux containers</w:t>
      </w:r>
      <w:r>
        <w:rPr>
          <w:rFonts w:ascii="Calibri" w:hAnsi="Calibri"/>
          <w:color w:val="1E293B"/>
          <w:sz w:val="22"/>
        </w:rPr>
        <w:t xml:space="preserve"> is the simplest managed platform that satisfies Shell's standard hosting choices and gives us: HTTPS termination, managed identity, VNet integration, Key Vault + Postgres private connectivity, deployment slots for zero-downtime release, autoscale, and built-in App Insights agent.</w:t>
      </w:r>
    </w:p>
    <w:p>
      <w:pPr>
        <w:spacing w:after="60"/>
        <w:ind w:left="340"/>
      </w:pPr>
      <w:r>
        <w:rPr>
          <w:b/>
          <w:color w:val="0F5BA8"/>
        </w:rPr>
        <w:t xml:space="preserve">• </w:t>
      </w:r>
      <w:r>
        <w:rPr>
          <w:rFonts w:ascii="Calibri" w:hAnsi="Calibri"/>
          <w:b/>
          <w:color w:val="1E293B"/>
          <w:sz w:val="22"/>
        </w:rPr>
        <w:t>AKS</w:t>
      </w:r>
      <w:r>
        <w:rPr>
          <w:rFonts w:ascii="Calibri" w:hAnsi="Calibri"/>
          <w:color w:val="1E293B"/>
          <w:sz w:val="22"/>
        </w:rPr>
        <w:t xml:space="preserve"> is over-engineered for a single workload of this size. Adds Kubernetes operational overhead that does not pay off.</w:t>
      </w:r>
    </w:p>
    <w:p>
      <w:pPr>
        <w:spacing w:after="60"/>
        <w:ind w:left="340"/>
      </w:pPr>
      <w:r>
        <w:rPr>
          <w:b/>
          <w:color w:val="0F5BA8"/>
        </w:rPr>
        <w:t xml:space="preserve">• </w:t>
      </w:r>
      <w:r>
        <w:rPr>
          <w:rFonts w:ascii="Calibri" w:hAnsi="Calibri"/>
          <w:b/>
          <w:color w:val="1E293B"/>
          <w:sz w:val="22"/>
        </w:rPr>
        <w:t>Container Apps</w:t>
      </w:r>
      <w:r>
        <w:rPr>
          <w:rFonts w:ascii="Calibri" w:hAnsi="Calibri"/>
          <w:color w:val="1E293B"/>
          <w:sz w:val="22"/>
        </w:rPr>
        <w:t xml:space="preserve"> is a viable alternative if Shell prefers KEDA-style scale-to-zero economics. Equivalent design effort, slightly less mature than App Service for SSO + Private Link patterns.</w:t>
      </w:r>
    </w:p>
    <w:p>
      <w:pPr>
        <w:spacing w:after="120"/>
      </w:pPr>
      <w:r>
        <w:rPr>
          <w:rFonts w:ascii="Calibri" w:hAnsi="Calibri"/>
          <w:color w:val="1E293B"/>
          <w:sz w:val="22"/>
        </w:rPr>
        <w:t>Open for Shell to override if their hosting standards mandate a different runtime.</w:t>
      </w:r>
    </w:p>
    <w:p>
      <w:pPr>
        <w:pBdr>
          <w:bottom w:val="single" w:sz="6" w:space="1" w:color="C7D0DD"/>
        </w:pBdr>
      </w:pPr>
    </w:p>
    <w:p>
      <w:pPr>
        <w:keepNext/>
        <w:spacing w:before="280" w:after="120"/>
      </w:pPr>
      <w:r>
        <w:rPr>
          <w:rFonts w:ascii="Calibri" w:hAnsi="Calibri"/>
          <w:b/>
          <w:color w:val="0F5BA8"/>
          <w:sz w:val="32"/>
        </w:rPr>
        <w:t>3. Identity and access</w:t>
      </w:r>
    </w:p>
    <w:p>
      <w:pPr>
        <w:keepNext/>
        <w:spacing w:before="200" w:after="80"/>
      </w:pPr>
      <w:r>
        <w:rPr>
          <w:rFonts w:ascii="Calibri" w:hAnsi="Calibri"/>
          <w:b/>
          <w:color w:val="0B808C"/>
          <w:sz w:val="26"/>
        </w:rPr>
        <w:t>3.1 End-user authentication</w:t>
      </w:r>
    </w:p>
    <w:p>
      <w:pPr>
        <w:spacing w:before="80" w:after="160"/>
        <w:ind w:left="113"/>
        <w:shd w:val="clear" w:color="auto" w:fill="F1F3F6"/>
      </w:pPr>
      <w:r>
        <w:rPr>
          <w:rFonts w:ascii="Consolas" w:hAnsi="Consolas"/>
          <w:color w:val="334055"/>
          <w:sz w:val="19"/>
        </w:rPr>
        <w:t>User browser → Front Door → App Service</w:t>
      </w:r>
      <w:r>
        <w:br/>
      </w:r>
      <w:r>
        <w:rPr>
          <w:rFonts w:ascii="Consolas" w:hAnsi="Consolas"/>
          <w:color w:val="334055"/>
          <w:sz w:val="19"/>
        </w:rPr>
        <w:t xml:space="preserve">                                │</w:t>
      </w:r>
      <w:r>
        <w:br/>
      </w:r>
      <w:r>
        <w:rPr>
          <w:rFonts w:ascii="Consolas" w:hAnsi="Consolas"/>
          <w:color w:val="334055"/>
          <w:sz w:val="19"/>
        </w:rPr>
        <w:t xml:space="preserve">                                │ 1. App Service detects no session</w:t>
      </w:r>
      <w:r>
        <w:br/>
      </w:r>
      <w:r>
        <w:rPr>
          <w:rFonts w:ascii="Consolas" w:hAnsi="Consolas"/>
          <w:color w:val="334055"/>
          <w:sz w:val="19"/>
        </w:rPr>
        <w:t xml:space="preserve">                                │</w:t>
      </w:r>
      <w:r>
        <w:br/>
      </w:r>
      <w:r>
        <w:rPr>
          <w:rFonts w:ascii="Consolas" w:hAnsi="Consolas"/>
          <w:color w:val="334055"/>
          <w:sz w:val="19"/>
        </w:rPr>
        <w:t xml:space="preserve">                                ▼</w:t>
      </w:r>
      <w:r>
        <w:br/>
      </w:r>
      <w:r>
        <w:rPr>
          <w:rFonts w:ascii="Consolas" w:hAnsi="Consolas"/>
          <w:color w:val="334055"/>
          <w:sz w:val="19"/>
        </w:rPr>
        <w:t xml:space="preserve">                    Redirect to Entra ID (OIDC)</w:t>
      </w:r>
      <w:r>
        <w:br/>
      </w:r>
      <w:r>
        <w:rPr>
          <w:rFonts w:ascii="Consolas" w:hAnsi="Consolas"/>
          <w:color w:val="334055"/>
          <w:sz w:val="19"/>
        </w:rPr>
        <w:t xml:space="preserve">                                │</w:t>
      </w:r>
      <w:r>
        <w:br/>
      </w:r>
      <w:r>
        <w:rPr>
          <w:rFonts w:ascii="Consolas" w:hAnsi="Consolas"/>
          <w:color w:val="334055"/>
          <w:sz w:val="19"/>
        </w:rPr>
        <w:t xml:space="preserve">                                │ 2. User authenticates with Shell SSO</w:t>
      </w:r>
      <w:r>
        <w:br/>
      </w:r>
      <w:r>
        <w:rPr>
          <w:rFonts w:ascii="Consolas" w:hAnsi="Consolas"/>
          <w:color w:val="334055"/>
          <w:sz w:val="19"/>
        </w:rPr>
        <w:t xml:space="preserve">                                │    (already logged in to corporate session)</w:t>
      </w:r>
      <w:r>
        <w:br/>
      </w:r>
      <w:r>
        <w:rPr>
          <w:rFonts w:ascii="Consolas" w:hAnsi="Consolas"/>
          <w:color w:val="334055"/>
          <w:sz w:val="19"/>
        </w:rPr>
        <w:t xml:space="preserve">                                │</w:t>
      </w:r>
      <w:r>
        <w:br/>
      </w:r>
      <w:r>
        <w:rPr>
          <w:rFonts w:ascii="Consolas" w:hAnsi="Consolas"/>
          <w:color w:val="334055"/>
          <w:sz w:val="19"/>
        </w:rPr>
        <w:t xml:space="preserve">                                ▼</w:t>
      </w:r>
      <w:r>
        <w:br/>
      </w:r>
      <w:r>
        <w:rPr>
          <w:rFonts w:ascii="Consolas" w:hAnsi="Consolas"/>
          <w:color w:val="334055"/>
          <w:sz w:val="19"/>
        </w:rPr>
        <w:t xml:space="preserve">                    OIDC callback to /auth/callback</w:t>
      </w:r>
      <w:r>
        <w:br/>
      </w:r>
      <w:r>
        <w:rPr>
          <w:rFonts w:ascii="Consolas" w:hAnsi="Consolas"/>
          <w:color w:val="334055"/>
          <w:sz w:val="19"/>
        </w:rPr>
        <w:t xml:space="preserve">                                │</w:t>
      </w:r>
      <w:r>
        <w:br/>
      </w:r>
      <w:r>
        <w:rPr>
          <w:rFonts w:ascii="Consolas" w:hAnsi="Consolas"/>
          <w:color w:val="334055"/>
          <w:sz w:val="19"/>
        </w:rPr>
        <w:t xml:space="preserve">                                │ 3. ID token validated; user groups read from</w:t>
      </w:r>
      <w:r>
        <w:br/>
      </w:r>
      <w:r>
        <w:rPr>
          <w:rFonts w:ascii="Consolas" w:hAnsi="Consolas"/>
          <w:color w:val="334055"/>
          <w:sz w:val="19"/>
        </w:rPr>
        <w:t xml:space="preserve">                                │    `groups` claim or queried via Graph</w:t>
      </w:r>
      <w:r>
        <w:br/>
      </w:r>
      <w:r>
        <w:rPr>
          <w:rFonts w:ascii="Consolas" w:hAnsi="Consolas"/>
          <w:color w:val="334055"/>
          <w:sz w:val="19"/>
        </w:rPr>
        <w:t xml:space="preserve">                                │</w:t>
      </w:r>
      <w:r>
        <w:br/>
      </w:r>
      <w:r>
        <w:rPr>
          <w:rFonts w:ascii="Consolas" w:hAnsi="Consolas"/>
          <w:color w:val="334055"/>
          <w:sz w:val="19"/>
        </w:rPr>
        <w:t xml:space="preserve">                                ▼</w:t>
      </w:r>
      <w:r>
        <w:br/>
      </w:r>
      <w:r>
        <w:rPr>
          <w:rFonts w:ascii="Consolas" w:hAnsi="Consolas"/>
          <w:color w:val="334055"/>
          <w:sz w:val="19"/>
        </w:rPr>
        <w:t xml:space="preserve">                    Issue app-level session JWT (HttpOnly, Secure, SameSite=Lax)</w:t>
      </w:r>
      <w:r>
        <w:br/>
      </w:r>
      <w:r>
        <w:rPr>
          <w:rFonts w:ascii="Consolas" w:hAnsi="Consolas"/>
          <w:color w:val="334055"/>
          <w:sz w:val="19"/>
        </w:rPr>
        <w:t xml:space="preserve">                                │</w:t>
      </w:r>
      <w:r>
        <w:br/>
      </w:r>
      <w:r>
        <w:rPr>
          <w:rFonts w:ascii="Consolas" w:hAnsi="Consolas"/>
          <w:color w:val="334055"/>
          <w:sz w:val="19"/>
        </w:rPr>
        <w:t xml:space="preserve">                                ▼</w:t>
      </w:r>
      <w:r>
        <w:br/>
      </w:r>
      <w:r>
        <w:rPr>
          <w:rFonts w:ascii="Consolas" w:hAnsi="Consolas"/>
          <w:color w:val="334055"/>
          <w:sz w:val="19"/>
        </w:rPr>
        <w:t xml:space="preserve">                    All subsequent API calls bear the session cookie</w:t>
      </w:r>
    </w:p>
    <w:p>
      <w:pPr>
        <w:spacing w:after="120"/>
      </w:pPr>
      <w:r>
        <w:rPr>
          <w:rFonts w:ascii="Calibri" w:hAnsi="Calibri"/>
          <w:b/>
          <w:color w:val="1E293B"/>
          <w:sz w:val="22"/>
        </w:rPr>
        <w:t>Library:</w:t>
      </w:r>
      <w:r>
        <w:rPr>
          <w:rFonts w:ascii="Calibri" w:hAnsi="Calibri"/>
          <w:color w:val="1E293B"/>
          <w:sz w:val="22"/>
        </w:rPr>
        <w:t xml:space="preserve"> </w:t>
      </w:r>
      <w:r>
        <w:rPr>
          <w:rFonts w:ascii="Consolas" w:hAnsi="Consolas"/>
          <w:color w:val="334055"/>
          <w:sz w:val="20"/>
          <w:shd w:val="clear" w:color="auto" w:fill="F1F3F6"/>
        </w:rPr>
        <w:t>msal</w:t>
      </w:r>
      <w:r>
        <w:rPr>
          <w:rFonts w:ascii="Calibri" w:hAnsi="Calibri"/>
          <w:color w:val="1E293B"/>
          <w:sz w:val="22"/>
        </w:rPr>
        <w:t xml:space="preserve"> (Microsoft Authentication Library) for the OIDC flow. Session JWT signed by a key stored in Key Vault.</w:t>
      </w:r>
    </w:p>
    <w:p>
      <w:pPr>
        <w:keepNext/>
        <w:spacing w:before="200" w:after="80"/>
      </w:pPr>
      <w:r>
        <w:rPr>
          <w:rFonts w:ascii="Calibri" w:hAnsi="Calibri"/>
          <w:b/>
          <w:color w:val="0B808C"/>
          <w:sz w:val="26"/>
        </w:rPr>
        <w:t>3.2 Role mapping</w:t>
      </w:r>
    </w:p>
    <w:p>
      <w:pPr>
        <w:spacing w:after="120"/>
      </w:pPr>
      <w:r>
        <w:rPr>
          <w:rFonts w:ascii="Calibri" w:hAnsi="Calibri"/>
          <w:color w:val="1E293B"/>
          <w:sz w:val="22"/>
        </w:rPr>
        <w:t>Shell has Entra ID groups. We map them to application roles: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  <w:shd w:val="clear" w:color="auto" w:fill="DCE7F4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1B3A6F"/>
                <w:sz w:val="21"/>
              </w:rPr>
              <w:t>App role</w:t>
            </w:r>
          </w:p>
        </w:tc>
        <w:tc>
          <w:tcPr>
            <w:tcW w:type="dxa" w:w="3324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  <w:shd w:val="clear" w:color="auto" w:fill="DCE7F4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1B3A6F"/>
                <w:sz w:val="21"/>
              </w:rPr>
              <w:t>Entra ID group (example)</w:t>
            </w:r>
          </w:p>
        </w:tc>
        <w:tc>
          <w:tcPr>
            <w:tcW w:type="dxa" w:w="3324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  <w:shd w:val="clear" w:color="auto" w:fill="DCE7F4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1B3A6F"/>
                <w:sz w:val="21"/>
              </w:rPr>
              <w:t>What the role can do</w:t>
            </w:r>
          </w:p>
        </w:tc>
      </w:tr>
      <w:tr>
        <w:tc>
          <w:tcPr>
            <w:tcW w:type="dxa" w:w="3324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</w:tcPr>
          <w:p>
            <w:pPr>
              <w:spacing w:before="40" w:after="40"/>
            </w:pPr>
            <w:r/>
            <w:r>
              <w:rPr>
                <w:rFonts w:ascii="Consolas" w:hAnsi="Consolas"/>
                <w:color w:val="334055"/>
                <w:sz w:val="18"/>
                <w:shd w:val="clear" w:color="auto" w:fill="F1F3F6"/>
              </w:rPr>
              <w:t>vmo_coordinator</w:t>
            </w:r>
          </w:p>
        </w:tc>
        <w:tc>
          <w:tcPr>
            <w:tcW w:type="dxa" w:w="3324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</w:tcPr>
          <w:p>
            <w:pPr>
              <w:spacing w:before="40" w:after="40"/>
            </w:pPr>
            <w:r/>
            <w:r>
              <w:rPr>
                <w:rFonts w:ascii="Consolas" w:hAnsi="Consolas"/>
                <w:color w:val="334055"/>
                <w:sz w:val="18"/>
                <w:shd w:val="clear" w:color="auto" w:fill="F1F3F6"/>
              </w:rPr>
              <w:t>shell-vmo-coordinators</w:t>
            </w:r>
          </w:p>
        </w:tc>
        <w:tc>
          <w:tcPr>
            <w:tcW w:type="dxa" w:w="3324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293B"/>
                <w:sz w:val="20"/>
              </w:rPr>
              <w:t>Full workflow access on any cycle they own</w:t>
            </w:r>
          </w:p>
        </w:tc>
      </w:tr>
      <w:tr>
        <w:tc>
          <w:tcPr>
            <w:tcW w:type="dxa" w:w="3324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  <w:shd w:val="clear" w:color="auto" w:fill="F4F7FB"/>
          </w:tcPr>
          <w:p>
            <w:pPr>
              <w:spacing w:before="40" w:after="40"/>
            </w:pPr>
            <w:r/>
            <w:r>
              <w:rPr>
                <w:rFonts w:ascii="Consolas" w:hAnsi="Consolas"/>
                <w:color w:val="334055"/>
                <w:sz w:val="18"/>
                <w:shd w:val="clear" w:color="auto" w:fill="F1F3F6"/>
              </w:rPr>
              <w:t>vmo_admin</w:t>
            </w:r>
          </w:p>
        </w:tc>
        <w:tc>
          <w:tcPr>
            <w:tcW w:type="dxa" w:w="3324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  <w:shd w:val="clear" w:color="auto" w:fill="F4F7FB"/>
          </w:tcPr>
          <w:p>
            <w:pPr>
              <w:spacing w:before="40" w:after="40"/>
            </w:pPr>
            <w:r/>
            <w:r>
              <w:rPr>
                <w:rFonts w:ascii="Consolas" w:hAnsi="Consolas"/>
                <w:color w:val="334055"/>
                <w:sz w:val="18"/>
                <w:shd w:val="clear" w:color="auto" w:fill="F1F3F6"/>
              </w:rPr>
              <w:t>shell-vmo-admins</w:t>
            </w:r>
          </w:p>
        </w:tc>
        <w:tc>
          <w:tcPr>
            <w:tcW w:type="dxa" w:w="3324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  <w:shd w:val="clear" w:color="auto" w:fill="F4F7FB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293B"/>
                <w:sz w:val="20"/>
              </w:rPr>
              <w:t>All coordinator capabilities + manage vendor master, manage users</w:t>
            </w:r>
          </w:p>
        </w:tc>
      </w:tr>
      <w:tr>
        <w:tc>
          <w:tcPr>
            <w:tcW w:type="dxa" w:w="3324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</w:tcPr>
          <w:p>
            <w:pPr>
              <w:spacing w:before="40" w:after="40"/>
            </w:pPr>
            <w:r/>
            <w:r>
              <w:rPr>
                <w:rFonts w:ascii="Consolas" w:hAnsi="Consolas"/>
                <w:color w:val="334055"/>
                <w:sz w:val="18"/>
                <w:shd w:val="clear" w:color="auto" w:fill="F1F3F6"/>
              </w:rPr>
              <w:t>executive_sponsor</w:t>
            </w:r>
          </w:p>
        </w:tc>
        <w:tc>
          <w:tcPr>
            <w:tcW w:type="dxa" w:w="3324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</w:tcPr>
          <w:p>
            <w:pPr>
              <w:spacing w:before="40" w:after="40"/>
            </w:pPr>
            <w:r/>
            <w:r>
              <w:rPr>
                <w:rFonts w:ascii="Consolas" w:hAnsi="Consolas"/>
                <w:color w:val="334055"/>
                <w:sz w:val="18"/>
                <w:shd w:val="clear" w:color="auto" w:fill="F1F3F6"/>
              </w:rPr>
              <w:t>shell-vmo-sponsors</w:t>
            </w:r>
          </w:p>
        </w:tc>
        <w:tc>
          <w:tcPr>
            <w:tcW w:type="dxa" w:w="3324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293B"/>
                <w:sz w:val="20"/>
              </w:rPr>
              <w:t>Read-only access to dashboards, action items, leadership briefs</w:t>
            </w:r>
          </w:p>
        </w:tc>
      </w:tr>
      <w:tr>
        <w:tc>
          <w:tcPr>
            <w:tcW w:type="dxa" w:w="3324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  <w:shd w:val="clear" w:color="auto" w:fill="F4F7FB"/>
          </w:tcPr>
          <w:p>
            <w:pPr>
              <w:spacing w:before="40" w:after="40"/>
            </w:pPr>
            <w:r/>
            <w:r>
              <w:rPr>
                <w:rFonts w:ascii="Consolas" w:hAnsi="Consolas"/>
                <w:color w:val="334055"/>
                <w:sz w:val="18"/>
                <w:shd w:val="clear" w:color="auto" w:fill="F1F3F6"/>
              </w:rPr>
              <w:t>viewer</w:t>
            </w:r>
          </w:p>
        </w:tc>
        <w:tc>
          <w:tcPr>
            <w:tcW w:type="dxa" w:w="3324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  <w:shd w:val="clear" w:color="auto" w:fill="F4F7FB"/>
          </w:tcPr>
          <w:p>
            <w:pPr>
              <w:spacing w:before="40" w:after="40"/>
            </w:pPr>
            <w:r/>
            <w:r>
              <w:rPr>
                <w:rFonts w:ascii="Consolas" w:hAnsi="Consolas"/>
                <w:color w:val="334055"/>
                <w:sz w:val="18"/>
                <w:shd w:val="clear" w:color="auto" w:fill="F1F3F6"/>
              </w:rPr>
              <w:t>shell-vmo-viewers</w:t>
            </w:r>
          </w:p>
        </w:tc>
        <w:tc>
          <w:tcPr>
            <w:tcW w:type="dxa" w:w="3324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  <w:shd w:val="clear" w:color="auto" w:fill="F4F7FB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293B"/>
                <w:sz w:val="20"/>
              </w:rPr>
              <w:t>Read-only access to closed cycles only</w:t>
            </w:r>
          </w:p>
        </w:tc>
      </w:tr>
    </w:tbl>
    <w:p/>
    <w:p>
      <w:pPr>
        <w:spacing w:after="120"/>
      </w:pPr>
      <w:r>
        <w:rPr>
          <w:rFonts w:ascii="Calibri" w:hAnsi="Calibri"/>
          <w:color w:val="1E293B"/>
          <w:sz w:val="22"/>
        </w:rPr>
        <w:t xml:space="preserve">Group → role mapping is configurable in </w:t>
      </w:r>
      <w:r>
        <w:rPr>
          <w:rFonts w:ascii="Consolas" w:hAnsi="Consolas"/>
          <w:color w:val="334055"/>
          <w:sz w:val="20"/>
          <w:shd w:val="clear" w:color="auto" w:fill="F1F3F6"/>
        </w:rPr>
        <w:t>appsettings.json</w:t>
      </w:r>
      <w:r>
        <w:rPr>
          <w:rFonts w:ascii="Calibri" w:hAnsi="Calibri"/>
          <w:color w:val="1E293B"/>
          <w:sz w:val="22"/>
        </w:rPr>
        <w:t xml:space="preserve"> (not hard-coded). New groups can be onboarded without code change.</w:t>
      </w:r>
    </w:p>
    <w:p>
      <w:pPr>
        <w:keepNext/>
        <w:spacing w:before="200" w:after="80"/>
      </w:pPr>
      <w:r>
        <w:rPr>
          <w:rFonts w:ascii="Calibri" w:hAnsi="Calibri"/>
          <w:b/>
          <w:color w:val="0B808C"/>
          <w:sz w:val="26"/>
        </w:rPr>
        <w:t>3.3 Application identity to Microsoft Graph</w:t>
      </w:r>
    </w:p>
    <w:p>
      <w:pPr>
        <w:spacing w:after="120"/>
      </w:pPr>
      <w:r>
        <w:rPr>
          <w:rFonts w:ascii="Calibri" w:hAnsi="Calibri"/>
          <w:b/>
          <w:color w:val="1E293B"/>
          <w:sz w:val="22"/>
        </w:rPr>
        <w:t>Application registration in Shell's tenant</w:t>
      </w:r>
      <w:r>
        <w:rPr>
          <w:rFonts w:ascii="Calibri" w:hAnsi="Calibri"/>
          <w:color w:val="1E293B"/>
          <w:sz w:val="22"/>
        </w:rPr>
        <w:t xml:space="preserve"> — name: </w:t>
      </w:r>
      <w:r>
        <w:rPr>
          <w:rFonts w:ascii="Consolas" w:hAnsi="Consolas"/>
          <w:color w:val="334055"/>
          <w:sz w:val="20"/>
          <w:shd w:val="clear" w:color="auto" w:fill="F1F3F6"/>
        </w:rPr>
        <w:t>VendorPulse-Prod</w:t>
      </w:r>
      <w:r>
        <w:rPr>
          <w:rFonts w:ascii="Calibri" w:hAnsi="Calibri"/>
          <w:color w:val="1E293B"/>
          <w:sz w:val="22"/>
        </w:rPr>
        <w:t xml:space="preserve"> (and </w:t>
      </w:r>
      <w:r>
        <w:rPr>
          <w:rFonts w:ascii="Consolas" w:hAnsi="Consolas"/>
          <w:color w:val="334055"/>
          <w:sz w:val="20"/>
          <w:shd w:val="clear" w:color="auto" w:fill="F1F3F6"/>
        </w:rPr>
        <w:t>VendorPulse-NonProd</w:t>
      </w:r>
      <w:r>
        <w:rPr>
          <w:rFonts w:ascii="Calibri" w:hAnsi="Calibri"/>
          <w:color w:val="1E293B"/>
          <w:sz w:val="22"/>
        </w:rPr>
        <w:t>).</w:t>
      </w:r>
    </w:p>
    <w:p>
      <w:pPr>
        <w:spacing w:after="120"/>
      </w:pPr>
      <w:r>
        <w:rPr>
          <w:rFonts w:ascii="Calibri" w:hAnsi="Calibri"/>
          <w:b/>
          <w:color w:val="1E293B"/>
          <w:sz w:val="22"/>
        </w:rPr>
        <w:t>Authentication type:</w:t>
      </w:r>
      <w:r>
        <w:rPr>
          <w:rFonts w:ascii="Calibri" w:hAnsi="Calibri"/>
          <w:color w:val="1E293B"/>
          <w:sz w:val="22"/>
        </w:rPr>
        <w:t xml:space="preserve"> Client-credentials flow (app-only) using a </w:t>
      </w:r>
      <w:r>
        <w:rPr>
          <w:rFonts w:ascii="Calibri" w:hAnsi="Calibri"/>
          <w:b/>
          <w:color w:val="1E293B"/>
          <w:sz w:val="22"/>
        </w:rPr>
        <w:t>certificate</w:t>
      </w:r>
      <w:r>
        <w:rPr>
          <w:rFonts w:ascii="Calibri" w:hAnsi="Calibri"/>
          <w:color w:val="1E293B"/>
          <w:sz w:val="22"/>
        </w:rPr>
        <w:t xml:space="preserve"> stored in Key Vault, </w:t>
      </w:r>
      <w:r>
        <w:rPr>
          <w:rFonts w:ascii="Calibri" w:hAnsi="Calibri"/>
          <w:b/>
          <w:color w:val="1E293B"/>
          <w:sz w:val="22"/>
        </w:rPr>
        <w:t>not</w:t>
      </w:r>
      <w:r>
        <w:rPr>
          <w:rFonts w:ascii="Calibri" w:hAnsi="Calibri"/>
          <w:color w:val="1E293B"/>
          <w:sz w:val="22"/>
        </w:rPr>
        <w:t xml:space="preserve"> a client secret. Certificate auth is Shell-preferred for compliance.</w:t>
      </w:r>
    </w:p>
    <w:p>
      <w:pPr>
        <w:spacing w:after="120"/>
      </w:pPr>
      <w:r>
        <w:rPr>
          <w:rFonts w:ascii="Calibri" w:hAnsi="Calibri"/>
          <w:b/>
          <w:color w:val="1E293B"/>
          <w:sz w:val="22"/>
        </w:rPr>
        <w:t>API permissions (application — admin consent required):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  <w:shd w:val="clear" w:color="auto" w:fill="DCE7F4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1B3A6F"/>
                <w:sz w:val="21"/>
              </w:rPr>
              <w:t>Permission</w:t>
            </w:r>
          </w:p>
        </w:tc>
        <w:tc>
          <w:tcPr>
            <w:tcW w:type="dxa" w:w="2493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  <w:shd w:val="clear" w:color="auto" w:fill="DCE7F4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1B3A6F"/>
                <w:sz w:val="21"/>
              </w:rPr>
              <w:t>Scope</w:t>
            </w:r>
          </w:p>
        </w:tc>
        <w:tc>
          <w:tcPr>
            <w:tcW w:type="dxa" w:w="2493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  <w:shd w:val="clear" w:color="auto" w:fill="DCE7F4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1B3A6F"/>
                <w:sz w:val="21"/>
              </w:rPr>
              <w:t>Why we need it</w:t>
            </w:r>
          </w:p>
        </w:tc>
        <w:tc>
          <w:tcPr>
            <w:tcW w:type="dxa" w:w="2493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  <w:shd w:val="clear" w:color="auto" w:fill="DCE7F4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1B3A6F"/>
                <w:sz w:val="21"/>
              </w:rPr>
              <w:t>Constrained by</w:t>
            </w:r>
          </w:p>
        </w:tc>
      </w:tr>
      <w:tr>
        <w:tc>
          <w:tcPr>
            <w:tcW w:type="dxa" w:w="2493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</w:tcPr>
          <w:p>
            <w:pPr>
              <w:spacing w:before="40" w:after="40"/>
            </w:pPr>
            <w:r/>
            <w:r>
              <w:rPr>
                <w:rFonts w:ascii="Consolas" w:hAnsi="Consolas"/>
                <w:color w:val="334055"/>
                <w:sz w:val="18"/>
                <w:shd w:val="clear" w:color="auto" w:fill="F1F3F6"/>
              </w:rPr>
              <w:t>Mail.Send</w:t>
            </w:r>
          </w:p>
        </w:tc>
        <w:tc>
          <w:tcPr>
            <w:tcW w:type="dxa" w:w="2493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293B"/>
                <w:sz w:val="20"/>
              </w:rPr>
              <w:t>Application</w:t>
            </w:r>
          </w:p>
        </w:tc>
        <w:tc>
          <w:tcPr>
            <w:tcW w:type="dxa" w:w="2493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293B"/>
                <w:sz w:val="20"/>
              </w:rPr>
              <w:t>Send scorecard requests, reminders, minutes distribution from service mailbox</w:t>
            </w:r>
          </w:p>
        </w:tc>
        <w:tc>
          <w:tcPr>
            <w:tcW w:type="dxa" w:w="2493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293B"/>
                <w:sz w:val="20"/>
              </w:rPr>
              <w:t xml:space="preserve">Limit to </w:t>
            </w:r>
            <w:r>
              <w:rPr>
                <w:rFonts w:ascii="Consolas" w:hAnsi="Consolas"/>
                <w:color w:val="334055"/>
                <w:sz w:val="18"/>
                <w:shd w:val="clear" w:color="auto" w:fill="F1F3F6"/>
              </w:rPr>
              <w:t>vendorpulse-svc@shell.com</w:t>
            </w:r>
            <w:r>
              <w:rPr>
                <w:rFonts w:ascii="Calibri" w:hAnsi="Calibri"/>
                <w:color w:val="1E293B"/>
                <w:sz w:val="20"/>
              </w:rPr>
              <w:t xml:space="preserve"> via Application Access Policy (see below)</w:t>
            </w:r>
          </w:p>
        </w:tc>
      </w:tr>
      <w:tr>
        <w:tc>
          <w:tcPr>
            <w:tcW w:type="dxa" w:w="2493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  <w:shd w:val="clear" w:color="auto" w:fill="F4F7FB"/>
          </w:tcPr>
          <w:p>
            <w:pPr>
              <w:spacing w:before="40" w:after="40"/>
            </w:pPr>
            <w:r/>
            <w:r>
              <w:rPr>
                <w:rFonts w:ascii="Consolas" w:hAnsi="Consolas"/>
                <w:color w:val="334055"/>
                <w:sz w:val="18"/>
                <w:shd w:val="clear" w:color="auto" w:fill="F1F3F6"/>
              </w:rPr>
              <w:t>Calendars.ReadWrite</w:t>
            </w:r>
          </w:p>
        </w:tc>
        <w:tc>
          <w:tcPr>
            <w:tcW w:type="dxa" w:w="2493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  <w:shd w:val="clear" w:color="auto" w:fill="F4F7FB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293B"/>
                <w:sz w:val="20"/>
              </w:rPr>
              <w:t>Application</w:t>
            </w:r>
          </w:p>
        </w:tc>
        <w:tc>
          <w:tcPr>
            <w:tcW w:type="dxa" w:w="2493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  <w:shd w:val="clear" w:color="auto" w:fill="F4F7FB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293B"/>
                <w:sz w:val="20"/>
              </w:rPr>
              <w:t>Create QBR meetings, set up invites, query availability for findMeetingTimes</w:t>
            </w:r>
          </w:p>
        </w:tc>
        <w:tc>
          <w:tcPr>
            <w:tcW w:type="dxa" w:w="2493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  <w:shd w:val="clear" w:color="auto" w:fill="F4F7FB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293B"/>
                <w:sz w:val="20"/>
              </w:rPr>
              <w:t>Limit to the service mailbox via Application Access Policy</w:t>
            </w:r>
          </w:p>
        </w:tc>
      </w:tr>
      <w:tr>
        <w:tc>
          <w:tcPr>
            <w:tcW w:type="dxa" w:w="2493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</w:tcPr>
          <w:p>
            <w:pPr>
              <w:spacing w:before="40" w:after="40"/>
            </w:pPr>
            <w:r/>
            <w:r>
              <w:rPr>
                <w:rFonts w:ascii="Consolas" w:hAnsi="Consolas"/>
                <w:color w:val="334055"/>
                <w:sz w:val="18"/>
                <w:shd w:val="clear" w:color="auto" w:fill="F1F3F6"/>
              </w:rPr>
              <w:t>OnlineMeetings.ReadWrite.All</w:t>
            </w:r>
          </w:p>
        </w:tc>
        <w:tc>
          <w:tcPr>
            <w:tcW w:type="dxa" w:w="2493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293B"/>
                <w:sz w:val="20"/>
              </w:rPr>
              <w:t>Application</w:t>
            </w:r>
          </w:p>
        </w:tc>
        <w:tc>
          <w:tcPr>
            <w:tcW w:type="dxa" w:w="2493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293B"/>
                <w:sz w:val="20"/>
              </w:rPr>
              <w:t>Provision Teams meeting URLs as part of event creation</w:t>
            </w:r>
          </w:p>
        </w:tc>
        <w:tc>
          <w:tcPr>
            <w:tcW w:type="dxa" w:w="2493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293B"/>
                <w:sz w:val="20"/>
              </w:rPr>
              <w:t xml:space="preserve">Required for </w:t>
            </w:r>
            <w:r>
              <w:rPr>
                <w:rFonts w:ascii="Consolas" w:hAnsi="Consolas"/>
                <w:color w:val="334055"/>
                <w:sz w:val="18"/>
                <w:shd w:val="clear" w:color="auto" w:fill="F1F3F6"/>
              </w:rPr>
              <w:t>isOnlineMeeting=true</w:t>
            </w:r>
            <w:r>
              <w:rPr>
                <w:rFonts w:ascii="Calibri" w:hAnsi="Calibri"/>
                <w:color w:val="1E293B"/>
                <w:sz w:val="20"/>
              </w:rPr>
              <w:t xml:space="preserve"> in event creation</w:t>
            </w:r>
          </w:p>
        </w:tc>
      </w:tr>
      <w:tr>
        <w:tc>
          <w:tcPr>
            <w:tcW w:type="dxa" w:w="2493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  <w:shd w:val="clear" w:color="auto" w:fill="F4F7FB"/>
          </w:tcPr>
          <w:p>
            <w:pPr>
              <w:spacing w:before="40" w:after="40"/>
            </w:pPr>
            <w:r/>
            <w:r>
              <w:rPr>
                <w:rFonts w:ascii="Consolas" w:hAnsi="Consolas"/>
                <w:color w:val="334055"/>
                <w:sz w:val="18"/>
                <w:shd w:val="clear" w:color="auto" w:fill="F1F3F6"/>
              </w:rPr>
              <w:t>User.Read.All</w:t>
            </w:r>
          </w:p>
        </w:tc>
        <w:tc>
          <w:tcPr>
            <w:tcW w:type="dxa" w:w="2493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  <w:shd w:val="clear" w:color="auto" w:fill="F4F7FB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293B"/>
                <w:sz w:val="20"/>
              </w:rPr>
              <w:t>Application</w:t>
            </w:r>
          </w:p>
        </w:tc>
        <w:tc>
          <w:tcPr>
            <w:tcW w:type="dxa" w:w="2493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  <w:shd w:val="clear" w:color="auto" w:fill="F4F7FB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293B"/>
                <w:sz w:val="20"/>
              </w:rPr>
              <w:t>Resolve attendee emails to user objects (existence check, display name)</w:t>
            </w:r>
          </w:p>
        </w:tc>
        <w:tc>
          <w:tcPr>
            <w:tcW w:type="dxa" w:w="2493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  <w:shd w:val="clear" w:color="auto" w:fill="F4F7FB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293B"/>
                <w:sz w:val="20"/>
              </w:rPr>
              <w:t>Directory-wide read, no write</w:t>
            </w:r>
          </w:p>
        </w:tc>
      </w:tr>
      <w:tr>
        <w:tc>
          <w:tcPr>
            <w:tcW w:type="dxa" w:w="2493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</w:tcPr>
          <w:p>
            <w:pPr>
              <w:spacing w:before="40" w:after="40"/>
            </w:pPr>
            <w:r/>
            <w:r>
              <w:rPr>
                <w:rFonts w:ascii="Consolas" w:hAnsi="Consolas"/>
                <w:color w:val="334055"/>
                <w:sz w:val="18"/>
                <w:shd w:val="clear" w:color="auto" w:fill="F1F3F6"/>
              </w:rPr>
              <w:t>MailboxSettings.Read</w:t>
            </w:r>
          </w:p>
        </w:tc>
        <w:tc>
          <w:tcPr>
            <w:tcW w:type="dxa" w:w="2493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293B"/>
                <w:sz w:val="20"/>
              </w:rPr>
              <w:t>Application</w:t>
            </w:r>
          </w:p>
        </w:tc>
        <w:tc>
          <w:tcPr>
            <w:tcW w:type="dxa" w:w="2493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293B"/>
                <w:sz w:val="20"/>
              </w:rPr>
              <w:t>Read working hours and timezone of organiser for slot ranking</w:t>
            </w:r>
          </w:p>
        </w:tc>
        <w:tc>
          <w:tcPr>
            <w:tcW w:type="dxa" w:w="2493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293B"/>
                <w:sz w:val="20"/>
              </w:rPr>
              <w:t>Limit to mailboxes that opt in</w:t>
            </w:r>
          </w:p>
        </w:tc>
      </w:tr>
    </w:tbl>
    <w:p/>
    <w:p>
      <w:pPr>
        <w:spacing w:after="120"/>
      </w:pPr>
      <w:r>
        <w:rPr>
          <w:rFonts w:ascii="Calibri" w:hAnsi="Calibri"/>
          <w:b/>
          <w:color w:val="1E293B"/>
          <w:sz w:val="22"/>
        </w:rPr>
        <w:t>Constrained delegation via [Exchange Application Access Policy](https://learn.microsoft.com/graph/auth-limit-mailbox-access)</w:t>
      </w:r>
      <w:r>
        <w:rPr>
          <w:rFonts w:ascii="Calibri" w:hAnsi="Calibri"/>
          <w:color w:val="1E293B"/>
          <w:sz w:val="22"/>
        </w:rPr>
        <w:t xml:space="preserve">: even though </w:t>
      </w:r>
      <w:r>
        <w:rPr>
          <w:rFonts w:ascii="Consolas" w:hAnsi="Consolas"/>
          <w:color w:val="334055"/>
          <w:sz w:val="20"/>
          <w:shd w:val="clear" w:color="auto" w:fill="F1F3F6"/>
        </w:rPr>
        <w:t>Mail.Send</w:t>
      </w:r>
      <w:r>
        <w:rPr>
          <w:rFonts w:ascii="Calibri" w:hAnsi="Calibri"/>
          <w:color w:val="1E293B"/>
          <w:sz w:val="22"/>
        </w:rPr>
        <w:t xml:space="preserve"> is tenant-wide by default, we limit it to the service mailbox only — Shell IT Security will require this.</w:t>
      </w:r>
    </w:p>
    <w:p>
      <w:pPr>
        <w:spacing w:before="80" w:after="160"/>
        <w:ind w:left="113"/>
        <w:shd w:val="clear" w:color="auto" w:fill="F1F3F6"/>
      </w:pPr>
      <w:r>
        <w:rPr>
          <w:rFonts w:ascii="Consolas" w:hAnsi="Consolas"/>
          <w:color w:val="334055"/>
          <w:sz w:val="19"/>
        </w:rPr>
        <w:t># Sample — Shell Exchange admin runs this once during onboarding</w:t>
      </w:r>
      <w:r>
        <w:br/>
      </w:r>
      <w:r>
        <w:rPr>
          <w:rFonts w:ascii="Consolas" w:hAnsi="Consolas"/>
          <w:color w:val="334055"/>
          <w:sz w:val="19"/>
        </w:rPr>
        <w:t>New-ApplicationAccessPolicy `</w:t>
      </w:r>
      <w:r>
        <w:br/>
      </w:r>
      <w:r>
        <w:rPr>
          <w:rFonts w:ascii="Consolas" w:hAnsi="Consolas"/>
          <w:color w:val="334055"/>
          <w:sz w:val="19"/>
        </w:rPr>
        <w:t xml:space="preserve">    -AppId &lt;VendorPulse app ID&gt; `</w:t>
      </w:r>
      <w:r>
        <w:br/>
      </w:r>
      <w:r>
        <w:rPr>
          <w:rFonts w:ascii="Consolas" w:hAnsi="Consolas"/>
          <w:color w:val="334055"/>
          <w:sz w:val="19"/>
        </w:rPr>
        <w:t xml:space="preserve">    -PolicyScopeGroupId vendorpulse-svc@shell.com `</w:t>
      </w:r>
      <w:r>
        <w:br/>
      </w:r>
      <w:r>
        <w:rPr>
          <w:rFonts w:ascii="Consolas" w:hAnsi="Consolas"/>
          <w:color w:val="334055"/>
          <w:sz w:val="19"/>
        </w:rPr>
        <w:t xml:space="preserve">    -AccessRight RestrictAccess `</w:t>
      </w:r>
      <w:r>
        <w:br/>
      </w:r>
      <w:r>
        <w:rPr>
          <w:rFonts w:ascii="Consolas" w:hAnsi="Consolas"/>
          <w:color w:val="334055"/>
          <w:sz w:val="19"/>
        </w:rPr>
        <w:t xml:space="preserve">    -Description "VendorPulse may only access the service mailbox"</w:t>
      </w:r>
    </w:p>
    <w:p>
      <w:pPr>
        <w:keepNext/>
        <w:spacing w:before="200" w:after="80"/>
      </w:pPr>
      <w:r>
        <w:rPr>
          <w:rFonts w:ascii="Calibri" w:hAnsi="Calibri"/>
          <w:b/>
          <w:color w:val="0B808C"/>
          <w:sz w:val="26"/>
        </w:rPr>
        <w:t>3.4 Why NOT delegated auth</w:t>
      </w:r>
    </w:p>
    <w:p>
      <w:pPr>
        <w:spacing w:after="120"/>
      </w:pPr>
      <w:r>
        <w:rPr>
          <w:rFonts w:ascii="Calibri" w:hAnsi="Calibri"/>
          <w:color w:val="1E293B"/>
          <w:sz w:val="22"/>
        </w:rPr>
        <w:t xml:space="preserve">The POC uses delegated tokens pasted into </w:t>
      </w:r>
      <w:r>
        <w:rPr>
          <w:rFonts w:ascii="Consolas" w:hAnsi="Consolas"/>
          <w:color w:val="334055"/>
          <w:sz w:val="20"/>
          <w:shd w:val="clear" w:color="auto" w:fill="F1F3F6"/>
        </w:rPr>
        <w:t>.env</w:t>
      </w:r>
      <w:r>
        <w:rPr>
          <w:rFonts w:ascii="Calibri" w:hAnsi="Calibri"/>
          <w:color w:val="1E293B"/>
          <w:sz w:val="22"/>
        </w:rPr>
        <w:t>. That works for one developer with one laptop. For Shell production:</w:t>
      </w:r>
    </w:p>
    <w:p>
      <w:pPr>
        <w:spacing w:after="60"/>
        <w:ind w:left="340"/>
      </w:pPr>
      <w:r>
        <w:rPr>
          <w:b/>
          <w:color w:val="0F5BA8"/>
        </w:rPr>
        <w:t xml:space="preserve">• </w:t>
      </w:r>
      <w:r>
        <w:rPr>
          <w:rFonts w:ascii="Calibri" w:hAnsi="Calibri"/>
          <w:b/>
          <w:color w:val="1E293B"/>
          <w:sz w:val="22"/>
        </w:rPr>
        <w:t>No user is "always logged in"</w:t>
      </w:r>
      <w:r>
        <w:rPr>
          <w:rFonts w:ascii="Calibri" w:hAnsi="Calibri"/>
          <w:color w:val="1E293B"/>
          <w:sz w:val="22"/>
        </w:rPr>
        <w:t xml:space="preserve"> as the service. Scheduled actions (reminder escalation, polling) cannot wait for a user.</w:t>
      </w:r>
    </w:p>
    <w:p>
      <w:pPr>
        <w:spacing w:after="60"/>
        <w:ind w:left="340"/>
      </w:pPr>
      <w:r>
        <w:rPr>
          <w:b/>
          <w:color w:val="0F5BA8"/>
        </w:rPr>
        <w:t xml:space="preserve">• </w:t>
      </w:r>
      <w:r>
        <w:rPr>
          <w:rFonts w:ascii="Calibri" w:hAnsi="Calibri"/>
          <w:b/>
          <w:color w:val="1E293B"/>
          <w:sz w:val="22"/>
        </w:rPr>
        <w:t>Delegated tokens have user-mailbox scope</w:t>
      </w:r>
      <w:r>
        <w:rPr>
          <w:rFonts w:ascii="Calibri" w:hAnsi="Calibri"/>
          <w:color w:val="1E293B"/>
          <w:sz w:val="22"/>
        </w:rPr>
        <w:t xml:space="preserve"> — sending from the service mailbox requires that user to own it.</w:t>
      </w:r>
    </w:p>
    <w:p>
      <w:pPr>
        <w:spacing w:after="60"/>
        <w:ind w:left="340"/>
      </w:pPr>
      <w:r>
        <w:rPr>
          <w:b/>
          <w:color w:val="0F5BA8"/>
        </w:rPr>
        <w:t xml:space="preserve">• </w:t>
      </w:r>
      <w:r>
        <w:rPr>
          <w:rFonts w:ascii="Calibri" w:hAnsi="Calibri"/>
          <w:b/>
          <w:color w:val="1E293B"/>
          <w:sz w:val="22"/>
        </w:rPr>
        <w:t>Token refresh is fragile</w:t>
      </w:r>
      <w:r>
        <w:rPr>
          <w:rFonts w:ascii="Calibri" w:hAnsi="Calibri"/>
          <w:color w:val="1E293B"/>
          <w:sz w:val="22"/>
        </w:rPr>
        <w:t xml:space="preserve"> — refresh tokens expire after periods of inactivity; we cannot have the system fail because the developer didn't log in last week.</w:t>
      </w:r>
    </w:p>
    <w:p>
      <w:pPr>
        <w:spacing w:after="120"/>
      </w:pPr>
      <w:r>
        <w:rPr>
          <w:rFonts w:ascii="Calibri" w:hAnsi="Calibri"/>
          <w:color w:val="1E293B"/>
          <w:sz w:val="22"/>
        </w:rPr>
        <w:t xml:space="preserve">App-only with constrained mailbox access is </w:t>
      </w:r>
      <w:r>
        <w:rPr>
          <w:rFonts w:ascii="Calibri" w:hAnsi="Calibri"/>
          <w:b/>
          <w:color w:val="1E293B"/>
          <w:sz w:val="22"/>
        </w:rPr>
        <w:t>the</w:t>
      </w:r>
      <w:r>
        <w:rPr>
          <w:rFonts w:ascii="Calibri" w:hAnsi="Calibri"/>
          <w:color w:val="1E293B"/>
          <w:sz w:val="22"/>
        </w:rPr>
        <w:t xml:space="preserve"> correct production pattern.</w:t>
      </w:r>
    </w:p>
    <w:p>
      <w:pPr>
        <w:pBdr>
          <w:bottom w:val="single" w:sz="6" w:space="1" w:color="C7D0DD"/>
        </w:pBdr>
      </w:pPr>
    </w:p>
    <w:p>
      <w:pPr>
        <w:keepNext/>
        <w:spacing w:before="280" w:after="120"/>
      </w:pPr>
      <w:r>
        <w:rPr>
          <w:rFonts w:ascii="Calibri" w:hAnsi="Calibri"/>
          <w:b/>
          <w:color w:val="0F5BA8"/>
          <w:sz w:val="32"/>
        </w:rPr>
        <w:t>4. Data architecture</w:t>
      </w:r>
    </w:p>
    <w:p>
      <w:pPr>
        <w:keepNext/>
        <w:spacing w:before="200" w:after="80"/>
      </w:pPr>
      <w:r>
        <w:rPr>
          <w:rFonts w:ascii="Calibri" w:hAnsi="Calibri"/>
          <w:b/>
          <w:color w:val="0B808C"/>
          <w:sz w:val="26"/>
        </w:rPr>
        <w:t>4.1 Storage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  <w:shd w:val="clear" w:color="auto" w:fill="DCE7F4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1B3A6F"/>
                <w:sz w:val="21"/>
              </w:rPr>
              <w:t>Data</w:t>
            </w:r>
          </w:p>
        </w:tc>
        <w:tc>
          <w:tcPr>
            <w:tcW w:type="dxa" w:w="3324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  <w:shd w:val="clear" w:color="auto" w:fill="DCE7F4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1B3A6F"/>
                <w:sz w:val="21"/>
              </w:rPr>
              <w:t>Store</w:t>
            </w:r>
          </w:p>
        </w:tc>
        <w:tc>
          <w:tcPr>
            <w:tcW w:type="dxa" w:w="3324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  <w:shd w:val="clear" w:color="auto" w:fill="DCE7F4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1B3A6F"/>
                <w:sz w:val="21"/>
              </w:rPr>
              <w:t>Why</w:t>
            </w:r>
          </w:p>
        </w:tc>
      </w:tr>
      <w:tr>
        <w:tc>
          <w:tcPr>
            <w:tcW w:type="dxa" w:w="3324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293B"/>
                <w:sz w:val="20"/>
              </w:rPr>
              <w:t>Operational data (cycles, attendees, scorecards, meetings, minutes, action items)</w:t>
            </w:r>
          </w:p>
        </w:tc>
        <w:tc>
          <w:tcPr>
            <w:tcW w:type="dxa" w:w="3324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293B"/>
                <w:sz w:val="20"/>
              </w:rPr>
              <w:t>Azure Database for PostgreSQL — Flexible Server</w:t>
            </w:r>
          </w:p>
        </w:tc>
        <w:tc>
          <w:tcPr>
            <w:tcW w:type="dxa" w:w="3324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293B"/>
                <w:sz w:val="20"/>
              </w:rPr>
              <w:t>Relational, ACID, mature, supports JSON columns for flexible AI payloads</w:t>
            </w:r>
          </w:p>
        </w:tc>
      </w:tr>
      <w:tr>
        <w:tc>
          <w:tcPr>
            <w:tcW w:type="dxa" w:w="3324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  <w:shd w:val="clear" w:color="auto" w:fill="F4F7FB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293B"/>
                <w:sz w:val="20"/>
              </w:rPr>
              <w:t>Secrets (LLM API keys, Graph cert, DB password if not using managed identity)</w:t>
            </w:r>
          </w:p>
        </w:tc>
        <w:tc>
          <w:tcPr>
            <w:tcW w:type="dxa" w:w="3324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  <w:shd w:val="clear" w:color="auto" w:fill="F4F7FB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293B"/>
                <w:sz w:val="20"/>
              </w:rPr>
              <w:t>Azure Key Vault</w:t>
            </w:r>
          </w:p>
        </w:tc>
        <w:tc>
          <w:tcPr>
            <w:tcW w:type="dxa" w:w="3324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  <w:shd w:val="clear" w:color="auto" w:fill="F4F7FB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293B"/>
                <w:sz w:val="20"/>
              </w:rPr>
              <w:t>Shell standard for secret material</w:t>
            </w:r>
          </w:p>
        </w:tc>
      </w:tr>
      <w:tr>
        <w:tc>
          <w:tcPr>
            <w:tcW w:type="dxa" w:w="3324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293B"/>
                <w:sz w:val="20"/>
              </w:rPr>
              <w:t>Audit log (</w:t>
            </w:r>
            <w:r>
              <w:rPr>
                <w:rFonts w:ascii="Consolas" w:hAnsi="Consolas"/>
                <w:color w:val="334055"/>
                <w:sz w:val="18"/>
                <w:shd w:val="clear" w:color="auto" w:fill="F1F3F6"/>
              </w:rPr>
              <w:t>agent_runs</w:t>
            </w:r>
            <w:r>
              <w:rPr>
                <w:rFonts w:ascii="Calibri" w:hAnsi="Calibri"/>
                <w:color w:val="1E293B"/>
                <w:sz w:val="20"/>
              </w:rPr>
              <w:t>)</w:t>
            </w:r>
          </w:p>
        </w:tc>
        <w:tc>
          <w:tcPr>
            <w:tcW w:type="dxa" w:w="3324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293B"/>
                <w:sz w:val="20"/>
              </w:rPr>
              <w:t xml:space="preserve">Postgres </w:t>
            </w:r>
            <w:r>
              <w:rPr>
                <w:rFonts w:ascii="Calibri" w:hAnsi="Calibri"/>
                <w:b/>
                <w:color w:val="1E293B"/>
                <w:sz w:val="20"/>
              </w:rPr>
              <w:t>+</w:t>
            </w:r>
            <w:r>
              <w:rPr>
                <w:rFonts w:ascii="Calibri" w:hAnsi="Calibri"/>
                <w:color w:val="1E293B"/>
                <w:sz w:val="20"/>
              </w:rPr>
              <w:t xml:space="preserve"> mirrored append-only to Azure Log Analytics</w:t>
            </w:r>
          </w:p>
        </w:tc>
        <w:tc>
          <w:tcPr>
            <w:tcW w:type="dxa" w:w="3324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293B"/>
                <w:sz w:val="20"/>
              </w:rPr>
              <w:t>Postgres for app access; Log Analytics for tamper-resistant retention</w:t>
            </w:r>
          </w:p>
        </w:tc>
      </w:tr>
      <w:tr>
        <w:tc>
          <w:tcPr>
            <w:tcW w:type="dxa" w:w="3324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  <w:shd w:val="clear" w:color="auto" w:fill="F4F7FB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293B"/>
                <w:sz w:val="20"/>
              </w:rPr>
              <w:t>Telemetry (request logs, metrics, traces)</w:t>
            </w:r>
          </w:p>
        </w:tc>
        <w:tc>
          <w:tcPr>
            <w:tcW w:type="dxa" w:w="3324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  <w:shd w:val="clear" w:color="auto" w:fill="F4F7FB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293B"/>
                <w:sz w:val="20"/>
              </w:rPr>
              <w:t>App Insights</w:t>
            </w:r>
          </w:p>
        </w:tc>
        <w:tc>
          <w:tcPr>
            <w:tcW w:type="dxa" w:w="3324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  <w:shd w:val="clear" w:color="auto" w:fill="F4F7FB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293B"/>
                <w:sz w:val="20"/>
              </w:rPr>
              <w:t>Standard observability</w:t>
            </w:r>
          </w:p>
        </w:tc>
      </w:tr>
      <w:tr>
        <w:tc>
          <w:tcPr>
            <w:tcW w:type="dxa" w:w="3324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293B"/>
                <w:sz w:val="20"/>
              </w:rPr>
              <w:t>File attachments (none today; future minutes PDFs)</w:t>
            </w:r>
          </w:p>
        </w:tc>
        <w:tc>
          <w:tcPr>
            <w:tcW w:type="dxa" w:w="3324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293B"/>
                <w:sz w:val="20"/>
              </w:rPr>
              <w:t>Azure Blob Storage with private endpoint</w:t>
            </w:r>
          </w:p>
        </w:tc>
        <w:tc>
          <w:tcPr>
            <w:tcW w:type="dxa" w:w="3324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293B"/>
                <w:sz w:val="20"/>
              </w:rPr>
              <w:t>Future-proofing</w:t>
            </w:r>
          </w:p>
        </w:tc>
      </w:tr>
      <w:tr>
        <w:tc>
          <w:tcPr>
            <w:tcW w:type="dxa" w:w="3324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  <w:shd w:val="clear" w:color="auto" w:fill="F4F7FB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293B"/>
                <w:sz w:val="20"/>
              </w:rPr>
              <w:t>Embeddings / vector search (Phase 2+)</w:t>
            </w:r>
          </w:p>
        </w:tc>
        <w:tc>
          <w:tcPr>
            <w:tcW w:type="dxa" w:w="3324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  <w:shd w:val="clear" w:color="auto" w:fill="F4F7FB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293B"/>
                <w:sz w:val="20"/>
              </w:rPr>
              <w:t>pgvector inside the same Postgres</w:t>
            </w:r>
          </w:p>
        </w:tc>
        <w:tc>
          <w:tcPr>
            <w:tcW w:type="dxa" w:w="3324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  <w:shd w:val="clear" w:color="auto" w:fill="F4F7FB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293B"/>
                <w:sz w:val="20"/>
              </w:rPr>
              <w:t>Avoid second store; Shell DBA team already supports Postgres</w:t>
            </w:r>
          </w:p>
        </w:tc>
      </w:tr>
    </w:tbl>
    <w:p/>
    <w:p>
      <w:pPr>
        <w:keepNext/>
        <w:spacing w:before="200" w:after="80"/>
      </w:pPr>
      <w:r>
        <w:rPr>
          <w:rFonts w:ascii="Calibri" w:hAnsi="Calibri"/>
          <w:b/>
          <w:color w:val="0B808C"/>
          <w:sz w:val="26"/>
        </w:rPr>
        <w:t>4.2 Data classification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  <w:shd w:val="clear" w:color="auto" w:fill="DCE7F4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1B3A6F"/>
                <w:sz w:val="21"/>
              </w:rPr>
              <w:t>Field</w:t>
            </w:r>
          </w:p>
        </w:tc>
        <w:tc>
          <w:tcPr>
            <w:tcW w:type="dxa" w:w="3324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  <w:shd w:val="clear" w:color="auto" w:fill="DCE7F4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1B3A6F"/>
                <w:sz w:val="21"/>
              </w:rPr>
              <w:t>Classification</w:t>
            </w:r>
          </w:p>
        </w:tc>
        <w:tc>
          <w:tcPr>
            <w:tcW w:type="dxa" w:w="3324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  <w:shd w:val="clear" w:color="auto" w:fill="DCE7F4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1B3A6F"/>
                <w:sz w:val="21"/>
              </w:rPr>
              <w:t>Handling</w:t>
            </w:r>
          </w:p>
        </w:tc>
      </w:tr>
      <w:tr>
        <w:tc>
          <w:tcPr>
            <w:tcW w:type="dxa" w:w="3324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293B"/>
                <w:sz w:val="20"/>
              </w:rPr>
              <w:t>Vendor name, contract IDs, scorecard scores</w:t>
            </w:r>
          </w:p>
        </w:tc>
        <w:tc>
          <w:tcPr>
            <w:tcW w:type="dxa" w:w="3324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1E293B"/>
                <w:sz w:val="20"/>
              </w:rPr>
              <w:t>Internal</w:t>
            </w:r>
          </w:p>
        </w:tc>
        <w:tc>
          <w:tcPr>
            <w:tcW w:type="dxa" w:w="3324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293B"/>
                <w:sz w:val="20"/>
              </w:rPr>
              <w:t>Standard encryption-at-rest, role-gated access</w:t>
            </w:r>
          </w:p>
        </w:tc>
      </w:tr>
      <w:tr>
        <w:tc>
          <w:tcPr>
            <w:tcW w:type="dxa" w:w="3324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  <w:shd w:val="clear" w:color="auto" w:fill="F4F7FB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293B"/>
                <w:sz w:val="20"/>
              </w:rPr>
              <w:t>Individual stakeholder comments on scorecards</w:t>
            </w:r>
          </w:p>
        </w:tc>
        <w:tc>
          <w:tcPr>
            <w:tcW w:type="dxa" w:w="3324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  <w:shd w:val="clear" w:color="auto" w:fill="F4F7FB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1E293B"/>
                <w:sz w:val="20"/>
              </w:rPr>
              <w:t>Confidential</w:t>
            </w:r>
          </w:p>
        </w:tc>
        <w:tc>
          <w:tcPr>
            <w:tcW w:type="dxa" w:w="3324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  <w:shd w:val="clear" w:color="auto" w:fill="F4F7FB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293B"/>
                <w:sz w:val="20"/>
              </w:rPr>
              <w:t>RBAC-restricted, not visible to vendor under any circumstance</w:t>
            </w:r>
          </w:p>
        </w:tc>
      </w:tr>
      <w:tr>
        <w:tc>
          <w:tcPr>
            <w:tcW w:type="dxa" w:w="3324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293B"/>
                <w:sz w:val="20"/>
              </w:rPr>
              <w:t>Meeting transcripts (if uploaded)</w:t>
            </w:r>
          </w:p>
        </w:tc>
        <w:tc>
          <w:tcPr>
            <w:tcW w:type="dxa" w:w="3324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1E293B"/>
                <w:sz w:val="20"/>
              </w:rPr>
              <w:t>Confidential</w:t>
            </w:r>
          </w:p>
        </w:tc>
        <w:tc>
          <w:tcPr>
            <w:tcW w:type="dxa" w:w="3324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293B"/>
                <w:sz w:val="20"/>
              </w:rPr>
              <w:t>Same RBAC; retention configurable per Shell policy</w:t>
            </w:r>
          </w:p>
        </w:tc>
      </w:tr>
      <w:tr>
        <w:tc>
          <w:tcPr>
            <w:tcW w:type="dxa" w:w="3324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  <w:shd w:val="clear" w:color="auto" w:fill="F4F7FB"/>
          </w:tcPr>
          <w:p>
            <w:pPr>
              <w:spacing w:before="40" w:after="40"/>
            </w:pPr>
            <w:r/>
            <w:r>
              <w:rPr>
                <w:rFonts w:ascii="Consolas" w:hAnsi="Consolas"/>
                <w:color w:val="334055"/>
                <w:sz w:val="18"/>
                <w:shd w:val="clear" w:color="auto" w:fill="F1F3F6"/>
              </w:rPr>
              <w:t>agent_runs.input_payload</w:t>
            </w:r>
            <w:r>
              <w:rPr>
                <w:rFonts w:ascii="Calibri" w:hAnsi="Calibri"/>
                <w:color w:val="1E293B"/>
                <w:sz w:val="20"/>
              </w:rPr>
              <w:t xml:space="preserve"> and </w:t>
            </w:r>
            <w:r>
              <w:rPr>
                <w:rFonts w:ascii="Consolas" w:hAnsi="Consolas"/>
                <w:color w:val="334055"/>
                <w:sz w:val="18"/>
                <w:shd w:val="clear" w:color="auto" w:fill="F1F3F6"/>
              </w:rPr>
              <w:t>output_payload</w:t>
            </w:r>
            <w:r>
              <w:rPr>
                <w:rFonts w:ascii="Calibri" w:hAnsi="Calibri"/>
                <w:color w:val="1E293B"/>
                <w:sz w:val="20"/>
              </w:rPr>
              <w:t xml:space="preserve"> (full LLM prompts/responses)</w:t>
            </w:r>
          </w:p>
        </w:tc>
        <w:tc>
          <w:tcPr>
            <w:tcW w:type="dxa" w:w="3324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  <w:shd w:val="clear" w:color="auto" w:fill="F4F7FB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1E293B"/>
                <w:sz w:val="20"/>
              </w:rPr>
              <w:t>Confidential</w:t>
            </w:r>
          </w:p>
        </w:tc>
        <w:tc>
          <w:tcPr>
            <w:tcW w:type="dxa" w:w="3324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  <w:shd w:val="clear" w:color="auto" w:fill="F4F7FB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293B"/>
                <w:sz w:val="20"/>
              </w:rPr>
              <w:t xml:space="preserve">RBAC-restricted; </w:t>
            </w:r>
            <w:r>
              <w:rPr>
                <w:rFonts w:ascii="Calibri" w:hAnsi="Calibri"/>
                <w:b/>
                <w:color w:val="1E293B"/>
                <w:sz w:val="20"/>
              </w:rPr>
              <w:t>separate retention period</w:t>
            </w:r>
            <w:r>
              <w:rPr>
                <w:rFonts w:ascii="Calibri" w:hAnsi="Calibri"/>
                <w:color w:val="1E293B"/>
                <w:sz w:val="20"/>
              </w:rPr>
              <w:t xml:space="preserve"> (see §6.3)</w:t>
            </w:r>
          </w:p>
        </w:tc>
      </w:tr>
      <w:tr>
        <w:tc>
          <w:tcPr>
            <w:tcW w:type="dxa" w:w="3324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293B"/>
                <w:sz w:val="20"/>
              </w:rPr>
              <w:t>Email content sent via Graph</w:t>
            </w:r>
          </w:p>
        </w:tc>
        <w:tc>
          <w:tcPr>
            <w:tcW w:type="dxa" w:w="3324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1E293B"/>
                <w:sz w:val="20"/>
              </w:rPr>
              <w:t>Internal</w:t>
            </w:r>
          </w:p>
        </w:tc>
        <w:tc>
          <w:tcPr>
            <w:tcW w:type="dxa" w:w="3324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293B"/>
                <w:sz w:val="20"/>
              </w:rPr>
              <w:t xml:space="preserve">Audit-only — content captured at </w:t>
            </w:r>
            <w:r>
              <w:rPr>
                <w:rFonts w:ascii="Consolas" w:hAnsi="Consolas"/>
                <w:color w:val="334055"/>
                <w:sz w:val="18"/>
                <w:shd w:val="clear" w:color="auto" w:fill="F1F3F6"/>
              </w:rPr>
              <w:t>agent_runs</w:t>
            </w:r>
            <w:r>
              <w:rPr>
                <w:rFonts w:ascii="Calibri" w:hAnsi="Calibri"/>
                <w:color w:val="1E293B"/>
                <w:sz w:val="20"/>
              </w:rPr>
              <w:t xml:space="preserve"> level, not duplicated to a separate "sent emails" store</w:t>
            </w:r>
          </w:p>
        </w:tc>
      </w:tr>
      <w:tr>
        <w:tc>
          <w:tcPr>
            <w:tcW w:type="dxa" w:w="3324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  <w:shd w:val="clear" w:color="auto" w:fill="F4F7FB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293B"/>
                <w:sz w:val="20"/>
              </w:rPr>
              <w:t>LLM provider data</w:t>
            </w:r>
          </w:p>
        </w:tc>
        <w:tc>
          <w:tcPr>
            <w:tcW w:type="dxa" w:w="3324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  <w:shd w:val="clear" w:color="auto" w:fill="F4F7FB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1E293B"/>
                <w:sz w:val="20"/>
              </w:rPr>
              <w:t>Confidential (data in transit to a third party)</w:t>
            </w:r>
          </w:p>
        </w:tc>
        <w:tc>
          <w:tcPr>
            <w:tcW w:type="dxa" w:w="3324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  <w:shd w:val="clear" w:color="auto" w:fill="F4F7FB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293B"/>
                <w:sz w:val="20"/>
              </w:rPr>
              <w:t>Subject to provider DPA; see §5</w:t>
            </w:r>
          </w:p>
        </w:tc>
      </w:tr>
    </w:tbl>
    <w:p/>
    <w:p>
      <w:pPr>
        <w:keepNext/>
        <w:spacing w:before="200" w:after="80"/>
      </w:pPr>
      <w:r>
        <w:rPr>
          <w:rFonts w:ascii="Calibri" w:hAnsi="Calibri"/>
          <w:b/>
          <w:color w:val="0B808C"/>
          <w:sz w:val="26"/>
        </w:rPr>
        <w:t>4.3 Encryption</w:t>
      </w:r>
    </w:p>
    <w:p>
      <w:pPr>
        <w:spacing w:after="60"/>
        <w:ind w:left="340"/>
      </w:pPr>
      <w:r>
        <w:rPr>
          <w:b/>
          <w:color w:val="0F5BA8"/>
        </w:rPr>
        <w:t xml:space="preserve">• </w:t>
      </w:r>
      <w:r>
        <w:rPr>
          <w:rFonts w:ascii="Calibri" w:hAnsi="Calibri"/>
          <w:b/>
          <w:color w:val="1E293B"/>
          <w:sz w:val="22"/>
        </w:rPr>
        <w:t>At rest:</w:t>
      </w:r>
      <w:r>
        <w:rPr>
          <w:rFonts w:ascii="Calibri" w:hAnsi="Calibri"/>
          <w:color w:val="1E293B"/>
          <w:sz w:val="22"/>
        </w:rPr>
        <w:t xml:space="preserve"> Azure PaaS defaults (AES-256 service-managed keys). Customer-managed keys (CMK) available via Key Vault if Shell mandates. Easy to enable; we recommend enabling from day one to avoid migration later.</w:t>
      </w:r>
    </w:p>
    <w:p>
      <w:pPr>
        <w:spacing w:after="60"/>
        <w:ind w:left="340"/>
      </w:pPr>
      <w:r>
        <w:rPr>
          <w:b/>
          <w:color w:val="0F5BA8"/>
        </w:rPr>
        <w:t xml:space="preserve">• </w:t>
      </w:r>
      <w:r>
        <w:rPr>
          <w:rFonts w:ascii="Calibri" w:hAnsi="Calibri"/>
          <w:b/>
          <w:color w:val="1E293B"/>
          <w:sz w:val="22"/>
        </w:rPr>
        <w:t>In transit:</w:t>
      </w:r>
      <w:r>
        <w:rPr>
          <w:rFonts w:ascii="Calibri" w:hAnsi="Calibri"/>
          <w:color w:val="1E293B"/>
          <w:sz w:val="22"/>
        </w:rPr>
        <w:t xml:space="preserve"> TLS 1.2+ everywhere. Postgres </w:t>
      </w:r>
      <w:r>
        <w:rPr>
          <w:rFonts w:ascii="Consolas" w:hAnsi="Consolas"/>
          <w:color w:val="334055"/>
          <w:sz w:val="20"/>
          <w:shd w:val="clear" w:color="auto" w:fill="F1F3F6"/>
        </w:rPr>
        <w:t>sslmode=require</w:t>
      </w:r>
      <w:r>
        <w:rPr>
          <w:rFonts w:ascii="Calibri" w:hAnsi="Calibri"/>
          <w:color w:val="1E293B"/>
          <w:sz w:val="22"/>
        </w:rPr>
        <w:t>. Outbound HTTPS to Graph and LLM.</w:t>
      </w:r>
    </w:p>
    <w:p>
      <w:pPr>
        <w:spacing w:after="60"/>
        <w:ind w:left="340"/>
      </w:pPr>
      <w:r>
        <w:rPr>
          <w:b/>
          <w:color w:val="0F5BA8"/>
        </w:rPr>
        <w:t xml:space="preserve">• </w:t>
      </w:r>
      <w:r>
        <w:rPr>
          <w:rFonts w:ascii="Calibri" w:hAnsi="Calibri"/>
          <w:b/>
          <w:color w:val="1E293B"/>
          <w:sz w:val="22"/>
        </w:rPr>
        <w:t>Application-level:</w:t>
      </w:r>
      <w:r>
        <w:rPr>
          <w:rFonts w:ascii="Calibri" w:hAnsi="Calibri"/>
          <w:color w:val="1E293B"/>
          <w:sz w:val="22"/>
        </w:rPr>
        <w:t xml:space="preserve"> No field-level encryption at MVP. If Shell Privacy requires it for stakeholder comments, we can add column-level encryption with a Key Vault-backed key — adds ~1 week of work.</w:t>
      </w:r>
    </w:p>
    <w:p>
      <w:pPr>
        <w:keepNext/>
        <w:spacing w:before="200" w:after="80"/>
      </w:pPr>
      <w:r>
        <w:rPr>
          <w:rFonts w:ascii="Calibri" w:hAnsi="Calibri"/>
          <w:b/>
          <w:color w:val="0B808C"/>
          <w:sz w:val="26"/>
        </w:rPr>
        <w:t>4.4 Backup and disaster recovery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  <w:shd w:val="clear" w:color="auto" w:fill="DCE7F4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1B3A6F"/>
                <w:sz w:val="21"/>
              </w:rPr>
              <w:t>Component</w:t>
            </w:r>
          </w:p>
        </w:tc>
        <w:tc>
          <w:tcPr>
            <w:tcW w:type="dxa" w:w="2493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  <w:shd w:val="clear" w:color="auto" w:fill="DCE7F4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1B3A6F"/>
                <w:sz w:val="21"/>
              </w:rPr>
              <w:t>Backup</w:t>
            </w:r>
          </w:p>
        </w:tc>
        <w:tc>
          <w:tcPr>
            <w:tcW w:type="dxa" w:w="2493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  <w:shd w:val="clear" w:color="auto" w:fill="DCE7F4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1B3A6F"/>
                <w:sz w:val="21"/>
              </w:rPr>
              <w:t>RPO</w:t>
            </w:r>
          </w:p>
        </w:tc>
        <w:tc>
          <w:tcPr>
            <w:tcW w:type="dxa" w:w="2493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  <w:shd w:val="clear" w:color="auto" w:fill="DCE7F4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1B3A6F"/>
                <w:sz w:val="21"/>
              </w:rPr>
              <w:t>RTO</w:t>
            </w:r>
          </w:p>
        </w:tc>
      </w:tr>
      <w:tr>
        <w:tc>
          <w:tcPr>
            <w:tcW w:type="dxa" w:w="2493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293B"/>
                <w:sz w:val="20"/>
              </w:rPr>
              <w:t>Postgres</w:t>
            </w:r>
          </w:p>
        </w:tc>
        <w:tc>
          <w:tcPr>
            <w:tcW w:type="dxa" w:w="2493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293B"/>
                <w:sz w:val="20"/>
              </w:rPr>
              <w:t>Azure-managed automatic backups + point-in-time restore</w:t>
            </w:r>
          </w:p>
        </w:tc>
        <w:tc>
          <w:tcPr>
            <w:tcW w:type="dxa" w:w="2493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293B"/>
                <w:sz w:val="20"/>
              </w:rPr>
              <w:t>5 minutes</w:t>
            </w:r>
          </w:p>
        </w:tc>
        <w:tc>
          <w:tcPr>
            <w:tcW w:type="dxa" w:w="2493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293B"/>
                <w:sz w:val="20"/>
              </w:rPr>
              <w:t>1 hour</w:t>
            </w:r>
          </w:p>
        </w:tc>
      </w:tr>
      <w:tr>
        <w:tc>
          <w:tcPr>
            <w:tcW w:type="dxa" w:w="2493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  <w:shd w:val="clear" w:color="auto" w:fill="F4F7FB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293B"/>
                <w:sz w:val="20"/>
              </w:rPr>
              <w:t>Key Vault</w:t>
            </w:r>
          </w:p>
        </w:tc>
        <w:tc>
          <w:tcPr>
            <w:tcW w:type="dxa" w:w="2493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  <w:shd w:val="clear" w:color="auto" w:fill="F4F7FB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293B"/>
                <w:sz w:val="20"/>
              </w:rPr>
              <w:t>Soft-delete (90 days), purge protection ON</w:t>
            </w:r>
          </w:p>
        </w:tc>
        <w:tc>
          <w:tcPr>
            <w:tcW w:type="dxa" w:w="2493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  <w:shd w:val="clear" w:color="auto" w:fill="F4F7FB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293B"/>
                <w:sz w:val="20"/>
              </w:rPr>
              <w:t>N/A</w:t>
            </w:r>
          </w:p>
        </w:tc>
        <w:tc>
          <w:tcPr>
            <w:tcW w:type="dxa" w:w="2493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  <w:shd w:val="clear" w:color="auto" w:fill="F4F7FB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293B"/>
                <w:sz w:val="20"/>
              </w:rPr>
              <w:t>Immediate (recover deleted secret)</w:t>
            </w:r>
          </w:p>
        </w:tc>
      </w:tr>
      <w:tr>
        <w:tc>
          <w:tcPr>
            <w:tcW w:type="dxa" w:w="2493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293B"/>
                <w:sz w:val="20"/>
              </w:rPr>
              <w:t>App Service</w:t>
            </w:r>
          </w:p>
        </w:tc>
        <w:tc>
          <w:tcPr>
            <w:tcW w:type="dxa" w:w="2493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293B"/>
                <w:sz w:val="20"/>
              </w:rPr>
              <w:t>Code re-deployable from CI/CD pipeline</w:t>
            </w:r>
          </w:p>
        </w:tc>
        <w:tc>
          <w:tcPr>
            <w:tcW w:type="dxa" w:w="2493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293B"/>
                <w:sz w:val="20"/>
              </w:rPr>
              <w:t>N/A</w:t>
            </w:r>
          </w:p>
        </w:tc>
        <w:tc>
          <w:tcPr>
            <w:tcW w:type="dxa" w:w="2493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293B"/>
                <w:sz w:val="20"/>
              </w:rPr>
              <w:t>30 minutes</w:t>
            </w:r>
          </w:p>
        </w:tc>
      </w:tr>
      <w:tr>
        <w:tc>
          <w:tcPr>
            <w:tcW w:type="dxa" w:w="2493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  <w:shd w:val="clear" w:color="auto" w:fill="F4F7FB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293B"/>
                <w:sz w:val="20"/>
              </w:rPr>
              <w:t>App Insights / Log Analytics</w:t>
            </w:r>
          </w:p>
        </w:tc>
        <w:tc>
          <w:tcPr>
            <w:tcW w:type="dxa" w:w="2493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  <w:shd w:val="clear" w:color="auto" w:fill="F4F7FB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293B"/>
                <w:sz w:val="20"/>
              </w:rPr>
              <w:t>Native immutable</w:t>
            </w:r>
          </w:p>
        </w:tc>
        <w:tc>
          <w:tcPr>
            <w:tcW w:type="dxa" w:w="2493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  <w:shd w:val="clear" w:color="auto" w:fill="F4F7FB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293B"/>
                <w:sz w:val="20"/>
              </w:rPr>
              <w:t>N/A</w:t>
            </w:r>
          </w:p>
        </w:tc>
        <w:tc>
          <w:tcPr>
            <w:tcW w:type="dxa" w:w="2493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  <w:shd w:val="clear" w:color="auto" w:fill="F4F7FB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293B"/>
                <w:sz w:val="20"/>
              </w:rPr>
              <w:t>N/A</w:t>
            </w:r>
          </w:p>
        </w:tc>
      </w:tr>
    </w:tbl>
    <w:p/>
    <w:p>
      <w:pPr>
        <w:spacing w:after="120"/>
      </w:pPr>
      <w:r>
        <w:rPr>
          <w:rFonts w:ascii="Calibri" w:hAnsi="Calibri"/>
          <w:color w:val="1E293B"/>
          <w:sz w:val="22"/>
        </w:rPr>
        <w:t xml:space="preserve">Geo-redundant Postgres backups configured. Cross-region failover is </w:t>
      </w:r>
      <w:r>
        <w:rPr>
          <w:rFonts w:ascii="Calibri" w:hAnsi="Calibri"/>
          <w:b/>
          <w:color w:val="1E293B"/>
          <w:sz w:val="22"/>
        </w:rPr>
        <w:t>out of scope</w:t>
      </w:r>
      <w:r>
        <w:rPr>
          <w:rFonts w:ascii="Calibri" w:hAnsi="Calibri"/>
          <w:color w:val="1E293B"/>
          <w:sz w:val="22"/>
        </w:rPr>
        <w:t xml:space="preserve"> for first release — Shell to confirm whether this is acceptable for a non-Tier-1 workload.</w:t>
      </w:r>
    </w:p>
    <w:p>
      <w:pPr>
        <w:pBdr>
          <w:bottom w:val="single" w:sz="6" w:space="1" w:color="C7D0DD"/>
        </w:pBdr>
      </w:pPr>
    </w:p>
    <w:p>
      <w:pPr>
        <w:keepNext/>
        <w:spacing w:before="280" w:after="120"/>
      </w:pPr>
      <w:r>
        <w:rPr>
          <w:rFonts w:ascii="Calibri" w:hAnsi="Calibri"/>
          <w:b/>
          <w:color w:val="0F5BA8"/>
          <w:sz w:val="32"/>
        </w:rPr>
        <w:t>5. External integration architecture</w:t>
      </w:r>
    </w:p>
    <w:p>
      <w:pPr>
        <w:keepNext/>
        <w:spacing w:before="200" w:after="80"/>
      </w:pPr>
      <w:r>
        <w:rPr>
          <w:rFonts w:ascii="Calibri" w:hAnsi="Calibri"/>
          <w:b/>
          <w:color w:val="0B808C"/>
          <w:sz w:val="26"/>
        </w:rPr>
        <w:t>5.1 Microsoft Graph</w:t>
      </w:r>
    </w:p>
    <w:p>
      <w:pPr>
        <w:spacing w:after="120"/>
      </w:pPr>
      <w:r>
        <w:rPr>
          <w:rFonts w:ascii="Calibri" w:hAnsi="Calibri"/>
          <w:color w:val="1E293B"/>
          <w:sz w:val="22"/>
        </w:rPr>
        <w:t xml:space="preserve">All Graph calls are wrapped in a single </w:t>
      </w:r>
      <w:r>
        <w:rPr>
          <w:rFonts w:ascii="Consolas" w:hAnsi="Consolas"/>
          <w:color w:val="334055"/>
          <w:sz w:val="20"/>
          <w:shd w:val="clear" w:color="auto" w:fill="F1F3F6"/>
        </w:rPr>
        <w:t>GraphService</w:t>
      </w:r>
      <w:r>
        <w:rPr>
          <w:rFonts w:ascii="Calibri" w:hAnsi="Calibri"/>
          <w:color w:val="1E293B"/>
          <w:sz w:val="22"/>
        </w:rPr>
        <w:t xml:space="preserve"> class (already exists in POC; needs production hardening — see </w:t>
      </w:r>
      <w:r>
        <w:rPr>
          <w:rFonts w:ascii="Calibri" w:hAnsi="Calibri"/>
          <w:color w:val="0F5BA8"/>
          <w:sz w:val="22"/>
          <w:u w:val="single"/>
        </w:rPr>
        <w:t>§05</w:t>
      </w:r>
      <w:r>
        <w:rPr>
          <w:rFonts w:ascii="Calibri" w:hAnsi="Calibri"/>
          <w:color w:val="1E293B"/>
          <w:sz w:val="22"/>
        </w:rPr>
        <w:t>). Key changes from POC:</w:t>
      </w:r>
    </w:p>
    <w:p>
      <w:pPr>
        <w:spacing w:after="60"/>
        <w:ind w:left="340"/>
      </w:pPr>
      <w:r>
        <w:rPr>
          <w:b/>
          <w:color w:val="0F5BA8"/>
        </w:rPr>
        <w:t xml:space="preserve">• </w:t>
      </w:r>
      <w:r>
        <w:rPr>
          <w:rFonts w:ascii="Calibri" w:hAnsi="Calibri"/>
          <w:b/>
          <w:color w:val="1E293B"/>
          <w:sz w:val="22"/>
        </w:rPr>
        <w:t>Authentication:</w:t>
      </w:r>
      <w:r>
        <w:rPr>
          <w:rFonts w:ascii="Calibri" w:hAnsi="Calibri"/>
          <w:color w:val="1E293B"/>
          <w:sz w:val="22"/>
        </w:rPr>
        <w:t xml:space="preserve"> App-only via </w:t>
      </w:r>
      <w:r>
        <w:rPr>
          <w:rFonts w:ascii="Consolas" w:hAnsi="Consolas"/>
          <w:color w:val="334055"/>
          <w:sz w:val="20"/>
          <w:shd w:val="clear" w:color="auto" w:fill="F1F3F6"/>
        </w:rPr>
        <w:t>msal</w:t>
      </w:r>
      <w:r>
        <w:rPr>
          <w:rFonts w:ascii="Calibri" w:hAnsi="Calibri"/>
          <w:color w:val="1E293B"/>
          <w:sz w:val="22"/>
        </w:rPr>
        <w:t xml:space="preserve"> </w:t>
      </w:r>
      <w:r>
        <w:rPr>
          <w:rFonts w:ascii="Consolas" w:hAnsi="Consolas"/>
          <w:color w:val="334055"/>
          <w:sz w:val="20"/>
          <w:shd w:val="clear" w:color="auto" w:fill="F1F3F6"/>
        </w:rPr>
        <w:t>ConfidentialClientApplication</w:t>
      </w:r>
      <w:r>
        <w:rPr>
          <w:rFonts w:ascii="Calibri" w:hAnsi="Calibri"/>
          <w:color w:val="1E293B"/>
          <w:sz w:val="22"/>
        </w:rPr>
        <w:t xml:space="preserve"> with certificate; tokens cached in-memory with proper expiry handling.</w:t>
      </w:r>
    </w:p>
    <w:p>
      <w:pPr>
        <w:spacing w:after="60"/>
        <w:ind w:left="340"/>
      </w:pPr>
      <w:r>
        <w:rPr>
          <w:b/>
          <w:color w:val="0F5BA8"/>
        </w:rPr>
        <w:t xml:space="preserve">• </w:t>
      </w:r>
      <w:r>
        <w:rPr>
          <w:rFonts w:ascii="Calibri" w:hAnsi="Calibri"/>
          <w:b/>
          <w:color w:val="1E293B"/>
          <w:sz w:val="22"/>
        </w:rPr>
        <w:t>Retry:</w:t>
      </w:r>
      <w:r>
        <w:rPr>
          <w:rFonts w:ascii="Calibri" w:hAnsi="Calibri"/>
          <w:color w:val="1E293B"/>
          <w:sz w:val="22"/>
        </w:rPr>
        <w:t xml:space="preserve"> Tenacity-based retry with exponential backoff on 429 / 5xx, honouring </w:t>
      </w:r>
      <w:r>
        <w:rPr>
          <w:rFonts w:ascii="Consolas" w:hAnsi="Consolas"/>
          <w:color w:val="334055"/>
          <w:sz w:val="20"/>
          <w:shd w:val="clear" w:color="auto" w:fill="F1F3F6"/>
        </w:rPr>
        <w:t>Retry-After</w:t>
      </w:r>
      <w:r>
        <w:rPr>
          <w:rFonts w:ascii="Calibri" w:hAnsi="Calibri"/>
          <w:color w:val="1E293B"/>
          <w:sz w:val="22"/>
        </w:rPr>
        <w:t xml:space="preserve"> header.</w:t>
      </w:r>
    </w:p>
    <w:p>
      <w:pPr>
        <w:spacing w:after="60"/>
        <w:ind w:left="340"/>
      </w:pPr>
      <w:r>
        <w:rPr>
          <w:b/>
          <w:color w:val="0F5BA8"/>
        </w:rPr>
        <w:t xml:space="preserve">• </w:t>
      </w:r>
      <w:r>
        <w:rPr>
          <w:rFonts w:ascii="Calibri" w:hAnsi="Calibri"/>
          <w:b/>
          <w:color w:val="1E293B"/>
          <w:sz w:val="22"/>
        </w:rPr>
        <w:t>Throttling awareness:</w:t>
      </w:r>
      <w:r>
        <w:rPr>
          <w:rFonts w:ascii="Calibri" w:hAnsi="Calibri"/>
          <w:color w:val="1E293B"/>
          <w:sz w:val="22"/>
        </w:rPr>
        <w:t xml:space="preserve"> Per-app per-mailbox limits are documented and respected (see </w:t>
      </w:r>
      <w:r>
        <w:rPr>
          <w:rFonts w:ascii="Calibri" w:hAnsi="Calibri"/>
          <w:color w:val="0F5BA8"/>
          <w:sz w:val="22"/>
          <w:u w:val="single"/>
        </w:rPr>
        <w:t>§10.5</w:t>
      </w:r>
      <w:r>
        <w:rPr>
          <w:rFonts w:ascii="Calibri" w:hAnsi="Calibri"/>
          <w:color w:val="1E293B"/>
          <w:sz w:val="22"/>
        </w:rPr>
        <w:t>).</w:t>
      </w:r>
    </w:p>
    <w:p>
      <w:pPr>
        <w:spacing w:after="60"/>
        <w:ind w:left="340"/>
      </w:pPr>
      <w:r>
        <w:rPr>
          <w:b/>
          <w:color w:val="0F5BA8"/>
        </w:rPr>
        <w:t xml:space="preserve">• </w:t>
      </w:r>
      <w:r>
        <w:rPr>
          <w:rFonts w:ascii="Calibri" w:hAnsi="Calibri"/>
          <w:b/>
          <w:color w:val="1E293B"/>
          <w:sz w:val="22"/>
        </w:rPr>
        <w:t>Correlation IDs:</w:t>
      </w:r>
      <w:r>
        <w:rPr>
          <w:rFonts w:ascii="Calibri" w:hAnsi="Calibri"/>
          <w:color w:val="1E293B"/>
          <w:sz w:val="22"/>
        </w:rPr>
        <w:t xml:space="preserve"> Graph </w:t>
      </w:r>
      <w:r>
        <w:rPr>
          <w:rFonts w:ascii="Consolas" w:hAnsi="Consolas"/>
          <w:color w:val="334055"/>
          <w:sz w:val="20"/>
          <w:shd w:val="clear" w:color="auto" w:fill="F1F3F6"/>
        </w:rPr>
        <w:t>request-id</w:t>
      </w:r>
      <w:r>
        <w:rPr>
          <w:rFonts w:ascii="Calibri" w:hAnsi="Calibri"/>
          <w:color w:val="1E293B"/>
          <w:sz w:val="22"/>
        </w:rPr>
        <w:t xml:space="preserve"> captured into App Insights for every call.</w:t>
      </w:r>
    </w:p>
    <w:p>
      <w:pPr>
        <w:spacing w:after="60"/>
        <w:ind w:left="340"/>
      </w:pPr>
      <w:r>
        <w:rPr>
          <w:b/>
          <w:color w:val="0F5BA8"/>
        </w:rPr>
        <w:t xml:space="preserve">• </w:t>
      </w:r>
      <w:r>
        <w:rPr>
          <w:rFonts w:ascii="Calibri" w:hAnsi="Calibri"/>
          <w:b/>
          <w:color w:val="1E293B"/>
          <w:sz w:val="22"/>
        </w:rPr>
        <w:t>Audit:</w:t>
      </w:r>
      <w:r>
        <w:rPr>
          <w:rFonts w:ascii="Calibri" w:hAnsi="Calibri"/>
          <w:color w:val="1E293B"/>
          <w:sz w:val="22"/>
        </w:rPr>
        <w:t xml:space="preserve"> Every Graph call writes to </w:t>
      </w:r>
      <w:r>
        <w:rPr>
          <w:rFonts w:ascii="Consolas" w:hAnsi="Consolas"/>
          <w:color w:val="334055"/>
          <w:sz w:val="20"/>
          <w:shd w:val="clear" w:color="auto" w:fill="F1F3F6"/>
        </w:rPr>
        <w:t>external_calls</w:t>
      </w:r>
      <w:r>
        <w:rPr>
          <w:rFonts w:ascii="Calibri" w:hAnsi="Calibri"/>
          <w:color w:val="1E293B"/>
          <w:sz w:val="22"/>
        </w:rPr>
        <w:t xml:space="preserve"> table — endpoint, params (PII-stripped), status, latency.</w:t>
      </w:r>
    </w:p>
    <w:p>
      <w:pPr>
        <w:keepNext/>
        <w:spacing w:before="200" w:after="80"/>
      </w:pPr>
      <w:r>
        <w:rPr>
          <w:rFonts w:ascii="Calibri" w:hAnsi="Calibri"/>
          <w:b/>
          <w:color w:val="0B808C"/>
          <w:sz w:val="26"/>
        </w:rPr>
        <w:t>5.2 LLM provider abstraction</w:t>
      </w:r>
    </w:p>
    <w:p>
      <w:pPr>
        <w:spacing w:after="120"/>
      </w:pPr>
      <w:r>
        <w:rPr>
          <w:rFonts w:ascii="Calibri" w:hAnsi="Calibri"/>
          <w:color w:val="1E293B"/>
          <w:sz w:val="22"/>
        </w:rPr>
        <w:t xml:space="preserve">The POC has the LLM provider mostly abstracted in </w:t>
      </w:r>
      <w:r>
        <w:rPr>
          <w:rFonts w:ascii="Consolas" w:hAnsi="Consolas"/>
          <w:color w:val="334055"/>
          <w:sz w:val="20"/>
          <w:shd w:val="clear" w:color="auto" w:fill="F1F3F6"/>
        </w:rPr>
        <w:t>llm_service.py</w:t>
      </w:r>
      <w:r>
        <w:rPr>
          <w:rFonts w:ascii="Calibri" w:hAnsi="Calibri"/>
          <w:color w:val="1E293B"/>
          <w:sz w:val="22"/>
        </w:rPr>
        <w:t>. For Shell, we formalise:</w:t>
      </w:r>
    </w:p>
    <w:p>
      <w:pPr>
        <w:spacing w:before="80" w:after="160"/>
        <w:ind w:left="113"/>
        <w:shd w:val="clear" w:color="auto" w:fill="F1F3F6"/>
      </w:pPr>
      <w:r>
        <w:rPr>
          <w:rFonts w:ascii="Consolas" w:hAnsi="Consolas"/>
          <w:color w:val="334055"/>
          <w:sz w:val="19"/>
        </w:rPr>
        <w:t>class LLMProvider(Protocol):</w:t>
      </w:r>
      <w:r>
        <w:br/>
      </w:r>
      <w:r>
        <w:rPr>
          <w:rFonts w:ascii="Consolas" w:hAnsi="Consolas"/>
          <w:color w:val="334055"/>
          <w:sz w:val="19"/>
        </w:rPr>
        <w:t xml:space="preserve">    async def call(self, system: str, messages: list[dict],</w:t>
      </w:r>
      <w:r>
        <w:br/>
      </w:r>
      <w:r>
        <w:rPr>
          <w:rFonts w:ascii="Consolas" w:hAnsi="Consolas"/>
          <w:color w:val="334055"/>
          <w:sz w:val="19"/>
        </w:rPr>
        <w:t xml:space="preserve">                   tools: list[dict] | None = None,</w:t>
      </w:r>
      <w:r>
        <w:br/>
      </w:r>
      <w:r>
        <w:rPr>
          <w:rFonts w:ascii="Consolas" w:hAnsi="Consolas"/>
          <w:color w:val="334055"/>
          <w:sz w:val="19"/>
        </w:rPr>
        <w:t xml:space="preserve">                   max_tokens: int = 4096) -&gt; LLMResponse: ...</w:t>
      </w:r>
      <w:r>
        <w:br/>
      </w:r>
      <w:r>
        <w:rPr>
          <w:rFonts w:ascii="Consolas" w:hAnsi="Consolas"/>
          <w:color w:val="334055"/>
          <w:sz w:val="19"/>
        </w:rPr>
      </w:r>
      <w:r>
        <w:br/>
      </w:r>
      <w:r>
        <w:rPr>
          <w:rFonts w:ascii="Consolas" w:hAnsi="Consolas"/>
          <w:color w:val="334055"/>
          <w:sz w:val="19"/>
        </w:rPr>
        <w:t>class AnthropicProvider(LLMProvider): ...   # Anthropic Claude API</w:t>
      </w:r>
      <w:r>
        <w:br/>
      </w:r>
      <w:r>
        <w:rPr>
          <w:rFonts w:ascii="Consolas" w:hAnsi="Consolas"/>
          <w:color w:val="334055"/>
          <w:sz w:val="19"/>
        </w:rPr>
        <w:t>class AzureOpenAIProvider(LLMProvider): ... # Azure OpenAI service</w:t>
      </w:r>
    </w:p>
    <w:p>
      <w:pPr>
        <w:spacing w:after="120"/>
      </w:pPr>
      <w:r>
        <w:rPr>
          <w:rFonts w:ascii="Calibri" w:hAnsi="Calibri"/>
          <w:b/>
          <w:color w:val="1E293B"/>
          <w:sz w:val="22"/>
        </w:rPr>
        <w:t>Switching providers is a configuration change</w:t>
      </w:r>
      <w:r>
        <w:rPr>
          <w:rFonts w:ascii="Calibri" w:hAnsi="Calibri"/>
          <w:color w:val="1E293B"/>
          <w:sz w:val="22"/>
        </w:rPr>
        <w:t>, not a code change. Shell can start on one and migrate without re-architecting. The tool-calling response shape is normalised by the provider class.</w:t>
      </w:r>
    </w:p>
    <w:p>
      <w:pPr>
        <w:keepNext/>
        <w:spacing w:before="200" w:after="80"/>
      </w:pPr>
      <w:r>
        <w:rPr>
          <w:rFonts w:ascii="Calibri" w:hAnsi="Calibri"/>
          <w:b/>
          <w:color w:val="0B808C"/>
          <w:sz w:val="26"/>
        </w:rPr>
        <w:t>5.3 Scorecard collection — three options</w:t>
      </w:r>
    </w:p>
    <w:p>
      <w:pPr>
        <w:keepNext/>
        <w:spacing w:before="160" w:after="60"/>
      </w:pPr>
      <w:r>
        <w:rPr>
          <w:rFonts w:ascii="Calibri" w:hAnsi="Calibri"/>
          <w:b/>
          <w:color w:val="334055"/>
          <w:sz w:val="24"/>
        </w:rPr>
        <w:t>Option A: Microsoft Forms via Graph</w:t>
      </w:r>
    </w:p>
    <w:p>
      <w:pPr>
        <w:spacing w:after="60"/>
        <w:ind w:left="340"/>
      </w:pPr>
      <w:r>
        <w:rPr>
          <w:b/>
          <w:color w:val="0F5BA8"/>
        </w:rPr>
        <w:t xml:space="preserve">• </w:t>
      </w:r>
      <w:r>
        <w:rPr>
          <w:rFonts w:ascii="Calibri" w:hAnsi="Calibri"/>
          <w:color w:val="1E293B"/>
          <w:sz w:val="22"/>
        </w:rPr>
        <w:t>Shell creates one form per cycle via Graph Forms API (or per-vendor template).</w:t>
      </w:r>
    </w:p>
    <w:p>
      <w:pPr>
        <w:spacing w:after="60"/>
        <w:ind w:left="340"/>
      </w:pPr>
      <w:r>
        <w:rPr>
          <w:b/>
          <w:color w:val="0F5BA8"/>
        </w:rPr>
        <w:t xml:space="preserve">• </w:t>
      </w:r>
      <w:r>
        <w:rPr>
          <w:rFonts w:ascii="Calibri" w:hAnsi="Calibri"/>
          <w:color w:val="1E293B"/>
          <w:sz w:val="22"/>
        </w:rPr>
        <w:t>Responses pulled via Graph polling or webhook.</w:t>
      </w:r>
    </w:p>
    <w:p>
      <w:pPr>
        <w:spacing w:after="60"/>
        <w:ind w:left="340"/>
      </w:pPr>
      <w:r>
        <w:rPr>
          <w:b/>
          <w:color w:val="0F5BA8"/>
        </w:rPr>
        <w:t xml:space="preserve">• </w:t>
      </w:r>
      <w:r>
        <w:rPr>
          <w:rFonts w:ascii="Calibri" w:hAnsi="Calibri"/>
          <w:b/>
          <w:color w:val="1E293B"/>
          <w:sz w:val="22"/>
        </w:rPr>
        <w:t>Status:</w:t>
      </w:r>
      <w:r>
        <w:rPr>
          <w:rFonts w:ascii="Calibri" w:hAnsi="Calibri"/>
          <w:color w:val="1E293B"/>
          <w:sz w:val="22"/>
        </w:rPr>
        <w:t xml:space="preserve"> Microsoft Forms via Graph is in </w:t>
      </w:r>
      <w:r>
        <w:rPr>
          <w:rFonts w:ascii="Consolas" w:hAnsi="Consolas"/>
          <w:color w:val="334055"/>
          <w:sz w:val="20"/>
          <w:shd w:val="clear" w:color="auto" w:fill="F1F3F6"/>
        </w:rPr>
        <w:t>beta</w:t>
      </w:r>
      <w:r>
        <w:rPr>
          <w:rFonts w:ascii="Calibri" w:hAnsi="Calibri"/>
          <w:color w:val="1E293B"/>
          <w:sz w:val="22"/>
        </w:rPr>
        <w:t xml:space="preserve"> API at time of writing — production-readiness needs Shell IT confirmation.</w:t>
      </w:r>
    </w:p>
    <w:p>
      <w:pPr>
        <w:keepNext/>
        <w:spacing w:before="160" w:after="60"/>
      </w:pPr>
      <w:r>
        <w:rPr>
          <w:rFonts w:ascii="Calibri" w:hAnsi="Calibri"/>
          <w:b/>
          <w:color w:val="334055"/>
          <w:sz w:val="24"/>
        </w:rPr>
        <w:t>Option B: Native in-app scorecard form (**recommended**)</w:t>
      </w:r>
    </w:p>
    <w:p>
      <w:pPr>
        <w:spacing w:after="60"/>
        <w:ind w:left="340"/>
      </w:pPr>
      <w:r>
        <w:rPr>
          <w:b/>
          <w:color w:val="0F5BA8"/>
        </w:rPr>
        <w:t xml:space="preserve">• </w:t>
      </w:r>
      <w:r>
        <w:rPr>
          <w:rFonts w:ascii="Calibri" w:hAnsi="Calibri"/>
          <w:color w:val="1E293B"/>
          <w:sz w:val="22"/>
        </w:rPr>
        <w:t>Built-in React form rendered to stakeholders via a unique link emailed by Graph.</w:t>
      </w:r>
    </w:p>
    <w:p>
      <w:pPr>
        <w:spacing w:after="60"/>
        <w:ind w:left="340"/>
      </w:pPr>
      <w:r>
        <w:rPr>
          <w:b/>
          <w:color w:val="0F5BA8"/>
        </w:rPr>
        <w:t xml:space="preserve">• </w:t>
      </w:r>
      <w:r>
        <w:rPr>
          <w:rFonts w:ascii="Calibri" w:hAnsi="Calibri"/>
          <w:color w:val="1E293B"/>
          <w:sz w:val="22"/>
        </w:rPr>
        <w:t>Authentication: stakeholder follows magic-link → Entra ID SSO if internal; one-time-link with token if external.</w:t>
      </w:r>
    </w:p>
    <w:p>
      <w:pPr>
        <w:spacing w:after="60"/>
        <w:ind w:left="340"/>
      </w:pPr>
      <w:r>
        <w:rPr>
          <w:b/>
          <w:color w:val="0F5BA8"/>
        </w:rPr>
        <w:t xml:space="preserve">• </w:t>
      </w:r>
      <w:r>
        <w:rPr>
          <w:rFonts w:ascii="Calibri" w:hAnsi="Calibri"/>
          <w:color w:val="1E293B"/>
          <w:sz w:val="22"/>
        </w:rPr>
        <w:t>All data lands directly in Postgres; no external dependency.</w:t>
      </w:r>
    </w:p>
    <w:p>
      <w:pPr>
        <w:spacing w:after="60"/>
        <w:ind w:left="340"/>
      </w:pPr>
      <w:r>
        <w:rPr>
          <w:b/>
          <w:color w:val="0F5BA8"/>
        </w:rPr>
        <w:t xml:space="preserve">• </w:t>
      </w:r>
      <w:r>
        <w:rPr>
          <w:rFonts w:ascii="Calibri" w:hAnsi="Calibri"/>
          <w:b/>
          <w:color w:val="1E293B"/>
          <w:sz w:val="22"/>
        </w:rPr>
        <w:t>Pros:</w:t>
      </w:r>
      <w:r>
        <w:rPr>
          <w:rFonts w:ascii="Calibri" w:hAnsi="Calibri"/>
          <w:color w:val="1E293B"/>
          <w:sz w:val="22"/>
        </w:rPr>
        <w:t xml:space="preserve"> simpler, full control over schema, no API rate limits, accessible from Day 1.</w:t>
      </w:r>
    </w:p>
    <w:p>
      <w:pPr>
        <w:spacing w:after="60"/>
        <w:ind w:left="340"/>
      </w:pPr>
      <w:r>
        <w:rPr>
          <w:b/>
          <w:color w:val="0F5BA8"/>
        </w:rPr>
        <w:t xml:space="preserve">• </w:t>
      </w:r>
      <w:r>
        <w:rPr>
          <w:rFonts w:ascii="Calibri" w:hAnsi="Calibri"/>
          <w:b/>
          <w:color w:val="1E293B"/>
          <w:sz w:val="22"/>
        </w:rPr>
        <w:t>Cons:</w:t>
      </w:r>
      <w:r>
        <w:rPr>
          <w:rFonts w:ascii="Calibri" w:hAnsi="Calibri"/>
          <w:color w:val="1E293B"/>
          <w:sz w:val="22"/>
        </w:rPr>
        <w:t xml:space="preserve"> stakeholders learn a new form (vs. familiar MS Forms UX). Mitigation: keep it ruthlessly simple — five sliders and four comment boxes.</w:t>
      </w:r>
    </w:p>
    <w:p>
      <w:pPr>
        <w:keepNext/>
        <w:spacing w:before="160" w:after="60"/>
      </w:pPr>
      <w:r>
        <w:rPr>
          <w:rFonts w:ascii="Calibri" w:hAnsi="Calibri"/>
          <w:b/>
          <w:color w:val="334055"/>
          <w:sz w:val="24"/>
        </w:rPr>
        <w:t>Option C: Outlook actionable cards / adaptive cards in email</w:t>
      </w:r>
    </w:p>
    <w:p>
      <w:pPr>
        <w:spacing w:after="60"/>
        <w:ind w:left="340"/>
      </w:pPr>
      <w:r>
        <w:rPr>
          <w:b/>
          <w:color w:val="0F5BA8"/>
        </w:rPr>
        <w:t xml:space="preserve">• </w:t>
      </w:r>
      <w:r>
        <w:rPr>
          <w:rFonts w:ascii="Calibri" w:hAnsi="Calibri"/>
          <w:color w:val="1E293B"/>
          <w:sz w:val="22"/>
        </w:rPr>
        <w:t>Inline form rendered inside Outlook email. Stakeholder fills in the email itself.</w:t>
      </w:r>
    </w:p>
    <w:p>
      <w:pPr>
        <w:spacing w:after="60"/>
        <w:ind w:left="340"/>
      </w:pPr>
      <w:r>
        <w:rPr>
          <w:b/>
          <w:color w:val="0F5BA8"/>
        </w:rPr>
        <w:t xml:space="preserve">• </w:t>
      </w:r>
      <w:r>
        <w:rPr>
          <w:rFonts w:ascii="Calibri" w:hAnsi="Calibri"/>
          <w:b/>
          <w:color w:val="1E293B"/>
          <w:sz w:val="22"/>
        </w:rPr>
        <w:t>Pros:</w:t>
      </w:r>
      <w:r>
        <w:rPr>
          <w:rFonts w:ascii="Calibri" w:hAnsi="Calibri"/>
          <w:color w:val="1E293B"/>
          <w:sz w:val="22"/>
        </w:rPr>
        <w:t xml:space="preserve"> zero-click experience.</w:t>
      </w:r>
    </w:p>
    <w:p>
      <w:pPr>
        <w:spacing w:after="60"/>
        <w:ind w:left="340"/>
      </w:pPr>
      <w:r>
        <w:rPr>
          <w:b/>
          <w:color w:val="0F5BA8"/>
        </w:rPr>
        <w:t xml:space="preserve">• </w:t>
      </w:r>
      <w:r>
        <w:rPr>
          <w:rFonts w:ascii="Calibri" w:hAnsi="Calibri"/>
          <w:b/>
          <w:color w:val="1E293B"/>
          <w:sz w:val="22"/>
        </w:rPr>
        <w:t>Cons:</w:t>
      </w:r>
      <w:r>
        <w:rPr>
          <w:rFonts w:ascii="Calibri" w:hAnsi="Calibri"/>
          <w:color w:val="1E293B"/>
          <w:sz w:val="22"/>
        </w:rPr>
        <w:t xml:space="preserve"> rendering inconsistency across Outlook versions, mobile, and external clients. </w:t>
      </w:r>
      <w:r>
        <w:rPr>
          <w:rFonts w:ascii="Calibri" w:hAnsi="Calibri"/>
          <w:b/>
          <w:color w:val="1E293B"/>
          <w:sz w:val="22"/>
        </w:rPr>
        <w:t>Not recommended</w:t>
      </w:r>
      <w:r>
        <w:rPr>
          <w:rFonts w:ascii="Calibri" w:hAnsi="Calibri"/>
          <w:color w:val="1E293B"/>
          <w:sz w:val="22"/>
        </w:rPr>
        <w:t xml:space="preserve"> unless Shell mandates email-only UX.</w:t>
      </w:r>
    </w:p>
    <w:p>
      <w:pPr>
        <w:spacing w:after="120"/>
      </w:pPr>
      <w:r>
        <w:rPr>
          <w:rFonts w:ascii="Calibri" w:hAnsi="Calibri"/>
          <w:b/>
          <w:color w:val="1E293B"/>
          <w:sz w:val="22"/>
        </w:rPr>
        <w:t>Our recommendation: Option B.</w:t>
      </w:r>
      <w:r>
        <w:rPr>
          <w:rFonts w:ascii="Calibri" w:hAnsi="Calibri"/>
          <w:color w:val="1E293B"/>
          <w:sz w:val="22"/>
        </w:rPr>
        <w:t xml:space="preserve"> See </w:t>
      </w:r>
      <w:r>
        <w:rPr>
          <w:rFonts w:ascii="Calibri" w:hAnsi="Calibri"/>
          <w:color w:val="0F5BA8"/>
          <w:sz w:val="22"/>
          <w:u w:val="single"/>
        </w:rPr>
        <w:t>§07</w:t>
      </w:r>
      <w:r>
        <w:rPr>
          <w:rFonts w:ascii="Calibri" w:hAnsi="Calibri"/>
          <w:color w:val="1E293B"/>
          <w:sz w:val="22"/>
        </w:rPr>
        <w:t xml:space="preserve"> for the full migration plan.</w:t>
      </w:r>
    </w:p>
    <w:p>
      <w:pPr>
        <w:pBdr>
          <w:bottom w:val="single" w:sz="6" w:space="1" w:color="C7D0DD"/>
        </w:pBdr>
      </w:pPr>
    </w:p>
    <w:p>
      <w:pPr>
        <w:keepNext/>
        <w:spacing w:before="280" w:after="120"/>
      </w:pPr>
      <w:r>
        <w:rPr>
          <w:rFonts w:ascii="Calibri" w:hAnsi="Calibri"/>
          <w:b/>
          <w:color w:val="0F5BA8"/>
          <w:sz w:val="32"/>
        </w:rPr>
        <w:t>6. Operational architecture</w:t>
      </w:r>
    </w:p>
    <w:p>
      <w:pPr>
        <w:keepNext/>
        <w:spacing w:before="200" w:after="80"/>
      </w:pPr>
      <w:r>
        <w:rPr>
          <w:rFonts w:ascii="Calibri" w:hAnsi="Calibri"/>
          <w:b/>
          <w:color w:val="0B808C"/>
          <w:sz w:val="26"/>
        </w:rPr>
        <w:t>6.1 Observability</w:t>
      </w:r>
    </w:p>
    <w:p>
      <w:pPr>
        <w:spacing w:after="60"/>
        <w:ind w:left="340"/>
      </w:pPr>
      <w:r>
        <w:rPr>
          <w:b/>
          <w:color w:val="0F5BA8"/>
        </w:rPr>
        <w:t xml:space="preserve">• </w:t>
      </w:r>
      <w:r>
        <w:rPr>
          <w:rFonts w:ascii="Calibri" w:hAnsi="Calibri"/>
          <w:b/>
          <w:color w:val="1E293B"/>
          <w:sz w:val="22"/>
        </w:rPr>
        <w:t>App Insights:</w:t>
      </w:r>
      <w:r>
        <w:rPr>
          <w:rFonts w:ascii="Calibri" w:hAnsi="Calibri"/>
          <w:color w:val="1E293B"/>
          <w:sz w:val="22"/>
        </w:rPr>
        <w:t xml:space="preserve"> Auto-instrumented for all HTTP requests, dependency calls (Graph, LLM), and exceptions.</w:t>
      </w:r>
    </w:p>
    <w:p>
      <w:pPr>
        <w:spacing w:after="60"/>
        <w:ind w:left="340"/>
      </w:pPr>
      <w:r>
        <w:rPr>
          <w:b/>
          <w:color w:val="0F5BA8"/>
        </w:rPr>
        <w:t xml:space="preserve">• </w:t>
      </w:r>
      <w:r>
        <w:rPr>
          <w:rFonts w:ascii="Calibri" w:hAnsi="Calibri"/>
          <w:b/>
          <w:color w:val="1E293B"/>
          <w:sz w:val="22"/>
        </w:rPr>
        <w:t>Custom dimensions:</w:t>
      </w:r>
      <w:r>
        <w:rPr>
          <w:rFonts w:ascii="Calibri" w:hAnsi="Calibri"/>
          <w:color w:val="1E293B"/>
          <w:sz w:val="22"/>
        </w:rPr>
        <w:t xml:space="preserve"> Every log line carries </w:t>
      </w:r>
      <w:r>
        <w:rPr>
          <w:rFonts w:ascii="Consolas" w:hAnsi="Consolas"/>
          <w:color w:val="334055"/>
          <w:sz w:val="20"/>
          <w:shd w:val="clear" w:color="auto" w:fill="F1F3F6"/>
        </w:rPr>
        <w:t>cycle_id</w:t>
      </w:r>
      <w:r>
        <w:rPr>
          <w:rFonts w:ascii="Calibri" w:hAnsi="Calibri"/>
          <w:color w:val="1E293B"/>
          <w:sz w:val="22"/>
        </w:rPr>
        <w:t xml:space="preserve">, </w:t>
      </w:r>
      <w:r>
        <w:rPr>
          <w:rFonts w:ascii="Consolas" w:hAnsi="Consolas"/>
          <w:color w:val="334055"/>
          <w:sz w:val="20"/>
          <w:shd w:val="clear" w:color="auto" w:fill="F1F3F6"/>
        </w:rPr>
        <w:t>agent_run_id</w:t>
      </w:r>
      <w:r>
        <w:rPr>
          <w:rFonts w:ascii="Calibri" w:hAnsi="Calibri"/>
          <w:color w:val="1E293B"/>
          <w:sz w:val="22"/>
        </w:rPr>
        <w:t xml:space="preserve">, </w:t>
      </w:r>
      <w:r>
        <w:rPr>
          <w:rFonts w:ascii="Consolas" w:hAnsi="Consolas"/>
          <w:color w:val="334055"/>
          <w:sz w:val="20"/>
          <w:shd w:val="clear" w:color="auto" w:fill="F1F3F6"/>
        </w:rPr>
        <w:t>user_id</w:t>
      </w:r>
      <w:r>
        <w:rPr>
          <w:rFonts w:ascii="Calibri" w:hAnsi="Calibri"/>
          <w:color w:val="1E293B"/>
          <w:sz w:val="22"/>
        </w:rPr>
        <w:t xml:space="preserve">, </w:t>
      </w:r>
      <w:r>
        <w:rPr>
          <w:rFonts w:ascii="Consolas" w:hAnsi="Consolas"/>
          <w:color w:val="334055"/>
          <w:sz w:val="20"/>
          <w:shd w:val="clear" w:color="auto" w:fill="F1F3F6"/>
        </w:rPr>
        <w:t>tenant=shell</w:t>
      </w:r>
      <w:r>
        <w:rPr>
          <w:rFonts w:ascii="Calibri" w:hAnsi="Calibri"/>
          <w:color w:val="1E293B"/>
          <w:sz w:val="22"/>
        </w:rPr>
        <w:t xml:space="preserve"> for correlation. Implemented via </w:t>
      </w:r>
      <w:r>
        <w:rPr>
          <w:rFonts w:ascii="Consolas" w:hAnsi="Consolas"/>
          <w:color w:val="334055"/>
          <w:sz w:val="20"/>
          <w:shd w:val="clear" w:color="auto" w:fill="F1F3F6"/>
        </w:rPr>
        <w:t>contextvars</w:t>
      </w:r>
      <w:r>
        <w:rPr>
          <w:rFonts w:ascii="Calibri" w:hAnsi="Calibri"/>
          <w:color w:val="1E293B"/>
          <w:sz w:val="22"/>
        </w:rPr>
        <w:t xml:space="preserve"> in FastAPI middleware.</w:t>
      </w:r>
    </w:p>
    <w:p>
      <w:pPr>
        <w:spacing w:after="60"/>
        <w:ind w:left="340"/>
      </w:pPr>
      <w:r>
        <w:rPr>
          <w:b/>
          <w:color w:val="0F5BA8"/>
        </w:rPr>
        <w:t xml:space="preserve">• </w:t>
      </w:r>
      <w:r>
        <w:rPr>
          <w:rFonts w:ascii="Calibri" w:hAnsi="Calibri"/>
          <w:b/>
          <w:color w:val="1E293B"/>
          <w:sz w:val="22"/>
        </w:rPr>
        <w:t>Custom metrics:</w:t>
      </w:r>
    </w:p>
    <w:p>
      <w:pPr>
        <w:spacing w:after="60"/>
        <w:ind w:left="680"/>
      </w:pPr>
      <w:r>
        <w:rPr>
          <w:b/>
          <w:color w:val="0F5BA8"/>
        </w:rPr>
        <w:t xml:space="preserve">• </w:t>
      </w:r>
      <w:r>
        <w:rPr>
          <w:rFonts w:ascii="Consolas" w:hAnsi="Consolas"/>
          <w:color w:val="334055"/>
          <w:sz w:val="20"/>
          <w:shd w:val="clear" w:color="auto" w:fill="F1F3F6"/>
        </w:rPr>
        <w:t>agent_runs.total</w:t>
      </w:r>
      <w:r>
        <w:rPr>
          <w:rFonts w:ascii="Calibri" w:hAnsi="Calibri"/>
          <w:color w:val="1E293B"/>
          <w:sz w:val="22"/>
        </w:rPr>
        <w:t xml:space="preserve">, </w:t>
      </w:r>
      <w:r>
        <w:rPr>
          <w:rFonts w:ascii="Consolas" w:hAnsi="Consolas"/>
          <w:color w:val="334055"/>
          <w:sz w:val="20"/>
          <w:shd w:val="clear" w:color="auto" w:fill="F1F3F6"/>
        </w:rPr>
        <w:t>agent_runs.failed</w:t>
      </w:r>
      <w:r>
        <w:rPr>
          <w:rFonts w:ascii="Calibri" w:hAnsi="Calibri"/>
          <w:color w:val="1E293B"/>
          <w:sz w:val="22"/>
        </w:rPr>
        <w:t xml:space="preserve">, </w:t>
      </w:r>
      <w:r>
        <w:rPr>
          <w:rFonts w:ascii="Consolas" w:hAnsi="Consolas"/>
          <w:color w:val="334055"/>
          <w:sz w:val="20"/>
          <w:shd w:val="clear" w:color="auto" w:fill="F1F3F6"/>
        </w:rPr>
        <w:t>agent_runs.latency_p95</w:t>
      </w:r>
      <w:r>
        <w:rPr>
          <w:rFonts w:ascii="Calibri" w:hAnsi="Calibri"/>
          <w:color w:val="1E293B"/>
          <w:sz w:val="22"/>
        </w:rPr>
        <w:t xml:space="preserve"> per agent</w:t>
      </w:r>
    </w:p>
    <w:p>
      <w:pPr>
        <w:spacing w:after="60"/>
        <w:ind w:left="680"/>
      </w:pPr>
      <w:r>
        <w:rPr>
          <w:b/>
          <w:color w:val="0F5BA8"/>
        </w:rPr>
        <w:t xml:space="preserve">• </w:t>
      </w:r>
      <w:r>
        <w:rPr>
          <w:rFonts w:ascii="Consolas" w:hAnsi="Consolas"/>
          <w:color w:val="334055"/>
          <w:sz w:val="20"/>
          <w:shd w:val="clear" w:color="auto" w:fill="F1F3F6"/>
        </w:rPr>
        <w:t>graph_calls.total</w:t>
      </w:r>
      <w:r>
        <w:rPr>
          <w:rFonts w:ascii="Calibri" w:hAnsi="Calibri"/>
          <w:color w:val="1E293B"/>
          <w:sz w:val="22"/>
        </w:rPr>
        <w:t xml:space="preserve"> per endpoint, with throttle counter</w:t>
      </w:r>
    </w:p>
    <w:p>
      <w:pPr>
        <w:spacing w:after="60"/>
        <w:ind w:left="680"/>
      </w:pPr>
      <w:r>
        <w:rPr>
          <w:b/>
          <w:color w:val="0F5BA8"/>
        </w:rPr>
        <w:t xml:space="preserve">• </w:t>
      </w:r>
      <w:r>
        <w:rPr>
          <w:rFonts w:ascii="Consolas" w:hAnsi="Consolas"/>
          <w:color w:val="334055"/>
          <w:sz w:val="20"/>
          <w:shd w:val="clear" w:color="auto" w:fill="F1F3F6"/>
        </w:rPr>
        <w:t>llm_calls.tokens_in</w:t>
      </w:r>
      <w:r>
        <w:rPr>
          <w:rFonts w:ascii="Calibri" w:hAnsi="Calibri"/>
          <w:color w:val="1E293B"/>
          <w:sz w:val="22"/>
        </w:rPr>
        <w:t xml:space="preserve">, </w:t>
      </w:r>
      <w:r>
        <w:rPr>
          <w:rFonts w:ascii="Consolas" w:hAnsi="Consolas"/>
          <w:color w:val="334055"/>
          <w:sz w:val="20"/>
          <w:shd w:val="clear" w:color="auto" w:fill="F1F3F6"/>
        </w:rPr>
        <w:t>llm_calls.tokens_out</w:t>
      </w:r>
      <w:r>
        <w:rPr>
          <w:rFonts w:ascii="Calibri" w:hAnsi="Calibri"/>
          <w:color w:val="1E293B"/>
          <w:sz w:val="22"/>
        </w:rPr>
        <w:t xml:space="preserve">, </w:t>
      </w:r>
      <w:r>
        <w:rPr>
          <w:rFonts w:ascii="Consolas" w:hAnsi="Consolas"/>
          <w:color w:val="334055"/>
          <w:sz w:val="20"/>
          <w:shd w:val="clear" w:color="auto" w:fill="F1F3F6"/>
        </w:rPr>
        <w:t>llm_calls.cost_usd_estimate</w:t>
      </w:r>
    </w:p>
    <w:p>
      <w:pPr>
        <w:spacing w:after="60"/>
        <w:ind w:left="680"/>
      </w:pPr>
      <w:r>
        <w:rPr>
          <w:b/>
          <w:color w:val="0F5BA8"/>
        </w:rPr>
        <w:t xml:space="preserve">• </w:t>
      </w:r>
      <w:r>
        <w:rPr>
          <w:rFonts w:ascii="Consolas" w:hAnsi="Consolas"/>
          <w:color w:val="334055"/>
          <w:sz w:val="20"/>
          <w:shd w:val="clear" w:color="auto" w:fill="F1F3F6"/>
        </w:rPr>
        <w:t>cycles.active_by_state</w:t>
      </w:r>
      <w:r>
        <w:rPr>
          <w:rFonts w:ascii="Calibri" w:hAnsi="Calibri"/>
          <w:color w:val="1E293B"/>
          <w:sz w:val="22"/>
        </w:rPr>
        <w:t xml:space="preserve"> (gauge)</w:t>
      </w:r>
    </w:p>
    <w:p>
      <w:pPr>
        <w:spacing w:after="60"/>
        <w:ind w:left="680"/>
      </w:pPr>
      <w:r>
        <w:rPr>
          <w:b/>
          <w:color w:val="0F5BA8"/>
        </w:rPr>
        <w:t xml:space="preserve">• </w:t>
      </w:r>
      <w:r>
        <w:rPr>
          <w:rFonts w:ascii="Consolas" w:hAnsi="Consolas"/>
          <w:color w:val="334055"/>
          <w:sz w:val="20"/>
          <w:shd w:val="clear" w:color="auto" w:fill="F1F3F6"/>
        </w:rPr>
        <w:t>approval_pending.count</w:t>
      </w:r>
      <w:r>
        <w:rPr>
          <w:rFonts w:ascii="Calibri" w:hAnsi="Calibri"/>
          <w:color w:val="1E293B"/>
          <w:sz w:val="22"/>
        </w:rPr>
        <w:t xml:space="preserve"> (gauge — flags stuck cycles)</w:t>
      </w:r>
    </w:p>
    <w:p>
      <w:pPr>
        <w:keepNext/>
        <w:spacing w:before="200" w:after="80"/>
      </w:pPr>
      <w:r>
        <w:rPr>
          <w:rFonts w:ascii="Calibri" w:hAnsi="Calibri"/>
          <w:b/>
          <w:color w:val="0B808C"/>
          <w:sz w:val="26"/>
        </w:rPr>
        <w:t>6.2 Dashboards</w:t>
      </w:r>
    </w:p>
    <w:p>
      <w:pPr>
        <w:spacing w:after="120"/>
      </w:pPr>
      <w:r>
        <w:rPr>
          <w:rFonts w:ascii="Calibri" w:hAnsi="Calibri"/>
          <w:color w:val="1E293B"/>
          <w:sz w:val="22"/>
        </w:rPr>
        <w:t>Three pre-built Azure Workbook dashboards delivered:</w:t>
      </w:r>
    </w:p>
    <w:p>
      <w:pPr>
        <w:spacing w:after="60"/>
        <w:ind w:left="340"/>
      </w:pPr>
      <w:r>
        <w:rPr>
          <w:rFonts w:ascii="Calibri" w:hAnsi="Calibri"/>
          <w:b/>
          <w:color w:val="1E293B"/>
          <w:sz w:val="22"/>
        </w:rPr>
        <w:t>Operator dashboard</w:t>
      </w:r>
      <w:r>
        <w:rPr>
          <w:rFonts w:ascii="Calibri" w:hAnsi="Calibri"/>
          <w:color w:val="1E293B"/>
          <w:sz w:val="22"/>
        </w:rPr>
        <w:t xml:space="preserve"> — agent run success rates, Graph throttle events, error rate, latency. For Shell IT Ops / on-call.</w:t>
      </w:r>
    </w:p>
    <w:p>
      <w:pPr>
        <w:spacing w:after="60"/>
        <w:ind w:left="340"/>
      </w:pPr>
      <w:r>
        <w:rPr>
          <w:rFonts w:ascii="Calibri" w:hAnsi="Calibri"/>
          <w:b/>
          <w:color w:val="1E293B"/>
          <w:sz w:val="22"/>
        </w:rPr>
        <w:t>Coordinator dashboard</w:t>
      </w:r>
      <w:r>
        <w:rPr>
          <w:rFonts w:ascii="Calibri" w:hAnsi="Calibri"/>
          <w:color w:val="1E293B"/>
          <w:sz w:val="22"/>
        </w:rPr>
        <w:t xml:space="preserve"> — active cycles by state, pending approvals, overdue scorecards, recent agent activity. For VMO coordinators (in-app version).</w:t>
      </w:r>
    </w:p>
    <w:p>
      <w:pPr>
        <w:spacing w:after="60"/>
        <w:ind w:left="340"/>
      </w:pPr>
      <w:r>
        <w:rPr>
          <w:rFonts w:ascii="Calibri" w:hAnsi="Calibri"/>
          <w:b/>
          <w:color w:val="1E293B"/>
          <w:sz w:val="22"/>
        </w:rPr>
        <w:t>Cost dashboard</w:t>
      </w:r>
      <w:r>
        <w:rPr>
          <w:rFonts w:ascii="Calibri" w:hAnsi="Calibri"/>
          <w:color w:val="1E293B"/>
          <w:sz w:val="22"/>
        </w:rPr>
        <w:t xml:space="preserve"> — LLM token spend per agent per day, App Service cost trend, Postgres cost trend. For finance / sponsor.</w:t>
      </w:r>
    </w:p>
    <w:p>
      <w:pPr>
        <w:keepNext/>
        <w:spacing w:before="200" w:after="80"/>
      </w:pPr>
      <w:r>
        <w:rPr>
          <w:rFonts w:ascii="Calibri" w:hAnsi="Calibri"/>
          <w:b/>
          <w:color w:val="0B808C"/>
          <w:sz w:val="26"/>
        </w:rPr>
        <w:t>6.3 Audit and retention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  <w:shd w:val="clear" w:color="auto" w:fill="DCE7F4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1B3A6F"/>
                <w:sz w:val="21"/>
              </w:rPr>
              <w:t>Data</w:t>
            </w:r>
          </w:p>
        </w:tc>
        <w:tc>
          <w:tcPr>
            <w:tcW w:type="dxa" w:w="3324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  <w:shd w:val="clear" w:color="auto" w:fill="DCE7F4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1B3A6F"/>
                <w:sz w:val="21"/>
              </w:rPr>
              <w:t>Retention</w:t>
            </w:r>
          </w:p>
        </w:tc>
        <w:tc>
          <w:tcPr>
            <w:tcW w:type="dxa" w:w="3324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  <w:shd w:val="clear" w:color="auto" w:fill="DCE7F4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1B3A6F"/>
                <w:sz w:val="21"/>
              </w:rPr>
              <w:t>Where</w:t>
            </w:r>
          </w:p>
        </w:tc>
      </w:tr>
      <w:tr>
        <w:tc>
          <w:tcPr>
            <w:tcW w:type="dxa" w:w="3324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293B"/>
                <w:sz w:val="20"/>
              </w:rPr>
              <w:t>Operational data (cycles, scorecards, etc.)</w:t>
            </w:r>
          </w:p>
        </w:tc>
        <w:tc>
          <w:tcPr>
            <w:tcW w:type="dxa" w:w="3324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293B"/>
                <w:sz w:val="20"/>
              </w:rPr>
              <w:t>7 years (or per Shell records-retention policy)</w:t>
            </w:r>
          </w:p>
        </w:tc>
        <w:tc>
          <w:tcPr>
            <w:tcW w:type="dxa" w:w="3324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293B"/>
                <w:sz w:val="20"/>
              </w:rPr>
              <w:t>Postgres</w:t>
            </w:r>
          </w:p>
        </w:tc>
      </w:tr>
      <w:tr>
        <w:tc>
          <w:tcPr>
            <w:tcW w:type="dxa" w:w="3324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  <w:shd w:val="clear" w:color="auto" w:fill="F4F7FB"/>
          </w:tcPr>
          <w:p>
            <w:pPr>
              <w:spacing w:before="40" w:after="40"/>
            </w:pPr>
            <w:r/>
            <w:r>
              <w:rPr>
                <w:rFonts w:ascii="Consolas" w:hAnsi="Consolas"/>
                <w:color w:val="334055"/>
                <w:sz w:val="18"/>
                <w:shd w:val="clear" w:color="auto" w:fill="F1F3F6"/>
              </w:rPr>
              <w:t>agent_runs</w:t>
            </w:r>
            <w:r>
              <w:rPr>
                <w:rFonts w:ascii="Calibri" w:hAnsi="Calibri"/>
                <w:color w:val="1E293B"/>
                <w:sz w:val="20"/>
              </w:rPr>
              <w:t xml:space="preserve"> table (LLM prompts/responses)</w:t>
            </w:r>
          </w:p>
        </w:tc>
        <w:tc>
          <w:tcPr>
            <w:tcW w:type="dxa" w:w="3324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  <w:shd w:val="clear" w:color="auto" w:fill="F4F7FB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293B"/>
                <w:sz w:val="20"/>
              </w:rPr>
              <w:t xml:space="preserve">90 days hot in Postgres; mirrored to Log Analytics for </w:t>
            </w:r>
            <w:r>
              <w:rPr>
                <w:rFonts w:ascii="Calibri" w:hAnsi="Calibri"/>
                <w:b/>
                <w:color w:val="1E293B"/>
                <w:sz w:val="20"/>
              </w:rPr>
              <w:t>3 years</w:t>
            </w:r>
          </w:p>
        </w:tc>
        <w:tc>
          <w:tcPr>
            <w:tcW w:type="dxa" w:w="3324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  <w:shd w:val="clear" w:color="auto" w:fill="F4F7FB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293B"/>
                <w:sz w:val="20"/>
              </w:rPr>
              <w:t>Postgres + Log Analytics</w:t>
            </w:r>
          </w:p>
        </w:tc>
      </w:tr>
      <w:tr>
        <w:tc>
          <w:tcPr>
            <w:tcW w:type="dxa" w:w="3324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293B"/>
                <w:sz w:val="20"/>
              </w:rPr>
              <w:t>Application logs (info/warn)</w:t>
            </w:r>
          </w:p>
        </w:tc>
        <w:tc>
          <w:tcPr>
            <w:tcW w:type="dxa" w:w="3324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293B"/>
                <w:sz w:val="20"/>
              </w:rPr>
              <w:t>30 days hot, 90 days cold</w:t>
            </w:r>
          </w:p>
        </w:tc>
        <w:tc>
          <w:tcPr>
            <w:tcW w:type="dxa" w:w="3324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293B"/>
                <w:sz w:val="20"/>
              </w:rPr>
              <w:t>App Insights</w:t>
            </w:r>
          </w:p>
        </w:tc>
      </w:tr>
      <w:tr>
        <w:tc>
          <w:tcPr>
            <w:tcW w:type="dxa" w:w="3324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  <w:shd w:val="clear" w:color="auto" w:fill="F4F7FB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293B"/>
                <w:sz w:val="20"/>
              </w:rPr>
              <w:t>Application logs (errors)</w:t>
            </w:r>
          </w:p>
        </w:tc>
        <w:tc>
          <w:tcPr>
            <w:tcW w:type="dxa" w:w="3324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  <w:shd w:val="clear" w:color="auto" w:fill="F4F7FB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293B"/>
                <w:sz w:val="20"/>
              </w:rPr>
              <w:t>90 days hot, 1 year cold</w:t>
            </w:r>
          </w:p>
        </w:tc>
        <w:tc>
          <w:tcPr>
            <w:tcW w:type="dxa" w:w="3324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  <w:shd w:val="clear" w:color="auto" w:fill="F4F7FB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293B"/>
                <w:sz w:val="20"/>
              </w:rPr>
              <w:t>App Insights</w:t>
            </w:r>
          </w:p>
        </w:tc>
      </w:tr>
      <w:tr>
        <w:tc>
          <w:tcPr>
            <w:tcW w:type="dxa" w:w="3324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293B"/>
                <w:sz w:val="20"/>
              </w:rPr>
              <w:t>Audit log (security events — login, role changes, approvals)</w:t>
            </w:r>
          </w:p>
        </w:tc>
        <w:tc>
          <w:tcPr>
            <w:tcW w:type="dxa" w:w="3324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293B"/>
                <w:sz w:val="20"/>
              </w:rPr>
              <w:t>7 years</w:t>
            </w:r>
          </w:p>
        </w:tc>
        <w:tc>
          <w:tcPr>
            <w:tcW w:type="dxa" w:w="3324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293B"/>
                <w:sz w:val="20"/>
              </w:rPr>
              <w:t>Log Analytics (immutable workspace)</w:t>
            </w:r>
          </w:p>
        </w:tc>
      </w:tr>
    </w:tbl>
    <w:p/>
    <w:p>
      <w:pPr>
        <w:spacing w:after="120"/>
      </w:pPr>
      <w:r>
        <w:rPr>
          <w:rFonts w:ascii="Calibri" w:hAnsi="Calibri"/>
          <w:color w:val="1E293B"/>
          <w:sz w:val="22"/>
        </w:rPr>
        <w:t xml:space="preserve">The LLM payload retention is set conservatively at 90 days/3 years because that data contains stakeholder commentary on vendor performance — a Privacy-sensitive corpus. </w:t>
      </w:r>
      <w:r>
        <w:rPr>
          <w:rFonts w:ascii="Calibri" w:hAnsi="Calibri"/>
          <w:b/>
          <w:color w:val="1E293B"/>
          <w:sz w:val="22"/>
        </w:rPr>
        <w:t>Shell to confirm.</w:t>
      </w:r>
    </w:p>
    <w:p>
      <w:pPr>
        <w:keepNext/>
        <w:spacing w:before="200" w:after="80"/>
      </w:pPr>
      <w:r>
        <w:rPr>
          <w:rFonts w:ascii="Calibri" w:hAnsi="Calibri"/>
          <w:b/>
          <w:color w:val="0B808C"/>
          <w:sz w:val="26"/>
        </w:rPr>
        <w:t>6.4 SLA targets (proposed)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  <w:shd w:val="clear" w:color="auto" w:fill="DCE7F4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1B3A6F"/>
                <w:sz w:val="21"/>
              </w:rPr>
              <w:t>Metric</w:t>
            </w:r>
          </w:p>
        </w:tc>
        <w:tc>
          <w:tcPr>
            <w:tcW w:type="dxa" w:w="4986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  <w:shd w:val="clear" w:color="auto" w:fill="DCE7F4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1B3A6F"/>
                <w:sz w:val="21"/>
              </w:rPr>
              <w:t>Target</w:t>
            </w:r>
          </w:p>
        </w:tc>
      </w:tr>
      <w:tr>
        <w:tc>
          <w:tcPr>
            <w:tcW w:type="dxa" w:w="4986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293B"/>
                <w:sz w:val="20"/>
              </w:rPr>
              <w:t>App availability (P1 — coordinator workspace)</w:t>
            </w:r>
          </w:p>
        </w:tc>
        <w:tc>
          <w:tcPr>
            <w:tcW w:type="dxa" w:w="4986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293B"/>
                <w:sz w:val="20"/>
              </w:rPr>
              <w:t>99.5% during business hours (CET 07:00–19:00 weekdays)</w:t>
            </w:r>
          </w:p>
        </w:tc>
      </w:tr>
      <w:tr>
        <w:tc>
          <w:tcPr>
            <w:tcW w:type="dxa" w:w="4986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  <w:shd w:val="clear" w:color="auto" w:fill="F4F7FB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293B"/>
                <w:sz w:val="20"/>
              </w:rPr>
              <w:t>Agent run success rate</w:t>
            </w:r>
          </w:p>
        </w:tc>
        <w:tc>
          <w:tcPr>
            <w:tcW w:type="dxa" w:w="4986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  <w:shd w:val="clear" w:color="auto" w:fill="F4F7FB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293B"/>
                <w:sz w:val="20"/>
              </w:rPr>
              <w:t>≥ 95% (excluding LLM provider outages)</w:t>
            </w:r>
          </w:p>
        </w:tc>
      </w:tr>
      <w:tr>
        <w:tc>
          <w:tcPr>
            <w:tcW w:type="dxa" w:w="4986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293B"/>
                <w:sz w:val="20"/>
              </w:rPr>
              <w:t>Email/invite delivery from approval to inbox</w:t>
            </w:r>
          </w:p>
        </w:tc>
        <w:tc>
          <w:tcPr>
            <w:tcW w:type="dxa" w:w="4986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293B"/>
                <w:sz w:val="20"/>
              </w:rPr>
              <w:t>≤ 60 seconds (median) / 300 seconds (P95)</w:t>
            </w:r>
          </w:p>
        </w:tc>
      </w:tr>
      <w:tr>
        <w:tc>
          <w:tcPr>
            <w:tcW w:type="dxa" w:w="4986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  <w:shd w:val="clear" w:color="auto" w:fill="F4F7FB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293B"/>
                <w:sz w:val="20"/>
              </w:rPr>
              <w:t>Page load (P95)</w:t>
            </w:r>
          </w:p>
        </w:tc>
        <w:tc>
          <w:tcPr>
            <w:tcW w:type="dxa" w:w="4986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  <w:shd w:val="clear" w:color="auto" w:fill="F4F7FB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293B"/>
                <w:sz w:val="20"/>
              </w:rPr>
              <w:t>≤ 3 seconds</w:t>
            </w:r>
          </w:p>
        </w:tc>
      </w:tr>
      <w:tr>
        <w:tc>
          <w:tcPr>
            <w:tcW w:type="dxa" w:w="4986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293B"/>
                <w:sz w:val="20"/>
              </w:rPr>
              <w:t>Login (P95)</w:t>
            </w:r>
          </w:p>
        </w:tc>
        <w:tc>
          <w:tcPr>
            <w:tcW w:type="dxa" w:w="4986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293B"/>
                <w:sz w:val="20"/>
              </w:rPr>
              <w:t>≤ 5 seconds</w:t>
            </w:r>
          </w:p>
        </w:tc>
      </w:tr>
    </w:tbl>
    <w:p/>
    <w:p>
      <w:pPr>
        <w:spacing w:after="120"/>
      </w:pPr>
      <w:r>
        <w:rPr>
          <w:rFonts w:ascii="Calibri" w:hAnsi="Calibri"/>
          <w:color w:val="1E293B"/>
          <w:sz w:val="22"/>
        </w:rPr>
        <w:t>For Shell to confirm — these are non-Tier-1 targets appropriate for an internal productivity tool.</w:t>
      </w:r>
    </w:p>
    <w:p>
      <w:pPr>
        <w:pBdr>
          <w:bottom w:val="single" w:sz="6" w:space="1" w:color="C7D0DD"/>
        </w:pBdr>
      </w:pPr>
    </w:p>
    <w:p>
      <w:pPr>
        <w:keepNext/>
        <w:spacing w:before="280" w:after="120"/>
      </w:pPr>
      <w:r>
        <w:rPr>
          <w:rFonts w:ascii="Calibri" w:hAnsi="Calibri"/>
          <w:b/>
          <w:color w:val="0F5BA8"/>
          <w:sz w:val="32"/>
        </w:rPr>
        <w:t>7. Security architecture</w:t>
      </w:r>
    </w:p>
    <w:p>
      <w:pPr>
        <w:keepNext/>
        <w:spacing w:before="200" w:after="80"/>
      </w:pPr>
      <w:r>
        <w:rPr>
          <w:rFonts w:ascii="Calibri" w:hAnsi="Calibri"/>
          <w:b/>
          <w:color w:val="0B808C"/>
          <w:sz w:val="26"/>
        </w:rPr>
        <w:t>7.1 Threat model summary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  <w:shd w:val="clear" w:color="auto" w:fill="DCE7F4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1B3A6F"/>
                <w:sz w:val="21"/>
              </w:rPr>
              <w:t>Threat</w:t>
            </w:r>
          </w:p>
        </w:tc>
        <w:tc>
          <w:tcPr>
            <w:tcW w:type="dxa" w:w="4986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  <w:shd w:val="clear" w:color="auto" w:fill="DCE7F4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1B3A6F"/>
                <w:sz w:val="21"/>
              </w:rPr>
              <w:t>Mitigation</w:t>
            </w:r>
          </w:p>
        </w:tc>
      </w:tr>
      <w:tr>
        <w:tc>
          <w:tcPr>
            <w:tcW w:type="dxa" w:w="4986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293B"/>
                <w:sz w:val="20"/>
              </w:rPr>
              <w:t>Compromised end-user session</w:t>
            </w:r>
          </w:p>
        </w:tc>
        <w:tc>
          <w:tcPr>
            <w:tcW w:type="dxa" w:w="4986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293B"/>
                <w:sz w:val="20"/>
              </w:rPr>
              <w:t>Session JWT bound to HttpOnly cookie; short-lived (8 hours); Entra ID Conditional Access enforces MFA + device compliance</w:t>
            </w:r>
          </w:p>
        </w:tc>
      </w:tr>
      <w:tr>
        <w:tc>
          <w:tcPr>
            <w:tcW w:type="dxa" w:w="4986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  <w:shd w:val="clear" w:color="auto" w:fill="F4F7FB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293B"/>
                <w:sz w:val="20"/>
              </w:rPr>
              <w:t>Compromised service account</w:t>
            </w:r>
          </w:p>
        </w:tc>
        <w:tc>
          <w:tcPr>
            <w:tcW w:type="dxa" w:w="4986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  <w:shd w:val="clear" w:color="auto" w:fill="F4F7FB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293B"/>
                <w:sz w:val="20"/>
              </w:rPr>
              <w:t>Certificate-based app-only auth; rotation every 12 months; mailbox-scoped Application Access Policy limits blast radius</w:t>
            </w:r>
          </w:p>
        </w:tc>
      </w:tr>
      <w:tr>
        <w:tc>
          <w:tcPr>
            <w:tcW w:type="dxa" w:w="4986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293B"/>
                <w:sz w:val="20"/>
              </w:rPr>
              <w:t>Insider abuse (VMO coordinator sends malicious emails via the platform)</w:t>
            </w:r>
          </w:p>
        </w:tc>
        <w:tc>
          <w:tcPr>
            <w:tcW w:type="dxa" w:w="4986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293B"/>
                <w:sz w:val="20"/>
              </w:rPr>
              <w:t xml:space="preserve">Approval gate on every outbound action; </w:t>
            </w:r>
            <w:r>
              <w:rPr>
                <w:rFonts w:ascii="Consolas" w:hAnsi="Consolas"/>
                <w:color w:val="334055"/>
                <w:sz w:val="18"/>
                <w:shd w:val="clear" w:color="auto" w:fill="F1F3F6"/>
              </w:rPr>
              <w:t>agent_runs</w:t>
            </w:r>
            <w:r>
              <w:rPr>
                <w:rFonts w:ascii="Calibri" w:hAnsi="Calibri"/>
                <w:color w:val="1E293B"/>
                <w:sz w:val="20"/>
              </w:rPr>
              <w:t xml:space="preserve"> immutable audit; coordinators do not have direct send privileges — only "approve"</w:t>
            </w:r>
          </w:p>
        </w:tc>
      </w:tr>
      <w:tr>
        <w:tc>
          <w:tcPr>
            <w:tcW w:type="dxa" w:w="4986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  <w:shd w:val="clear" w:color="auto" w:fill="F4F7FB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293B"/>
                <w:sz w:val="20"/>
              </w:rPr>
              <w:t>Data exfiltration via LLM prompt injection</w:t>
            </w:r>
          </w:p>
        </w:tc>
        <w:tc>
          <w:tcPr>
            <w:tcW w:type="dxa" w:w="4986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  <w:shd w:val="clear" w:color="auto" w:fill="F4F7FB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293B"/>
                <w:sz w:val="20"/>
              </w:rPr>
              <w:t xml:space="preserve">LLM prompts sanitised; tool-calling design means the LLM cannot read arbitrary mailboxes or files (no </w:t>
            </w:r>
            <w:r>
              <w:rPr>
                <w:rFonts w:ascii="Consolas" w:hAnsi="Consolas"/>
                <w:color w:val="334055"/>
                <w:sz w:val="18"/>
                <w:shd w:val="clear" w:color="auto" w:fill="F1F3F6"/>
              </w:rPr>
              <w:t>Files.Read</w:t>
            </w:r>
            <w:r>
              <w:rPr>
                <w:rFonts w:ascii="Calibri" w:hAnsi="Calibri"/>
                <w:color w:val="1E293B"/>
                <w:sz w:val="20"/>
              </w:rPr>
              <w:t xml:space="preserve"> permission)</w:t>
            </w:r>
          </w:p>
        </w:tc>
      </w:tr>
      <w:tr>
        <w:tc>
          <w:tcPr>
            <w:tcW w:type="dxa" w:w="4986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293B"/>
                <w:sz w:val="20"/>
              </w:rPr>
              <w:t>Data exfiltration via export feature</w:t>
            </w:r>
          </w:p>
        </w:tc>
        <w:tc>
          <w:tcPr>
            <w:tcW w:type="dxa" w:w="4986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293B"/>
                <w:sz w:val="20"/>
              </w:rPr>
              <w:t xml:space="preserve">All exports are role-gated; exports of full LLM payloads restricted to </w:t>
            </w:r>
            <w:r>
              <w:rPr>
                <w:rFonts w:ascii="Consolas" w:hAnsi="Consolas"/>
                <w:color w:val="334055"/>
                <w:sz w:val="18"/>
                <w:shd w:val="clear" w:color="auto" w:fill="F1F3F6"/>
              </w:rPr>
              <w:t>vmo_admin</w:t>
            </w:r>
          </w:p>
        </w:tc>
      </w:tr>
      <w:tr>
        <w:tc>
          <w:tcPr>
            <w:tcW w:type="dxa" w:w="4986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  <w:shd w:val="clear" w:color="auto" w:fill="F4F7FB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293B"/>
                <w:sz w:val="20"/>
              </w:rPr>
              <w:t>Vendor sees another vendor's data</w:t>
            </w:r>
          </w:p>
        </w:tc>
        <w:tc>
          <w:tcPr>
            <w:tcW w:type="dxa" w:w="4986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  <w:shd w:val="clear" w:color="auto" w:fill="F4F7FB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293B"/>
                <w:sz w:val="20"/>
              </w:rPr>
              <w:t>Strict per-vendor row-level filtering at the repository layer; integration test suite covers this scenario</w:t>
            </w:r>
          </w:p>
        </w:tc>
      </w:tr>
      <w:tr>
        <w:tc>
          <w:tcPr>
            <w:tcW w:type="dxa" w:w="4986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293B"/>
                <w:sz w:val="20"/>
              </w:rPr>
              <w:t>LLM hallucinates a fact in a vendor brief</w:t>
            </w:r>
          </w:p>
        </w:tc>
        <w:tc>
          <w:tcPr>
            <w:tcW w:type="dxa" w:w="4986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293B"/>
                <w:sz w:val="20"/>
              </w:rPr>
              <w:t>Approval gate; coordinator reviews; minutes/briefs are advisory drafts, not statements of fact authorised by Shell</w:t>
            </w:r>
          </w:p>
        </w:tc>
      </w:tr>
      <w:tr>
        <w:tc>
          <w:tcPr>
            <w:tcW w:type="dxa" w:w="4986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  <w:shd w:val="clear" w:color="auto" w:fill="F4F7FB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293B"/>
                <w:sz w:val="20"/>
              </w:rPr>
              <w:t>Stale Graph token in cache used after revocation</w:t>
            </w:r>
          </w:p>
        </w:tc>
        <w:tc>
          <w:tcPr>
            <w:tcW w:type="dxa" w:w="4986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  <w:shd w:val="clear" w:color="auto" w:fill="F4F7FB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293B"/>
                <w:sz w:val="20"/>
              </w:rPr>
              <w:t>Token cache TTL ≤ 5 min before configured token expiry; refresh fails fast with clear error if Entra ID has revoked the app</w:t>
            </w:r>
          </w:p>
        </w:tc>
      </w:tr>
      <w:tr>
        <w:tc>
          <w:tcPr>
            <w:tcW w:type="dxa" w:w="4986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293B"/>
                <w:sz w:val="20"/>
              </w:rPr>
              <w:t>SQL injection</w:t>
            </w:r>
          </w:p>
        </w:tc>
        <w:tc>
          <w:tcPr>
            <w:tcW w:type="dxa" w:w="4986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293B"/>
                <w:sz w:val="20"/>
              </w:rPr>
              <w:t>SQLAlchemy parameterised queries throughout; no raw SQL from user input</w:t>
            </w:r>
          </w:p>
        </w:tc>
      </w:tr>
      <w:tr>
        <w:tc>
          <w:tcPr>
            <w:tcW w:type="dxa" w:w="4986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  <w:shd w:val="clear" w:color="auto" w:fill="F4F7FB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293B"/>
                <w:sz w:val="20"/>
              </w:rPr>
              <w:t>XSS in scorecard comments rendered in UI</w:t>
            </w:r>
          </w:p>
        </w:tc>
        <w:tc>
          <w:tcPr>
            <w:tcW w:type="dxa" w:w="4986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  <w:shd w:val="clear" w:color="auto" w:fill="F4F7FB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293B"/>
                <w:sz w:val="20"/>
              </w:rPr>
              <w:t xml:space="preserve">React's default escaping; CSP </w:t>
            </w:r>
            <w:r>
              <w:rPr>
                <w:rFonts w:ascii="Consolas" w:hAnsi="Consolas"/>
                <w:color w:val="334055"/>
                <w:sz w:val="18"/>
                <w:shd w:val="clear" w:color="auto" w:fill="F1F3F6"/>
              </w:rPr>
              <w:t>script-src 'self'</w:t>
            </w:r>
            <w:r>
              <w:rPr>
                <w:rFonts w:ascii="Calibri" w:hAnsi="Calibri"/>
                <w:color w:val="1E293B"/>
                <w:sz w:val="20"/>
              </w:rPr>
              <w:t xml:space="preserve"> only; no </w:t>
            </w:r>
            <w:r>
              <w:rPr>
                <w:rFonts w:ascii="Consolas" w:hAnsi="Consolas"/>
                <w:color w:val="334055"/>
                <w:sz w:val="18"/>
                <w:shd w:val="clear" w:color="auto" w:fill="F1F3F6"/>
              </w:rPr>
              <w:t>dangerouslySetInnerHTML</w:t>
            </w:r>
            <w:r>
              <w:rPr>
                <w:rFonts w:ascii="Calibri" w:hAnsi="Calibri"/>
                <w:color w:val="1E293B"/>
                <w:sz w:val="20"/>
              </w:rPr>
              <w:t xml:space="preserve"> on user content</w:t>
            </w:r>
          </w:p>
        </w:tc>
      </w:tr>
    </w:tbl>
    <w:p/>
    <w:p>
      <w:pPr>
        <w:keepNext/>
        <w:spacing w:before="200" w:after="80"/>
      </w:pPr>
      <w:r>
        <w:rPr>
          <w:rFonts w:ascii="Calibri" w:hAnsi="Calibri"/>
          <w:b/>
          <w:color w:val="0B808C"/>
          <w:sz w:val="26"/>
        </w:rPr>
        <w:t>7.2 Secrets management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  <w:shd w:val="clear" w:color="auto" w:fill="DCE7F4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1B3A6F"/>
                <w:sz w:val="21"/>
              </w:rPr>
              <w:t>Secret</w:t>
            </w:r>
          </w:p>
        </w:tc>
        <w:tc>
          <w:tcPr>
            <w:tcW w:type="dxa" w:w="2493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  <w:shd w:val="clear" w:color="auto" w:fill="DCE7F4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1B3A6F"/>
                <w:sz w:val="21"/>
              </w:rPr>
              <w:t>Storage</w:t>
            </w:r>
          </w:p>
        </w:tc>
        <w:tc>
          <w:tcPr>
            <w:tcW w:type="dxa" w:w="2493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  <w:shd w:val="clear" w:color="auto" w:fill="DCE7F4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1B3A6F"/>
                <w:sz w:val="21"/>
              </w:rPr>
              <w:t>Rotation</w:t>
            </w:r>
          </w:p>
        </w:tc>
        <w:tc>
          <w:tcPr>
            <w:tcW w:type="dxa" w:w="2493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  <w:shd w:val="clear" w:color="auto" w:fill="DCE7F4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1B3A6F"/>
                <w:sz w:val="21"/>
              </w:rPr>
              <w:t>Notes</w:t>
            </w:r>
          </w:p>
        </w:tc>
      </w:tr>
      <w:tr>
        <w:tc>
          <w:tcPr>
            <w:tcW w:type="dxa" w:w="2493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293B"/>
                <w:sz w:val="20"/>
              </w:rPr>
              <w:t>LLM provider API key</w:t>
            </w:r>
          </w:p>
        </w:tc>
        <w:tc>
          <w:tcPr>
            <w:tcW w:type="dxa" w:w="2493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293B"/>
                <w:sz w:val="20"/>
              </w:rPr>
              <w:t>Key Vault</w:t>
            </w:r>
          </w:p>
        </w:tc>
        <w:tc>
          <w:tcPr>
            <w:tcW w:type="dxa" w:w="2493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293B"/>
                <w:sz w:val="20"/>
              </w:rPr>
              <w:t>90 days</w:t>
            </w:r>
          </w:p>
        </w:tc>
        <w:tc>
          <w:tcPr>
            <w:tcW w:type="dxa" w:w="2493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293B"/>
                <w:sz w:val="20"/>
              </w:rPr>
              <w:t>Pulled via managed identity at runtime; cached in memory for ≤ 5 min</w:t>
            </w:r>
          </w:p>
        </w:tc>
      </w:tr>
      <w:tr>
        <w:tc>
          <w:tcPr>
            <w:tcW w:type="dxa" w:w="2493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  <w:shd w:val="clear" w:color="auto" w:fill="F4F7FB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293B"/>
                <w:sz w:val="20"/>
              </w:rPr>
              <w:t>Graph application certificate</w:t>
            </w:r>
          </w:p>
        </w:tc>
        <w:tc>
          <w:tcPr>
            <w:tcW w:type="dxa" w:w="2493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  <w:shd w:val="clear" w:color="auto" w:fill="F4F7FB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293B"/>
                <w:sz w:val="20"/>
              </w:rPr>
              <w:t>Key Vault (cert object, not secret)</w:t>
            </w:r>
          </w:p>
        </w:tc>
        <w:tc>
          <w:tcPr>
            <w:tcW w:type="dxa" w:w="2493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  <w:shd w:val="clear" w:color="auto" w:fill="F4F7FB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293B"/>
                <w:sz w:val="20"/>
              </w:rPr>
              <w:t>12 months</w:t>
            </w:r>
          </w:p>
        </w:tc>
        <w:tc>
          <w:tcPr>
            <w:tcW w:type="dxa" w:w="2493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  <w:shd w:val="clear" w:color="auto" w:fill="F4F7FB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293B"/>
                <w:sz w:val="20"/>
              </w:rPr>
              <w:t>Auto-renewal pipeline via Azure Automation</w:t>
            </w:r>
          </w:p>
        </w:tc>
      </w:tr>
      <w:tr>
        <w:tc>
          <w:tcPr>
            <w:tcW w:type="dxa" w:w="2493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293B"/>
                <w:sz w:val="20"/>
              </w:rPr>
              <w:t>Session JWT signing key</w:t>
            </w:r>
          </w:p>
        </w:tc>
        <w:tc>
          <w:tcPr>
            <w:tcW w:type="dxa" w:w="2493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293B"/>
                <w:sz w:val="20"/>
              </w:rPr>
              <w:t>Key Vault</w:t>
            </w:r>
          </w:p>
        </w:tc>
        <w:tc>
          <w:tcPr>
            <w:tcW w:type="dxa" w:w="2493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293B"/>
                <w:sz w:val="20"/>
              </w:rPr>
              <w:t>12 months</w:t>
            </w:r>
          </w:p>
        </w:tc>
        <w:tc>
          <w:tcPr>
            <w:tcW w:type="dxa" w:w="2493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293B"/>
                <w:sz w:val="20"/>
              </w:rPr>
              <w:t>Two-key rolling for graceful rotation</w:t>
            </w:r>
          </w:p>
        </w:tc>
      </w:tr>
      <w:tr>
        <w:tc>
          <w:tcPr>
            <w:tcW w:type="dxa" w:w="2493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  <w:shd w:val="clear" w:color="auto" w:fill="F4F7FB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293B"/>
                <w:sz w:val="20"/>
              </w:rPr>
              <w:t>Database password</w:t>
            </w:r>
          </w:p>
        </w:tc>
        <w:tc>
          <w:tcPr>
            <w:tcW w:type="dxa" w:w="2493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  <w:shd w:val="clear" w:color="auto" w:fill="F4F7FB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293B"/>
                <w:sz w:val="20"/>
              </w:rPr>
              <w:t>None — managed identity from App Service to Postgres</w:t>
            </w:r>
          </w:p>
        </w:tc>
        <w:tc>
          <w:tcPr>
            <w:tcW w:type="dxa" w:w="2493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  <w:shd w:val="clear" w:color="auto" w:fill="F4F7FB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293B"/>
                <w:sz w:val="20"/>
              </w:rPr>
              <w:t>N/A</w:t>
            </w:r>
          </w:p>
        </w:tc>
        <w:tc>
          <w:tcPr>
            <w:tcW w:type="dxa" w:w="2493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  <w:shd w:val="clear" w:color="auto" w:fill="F4F7FB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293B"/>
                <w:sz w:val="20"/>
              </w:rPr>
              <w:t>Where supported; falls back to KV-stored password if Shell standards require it</w:t>
            </w:r>
          </w:p>
        </w:tc>
      </w:tr>
    </w:tbl>
    <w:p/>
    <w:p>
      <w:pPr>
        <w:spacing w:after="120"/>
      </w:pPr>
      <w:r>
        <w:rPr>
          <w:rFonts w:ascii="Calibri" w:hAnsi="Calibri"/>
          <w:b/>
          <w:color w:val="1E293B"/>
          <w:sz w:val="22"/>
        </w:rPr>
        <w:t>No `.env` file exists in any production environment.</w:t>
      </w:r>
      <w:r>
        <w:rPr>
          <w:rFonts w:ascii="Calibri" w:hAnsi="Calibri"/>
          <w:color w:val="1E293B"/>
          <w:sz w:val="22"/>
        </w:rPr>
        <w:t xml:space="preserve"> The pattern in the POC is replaced entirely.</w:t>
      </w:r>
    </w:p>
    <w:p>
      <w:pPr>
        <w:keepNext/>
        <w:spacing w:before="200" w:after="80"/>
      </w:pPr>
      <w:r>
        <w:rPr>
          <w:rFonts w:ascii="Calibri" w:hAnsi="Calibri"/>
          <w:b/>
          <w:color w:val="0B808C"/>
          <w:sz w:val="26"/>
        </w:rPr>
        <w:t>7.3 Compliance posture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  <w:shd w:val="clear" w:color="auto" w:fill="DCE7F4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1B3A6F"/>
                <w:sz w:val="21"/>
              </w:rPr>
              <w:t>Framework</w:t>
            </w:r>
          </w:p>
        </w:tc>
        <w:tc>
          <w:tcPr>
            <w:tcW w:type="dxa" w:w="4986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  <w:shd w:val="clear" w:color="auto" w:fill="DCE7F4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1B3A6F"/>
                <w:sz w:val="21"/>
              </w:rPr>
              <w:t>Position</w:t>
            </w:r>
          </w:p>
        </w:tc>
      </w:tr>
      <w:tr>
        <w:tc>
          <w:tcPr>
            <w:tcW w:type="dxa" w:w="4986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1E293B"/>
                <w:sz w:val="20"/>
              </w:rPr>
              <w:t>GDPR</w:t>
            </w:r>
          </w:p>
        </w:tc>
        <w:tc>
          <w:tcPr>
            <w:tcW w:type="dxa" w:w="4986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293B"/>
                <w:sz w:val="20"/>
              </w:rPr>
              <w:t>Single-tenant in EU region; Shell is the data controller for stakeholder data; DPAs in place with LLM provider; right-to-erasure supported via cycle archival + cascading delete</w:t>
            </w:r>
          </w:p>
        </w:tc>
      </w:tr>
      <w:tr>
        <w:tc>
          <w:tcPr>
            <w:tcW w:type="dxa" w:w="4986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  <w:shd w:val="clear" w:color="auto" w:fill="F4F7FB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1E293B"/>
                <w:sz w:val="20"/>
              </w:rPr>
              <w:t>Shell IT Security Standard (assumed)</w:t>
            </w:r>
          </w:p>
        </w:tc>
        <w:tc>
          <w:tcPr>
            <w:tcW w:type="dxa" w:w="4986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  <w:shd w:val="clear" w:color="auto" w:fill="F4F7FB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293B"/>
                <w:sz w:val="20"/>
              </w:rPr>
              <w:t>Subject to Shell internal controls; we conform to whatever standard Shell IT Security applies to internal Azure-hosted web apps</w:t>
            </w:r>
          </w:p>
        </w:tc>
      </w:tr>
      <w:tr>
        <w:tc>
          <w:tcPr>
            <w:tcW w:type="dxa" w:w="4986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1E293B"/>
                <w:sz w:val="20"/>
              </w:rPr>
              <w:t>ISO 27001 / SOC 2</w:t>
            </w:r>
          </w:p>
        </w:tc>
        <w:tc>
          <w:tcPr>
            <w:tcW w:type="dxa" w:w="4986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293B"/>
                <w:sz w:val="20"/>
              </w:rPr>
              <w:t>Azure underlying platform is certified; application-layer controls follow Shell's standard</w:t>
            </w:r>
          </w:p>
        </w:tc>
      </w:tr>
    </w:tbl>
    <w:p/>
    <w:p>
      <w:pPr>
        <w:pBdr>
          <w:bottom w:val="single" w:sz="6" w:space="1" w:color="C7D0DD"/>
        </w:pBdr>
      </w:pPr>
    </w:p>
    <w:p>
      <w:pPr>
        <w:keepNext/>
        <w:spacing w:before="280" w:after="120"/>
      </w:pPr>
      <w:r>
        <w:rPr>
          <w:rFonts w:ascii="Calibri" w:hAnsi="Calibri"/>
          <w:b/>
          <w:color w:val="0F5BA8"/>
          <w:sz w:val="32"/>
        </w:rPr>
        <w:t>8. Architectural decisions log (ADRs)</w:t>
      </w:r>
    </w:p>
    <w:p>
      <w:pPr>
        <w:spacing w:after="120"/>
      </w:pPr>
      <w:r>
        <w:rPr>
          <w:rFonts w:ascii="Calibri" w:hAnsi="Calibri"/>
          <w:color w:val="1E293B"/>
          <w:sz w:val="22"/>
        </w:rPr>
        <w:t xml:space="preserve">A summary — full ADR documents to be ratified at the Day-1 architecture review and updated at the Day-2 design alignment checkpoint (see </w:t>
      </w:r>
      <w:r>
        <w:rPr>
          <w:rFonts w:ascii="Calibri" w:hAnsi="Calibri"/>
          <w:color w:val="0F5BA8"/>
          <w:sz w:val="22"/>
          <w:u w:val="single"/>
        </w:rPr>
        <w:t>§11 Productionization Roadmap</w:t>
      </w:r>
      <w:r>
        <w:rPr>
          <w:rFonts w:ascii="Calibri" w:hAnsi="Calibri"/>
          <w:color w:val="1E293B"/>
          <w:sz w:val="22"/>
        </w:rPr>
        <w:t>).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  <w:shd w:val="clear" w:color="auto" w:fill="DCE7F4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1B3A6F"/>
                <w:sz w:val="21"/>
              </w:rPr>
              <w:t>#</w:t>
            </w:r>
          </w:p>
        </w:tc>
        <w:tc>
          <w:tcPr>
            <w:tcW w:type="dxa" w:w="2493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  <w:shd w:val="clear" w:color="auto" w:fill="DCE7F4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1B3A6F"/>
                <w:sz w:val="21"/>
              </w:rPr>
              <w:t>Decision</w:t>
            </w:r>
          </w:p>
        </w:tc>
        <w:tc>
          <w:tcPr>
            <w:tcW w:type="dxa" w:w="2493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  <w:shd w:val="clear" w:color="auto" w:fill="DCE7F4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1B3A6F"/>
                <w:sz w:val="21"/>
              </w:rPr>
              <w:t>Status</w:t>
            </w:r>
          </w:p>
        </w:tc>
        <w:tc>
          <w:tcPr>
            <w:tcW w:type="dxa" w:w="2493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  <w:shd w:val="clear" w:color="auto" w:fill="DCE7F4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1B3A6F"/>
                <w:sz w:val="21"/>
              </w:rPr>
              <w:t>Rationale (one line)</w:t>
            </w:r>
          </w:p>
        </w:tc>
      </w:tr>
      <w:tr>
        <w:tc>
          <w:tcPr>
            <w:tcW w:type="dxa" w:w="2493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293B"/>
                <w:sz w:val="20"/>
              </w:rPr>
              <w:t>ADR-001</w:t>
            </w:r>
          </w:p>
        </w:tc>
        <w:tc>
          <w:tcPr>
            <w:tcW w:type="dxa" w:w="2493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293B"/>
                <w:sz w:val="20"/>
              </w:rPr>
              <w:t>Single-tenant for Shell only</w:t>
            </w:r>
          </w:p>
        </w:tc>
        <w:tc>
          <w:tcPr>
            <w:tcW w:type="dxa" w:w="2493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293B"/>
                <w:sz w:val="20"/>
              </w:rPr>
              <w:t>Accepted</w:t>
            </w:r>
          </w:p>
        </w:tc>
        <w:tc>
          <w:tcPr>
            <w:tcW w:type="dxa" w:w="2493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293B"/>
                <w:sz w:val="20"/>
              </w:rPr>
              <w:t>Simpler than POC's accidental "multi-tenant" — no row-level tenancy needed</w:t>
            </w:r>
          </w:p>
        </w:tc>
      </w:tr>
      <w:tr>
        <w:tc>
          <w:tcPr>
            <w:tcW w:type="dxa" w:w="2493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  <w:shd w:val="clear" w:color="auto" w:fill="F4F7FB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293B"/>
                <w:sz w:val="20"/>
              </w:rPr>
              <w:t>ADR-002</w:t>
            </w:r>
          </w:p>
        </w:tc>
        <w:tc>
          <w:tcPr>
            <w:tcW w:type="dxa" w:w="2493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  <w:shd w:val="clear" w:color="auto" w:fill="F4F7FB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293B"/>
                <w:sz w:val="20"/>
              </w:rPr>
              <w:t>App Service (Linux containers) for hosting</w:t>
            </w:r>
          </w:p>
        </w:tc>
        <w:tc>
          <w:tcPr>
            <w:tcW w:type="dxa" w:w="2493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  <w:shd w:val="clear" w:color="auto" w:fill="F4F7FB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293B"/>
                <w:sz w:val="20"/>
              </w:rPr>
              <w:t>Proposed</w:t>
            </w:r>
          </w:p>
        </w:tc>
        <w:tc>
          <w:tcPr>
            <w:tcW w:type="dxa" w:w="2493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  <w:shd w:val="clear" w:color="auto" w:fill="F4F7FB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293B"/>
                <w:sz w:val="20"/>
              </w:rPr>
              <w:t>Shell-standard; sufficient for the workload; AKS overkill</w:t>
            </w:r>
          </w:p>
        </w:tc>
      </w:tr>
      <w:tr>
        <w:tc>
          <w:tcPr>
            <w:tcW w:type="dxa" w:w="2493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293B"/>
                <w:sz w:val="20"/>
              </w:rPr>
              <w:t>ADR-003</w:t>
            </w:r>
          </w:p>
        </w:tc>
        <w:tc>
          <w:tcPr>
            <w:tcW w:type="dxa" w:w="2493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293B"/>
                <w:sz w:val="20"/>
              </w:rPr>
              <w:t>App-only auth to Microsoft Graph with certificate</w:t>
            </w:r>
          </w:p>
        </w:tc>
        <w:tc>
          <w:tcPr>
            <w:tcW w:type="dxa" w:w="2493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293B"/>
                <w:sz w:val="20"/>
              </w:rPr>
              <w:t>Accepted</w:t>
            </w:r>
          </w:p>
        </w:tc>
        <w:tc>
          <w:tcPr>
            <w:tcW w:type="dxa" w:w="2493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293B"/>
                <w:sz w:val="20"/>
              </w:rPr>
              <w:t>Production-safe; no user-token fragility</w:t>
            </w:r>
          </w:p>
        </w:tc>
      </w:tr>
      <w:tr>
        <w:tc>
          <w:tcPr>
            <w:tcW w:type="dxa" w:w="2493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  <w:shd w:val="clear" w:color="auto" w:fill="F4F7FB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293B"/>
                <w:sz w:val="20"/>
              </w:rPr>
              <w:t>ADR-004</w:t>
            </w:r>
          </w:p>
        </w:tc>
        <w:tc>
          <w:tcPr>
            <w:tcW w:type="dxa" w:w="2493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  <w:shd w:val="clear" w:color="auto" w:fill="F4F7FB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293B"/>
                <w:sz w:val="20"/>
              </w:rPr>
              <w:t>PostgreSQL Flexible Server, not SQL Server</w:t>
            </w:r>
          </w:p>
        </w:tc>
        <w:tc>
          <w:tcPr>
            <w:tcW w:type="dxa" w:w="2493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  <w:shd w:val="clear" w:color="auto" w:fill="F4F7FB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293B"/>
                <w:sz w:val="20"/>
              </w:rPr>
              <w:t>Proposed</w:t>
            </w:r>
          </w:p>
        </w:tc>
        <w:tc>
          <w:tcPr>
            <w:tcW w:type="dxa" w:w="2493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  <w:shd w:val="clear" w:color="auto" w:fill="F4F7FB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293B"/>
                <w:sz w:val="20"/>
              </w:rPr>
              <w:t>The POC is on SQLite; Postgres is closest migration path; Shell DBA team supports Postgres</w:t>
            </w:r>
          </w:p>
        </w:tc>
      </w:tr>
      <w:tr>
        <w:tc>
          <w:tcPr>
            <w:tcW w:type="dxa" w:w="2493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293B"/>
                <w:sz w:val="20"/>
              </w:rPr>
              <w:t>ADR-005</w:t>
            </w:r>
          </w:p>
        </w:tc>
        <w:tc>
          <w:tcPr>
            <w:tcW w:type="dxa" w:w="2493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293B"/>
                <w:sz w:val="20"/>
              </w:rPr>
              <w:t>Native in-app scorecard form, not Microsoft Forms</w:t>
            </w:r>
          </w:p>
        </w:tc>
        <w:tc>
          <w:tcPr>
            <w:tcW w:type="dxa" w:w="2493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293B"/>
                <w:sz w:val="20"/>
              </w:rPr>
              <w:t>Proposed</w:t>
            </w:r>
          </w:p>
        </w:tc>
        <w:tc>
          <w:tcPr>
            <w:tcW w:type="dxa" w:w="2493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293B"/>
                <w:sz w:val="20"/>
              </w:rPr>
              <w:t>See §5.3 Option B</w:t>
            </w:r>
          </w:p>
        </w:tc>
      </w:tr>
      <w:tr>
        <w:tc>
          <w:tcPr>
            <w:tcW w:type="dxa" w:w="2493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  <w:shd w:val="clear" w:color="auto" w:fill="F4F7FB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293B"/>
                <w:sz w:val="20"/>
              </w:rPr>
              <w:t>ADR-006</w:t>
            </w:r>
          </w:p>
        </w:tc>
        <w:tc>
          <w:tcPr>
            <w:tcW w:type="dxa" w:w="2493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  <w:shd w:val="clear" w:color="auto" w:fill="F4F7FB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293B"/>
                <w:sz w:val="20"/>
              </w:rPr>
              <w:t xml:space="preserve">LLM provider abstracted behind </w:t>
            </w:r>
            <w:r>
              <w:rPr>
                <w:rFonts w:ascii="Consolas" w:hAnsi="Consolas"/>
                <w:color w:val="334055"/>
                <w:sz w:val="18"/>
                <w:shd w:val="clear" w:color="auto" w:fill="F1F3F6"/>
              </w:rPr>
              <w:t>LLMProvider</w:t>
            </w:r>
            <w:r>
              <w:rPr>
                <w:rFonts w:ascii="Calibri" w:hAnsi="Calibri"/>
                <w:color w:val="1E293B"/>
                <w:sz w:val="20"/>
              </w:rPr>
              <w:t xml:space="preserve"> interface</w:t>
            </w:r>
          </w:p>
        </w:tc>
        <w:tc>
          <w:tcPr>
            <w:tcW w:type="dxa" w:w="2493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  <w:shd w:val="clear" w:color="auto" w:fill="F4F7FB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293B"/>
                <w:sz w:val="20"/>
              </w:rPr>
              <w:t>Accepted</w:t>
            </w:r>
          </w:p>
        </w:tc>
        <w:tc>
          <w:tcPr>
            <w:tcW w:type="dxa" w:w="2493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  <w:shd w:val="clear" w:color="auto" w:fill="F4F7FB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293B"/>
                <w:sz w:val="20"/>
              </w:rPr>
              <w:t>Reversible decision; Anthropic or Azure OpenAI selectable via config</w:t>
            </w:r>
          </w:p>
        </w:tc>
      </w:tr>
      <w:tr>
        <w:tc>
          <w:tcPr>
            <w:tcW w:type="dxa" w:w="2493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293B"/>
                <w:sz w:val="20"/>
              </w:rPr>
              <w:t>ADR-007</w:t>
            </w:r>
          </w:p>
        </w:tc>
        <w:tc>
          <w:tcPr>
            <w:tcW w:type="dxa" w:w="2493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293B"/>
                <w:sz w:val="20"/>
              </w:rPr>
              <w:t>Approval gate on every outbound action — no exception</w:t>
            </w:r>
          </w:p>
        </w:tc>
        <w:tc>
          <w:tcPr>
            <w:tcW w:type="dxa" w:w="2493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293B"/>
                <w:sz w:val="20"/>
              </w:rPr>
              <w:t>Accepted</w:t>
            </w:r>
          </w:p>
        </w:tc>
        <w:tc>
          <w:tcPr>
            <w:tcW w:type="dxa" w:w="2493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293B"/>
                <w:sz w:val="20"/>
              </w:rPr>
              <w:t>Foundational risk control; non-negotiable</w:t>
            </w:r>
          </w:p>
        </w:tc>
      </w:tr>
      <w:tr>
        <w:tc>
          <w:tcPr>
            <w:tcW w:type="dxa" w:w="2493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  <w:shd w:val="clear" w:color="auto" w:fill="F4F7FB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293B"/>
                <w:sz w:val="20"/>
              </w:rPr>
              <w:t>ADR-008</w:t>
            </w:r>
          </w:p>
        </w:tc>
        <w:tc>
          <w:tcPr>
            <w:tcW w:type="dxa" w:w="2493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  <w:shd w:val="clear" w:color="auto" w:fill="F4F7FB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293B"/>
                <w:sz w:val="20"/>
              </w:rPr>
              <w:t>Audit table (</w:t>
            </w:r>
            <w:r>
              <w:rPr>
                <w:rFonts w:ascii="Consolas" w:hAnsi="Consolas"/>
                <w:color w:val="334055"/>
                <w:sz w:val="18"/>
                <w:shd w:val="clear" w:color="auto" w:fill="F1F3F6"/>
              </w:rPr>
              <w:t>agent_runs</w:t>
            </w:r>
            <w:r>
              <w:rPr>
                <w:rFonts w:ascii="Calibri" w:hAnsi="Calibri"/>
                <w:color w:val="1E293B"/>
                <w:sz w:val="20"/>
              </w:rPr>
              <w:t>) mirrored to Log Analytics</w:t>
            </w:r>
          </w:p>
        </w:tc>
        <w:tc>
          <w:tcPr>
            <w:tcW w:type="dxa" w:w="2493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  <w:shd w:val="clear" w:color="auto" w:fill="F4F7FB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293B"/>
                <w:sz w:val="20"/>
              </w:rPr>
              <w:t>Proposed</w:t>
            </w:r>
          </w:p>
        </w:tc>
        <w:tc>
          <w:tcPr>
            <w:tcW w:type="dxa" w:w="2493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  <w:shd w:val="clear" w:color="auto" w:fill="F4F7FB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293B"/>
                <w:sz w:val="20"/>
              </w:rPr>
              <w:t>Tamper-resistant retention for sensitive payloads</w:t>
            </w:r>
          </w:p>
        </w:tc>
      </w:tr>
      <w:tr>
        <w:tc>
          <w:tcPr>
            <w:tcW w:type="dxa" w:w="2493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293B"/>
                <w:sz w:val="20"/>
              </w:rPr>
              <w:t>ADR-009</w:t>
            </w:r>
          </w:p>
        </w:tc>
        <w:tc>
          <w:tcPr>
            <w:tcW w:type="dxa" w:w="2493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293B"/>
                <w:sz w:val="20"/>
              </w:rPr>
              <w:t>Entra ID OIDC for SSO, Shell groups for RBAC</w:t>
            </w:r>
          </w:p>
        </w:tc>
        <w:tc>
          <w:tcPr>
            <w:tcW w:type="dxa" w:w="2493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293B"/>
                <w:sz w:val="20"/>
              </w:rPr>
              <w:t>Accepted</w:t>
            </w:r>
          </w:p>
        </w:tc>
        <w:tc>
          <w:tcPr>
            <w:tcW w:type="dxa" w:w="2493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293B"/>
                <w:sz w:val="20"/>
              </w:rPr>
              <w:t>Shell standard; zero password material in app</w:t>
            </w:r>
          </w:p>
        </w:tc>
      </w:tr>
      <w:tr>
        <w:tc>
          <w:tcPr>
            <w:tcW w:type="dxa" w:w="2493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  <w:shd w:val="clear" w:color="auto" w:fill="F4F7FB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293B"/>
                <w:sz w:val="20"/>
              </w:rPr>
              <w:t>ADR-010</w:t>
            </w:r>
          </w:p>
        </w:tc>
        <w:tc>
          <w:tcPr>
            <w:tcW w:type="dxa" w:w="2493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  <w:shd w:val="clear" w:color="auto" w:fill="F4F7FB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293B"/>
                <w:sz w:val="20"/>
              </w:rPr>
              <w:t>No mobile app at launch</w:t>
            </w:r>
          </w:p>
        </w:tc>
        <w:tc>
          <w:tcPr>
            <w:tcW w:type="dxa" w:w="2493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  <w:shd w:val="clear" w:color="auto" w:fill="F4F7FB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293B"/>
                <w:sz w:val="20"/>
              </w:rPr>
              <w:t>Accepted</w:t>
            </w:r>
          </w:p>
        </w:tc>
        <w:tc>
          <w:tcPr>
            <w:tcW w:type="dxa" w:w="2493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  <w:shd w:val="clear" w:color="auto" w:fill="F4F7FB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293B"/>
                <w:sz w:val="20"/>
              </w:rPr>
              <w:t>Scope discipline; web-first</w:t>
            </w:r>
          </w:p>
        </w:tc>
      </w:tr>
    </w:tbl>
    <w:p/>
    <w:p>
      <w:pPr>
        <w:pBdr>
          <w:bottom w:val="single" w:sz="6" w:space="1" w:color="C7D0DD"/>
        </w:pBdr>
      </w:pPr>
    </w:p>
    <w:p>
      <w:pPr>
        <w:keepNext/>
        <w:spacing w:before="280" w:after="120"/>
      </w:pPr>
      <w:r>
        <w:rPr>
          <w:rFonts w:ascii="Calibri" w:hAnsi="Calibri"/>
          <w:b/>
          <w:color w:val="0F5BA8"/>
          <w:sz w:val="32"/>
        </w:rPr>
        <w:t>9. Architecture risk register (top 5)</w:t>
      </w:r>
    </w:p>
    <w:p>
      <w:pPr>
        <w:spacing w:after="120"/>
      </w:pPr>
      <w:r>
        <w:rPr>
          <w:rFonts w:ascii="Calibri" w:hAnsi="Calibri"/>
          <w:color w:val="1E293B"/>
          <w:sz w:val="22"/>
        </w:rPr>
        <w:t xml:space="preserve">Full register in </w:t>
      </w:r>
      <w:r>
        <w:rPr>
          <w:rFonts w:ascii="Calibri" w:hAnsi="Calibri"/>
          <w:color w:val="0F5BA8"/>
          <w:sz w:val="22"/>
          <w:u w:val="single"/>
        </w:rPr>
        <w:t>§09</w:t>
      </w:r>
      <w:r>
        <w:rPr>
          <w:rFonts w:ascii="Calibri" w:hAnsi="Calibri"/>
          <w:color w:val="1E293B"/>
          <w:sz w:val="22"/>
        </w:rPr>
        <w:t>. Top architectural risks here: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  <w:shd w:val="clear" w:color="auto" w:fill="DCE7F4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1B3A6F"/>
                <w:sz w:val="21"/>
              </w:rPr>
              <w:t>#</w:t>
            </w:r>
          </w:p>
        </w:tc>
        <w:tc>
          <w:tcPr>
            <w:tcW w:type="dxa" w:w="1994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  <w:shd w:val="clear" w:color="auto" w:fill="DCE7F4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1B3A6F"/>
                <w:sz w:val="21"/>
              </w:rPr>
              <w:t>Risk</w:t>
            </w:r>
          </w:p>
        </w:tc>
        <w:tc>
          <w:tcPr>
            <w:tcW w:type="dxa" w:w="1994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  <w:shd w:val="clear" w:color="auto" w:fill="DCE7F4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1B3A6F"/>
                <w:sz w:val="21"/>
              </w:rPr>
              <w:t>Likelihood</w:t>
            </w:r>
          </w:p>
        </w:tc>
        <w:tc>
          <w:tcPr>
            <w:tcW w:type="dxa" w:w="1994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  <w:shd w:val="clear" w:color="auto" w:fill="DCE7F4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1B3A6F"/>
                <w:sz w:val="21"/>
              </w:rPr>
              <w:t>Impact</w:t>
            </w:r>
          </w:p>
        </w:tc>
        <w:tc>
          <w:tcPr>
            <w:tcW w:type="dxa" w:w="1994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  <w:shd w:val="clear" w:color="auto" w:fill="DCE7F4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1B3A6F"/>
                <w:sz w:val="21"/>
              </w:rPr>
              <w:t>Mitigation</w:t>
            </w:r>
          </w:p>
        </w:tc>
      </w:tr>
      <w:tr>
        <w:tc>
          <w:tcPr>
            <w:tcW w:type="dxa" w:w="1994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293B"/>
                <w:sz w:val="20"/>
              </w:rPr>
              <w:t>A1</w:t>
            </w:r>
          </w:p>
        </w:tc>
        <w:tc>
          <w:tcPr>
            <w:tcW w:type="dxa" w:w="1994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293B"/>
                <w:sz w:val="20"/>
              </w:rPr>
              <w:t xml:space="preserve">Entra ID app registration with </w:t>
            </w:r>
            <w:r>
              <w:rPr>
                <w:rFonts w:ascii="Consolas" w:hAnsi="Consolas"/>
                <w:color w:val="334055"/>
                <w:sz w:val="18"/>
                <w:shd w:val="clear" w:color="auto" w:fill="F1F3F6"/>
              </w:rPr>
              <w:t>Mail.Send</w:t>
            </w:r>
            <w:r>
              <w:rPr>
                <w:rFonts w:ascii="Calibri" w:hAnsi="Calibri"/>
                <w:color w:val="1E293B"/>
                <w:sz w:val="20"/>
              </w:rPr>
              <w:t xml:space="preserve"> app-only not approved by Shell IT Security</w:t>
            </w:r>
          </w:p>
        </w:tc>
        <w:tc>
          <w:tcPr>
            <w:tcW w:type="dxa" w:w="1994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293B"/>
                <w:sz w:val="20"/>
              </w:rPr>
              <w:t>Medium</w:t>
            </w:r>
          </w:p>
        </w:tc>
        <w:tc>
          <w:tcPr>
            <w:tcW w:type="dxa" w:w="1994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293B"/>
                <w:sz w:val="20"/>
              </w:rPr>
              <w:t>High (blocks delivery)</w:t>
            </w:r>
          </w:p>
        </w:tc>
        <w:tc>
          <w:tcPr>
            <w:tcW w:type="dxa" w:w="1994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293B"/>
                <w:sz w:val="20"/>
              </w:rPr>
              <w:t>Start consent process during pre-mobilisation (4–6 weeks ahead of Day 1); offer mailbox-scoped Application Access Policy from the outset</w:t>
            </w:r>
          </w:p>
        </w:tc>
      </w:tr>
      <w:tr>
        <w:tc>
          <w:tcPr>
            <w:tcW w:type="dxa" w:w="1994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  <w:shd w:val="clear" w:color="auto" w:fill="F4F7FB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293B"/>
                <w:sz w:val="20"/>
              </w:rPr>
              <w:t>A2</w:t>
            </w:r>
          </w:p>
        </w:tc>
        <w:tc>
          <w:tcPr>
            <w:tcW w:type="dxa" w:w="1994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  <w:shd w:val="clear" w:color="auto" w:fill="F4F7FB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293B"/>
                <w:sz w:val="20"/>
              </w:rPr>
              <w:t>LLM token spend exceeds forecast due to scoping creep on prompts</w:t>
            </w:r>
          </w:p>
        </w:tc>
        <w:tc>
          <w:tcPr>
            <w:tcW w:type="dxa" w:w="1994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  <w:shd w:val="clear" w:color="auto" w:fill="F4F7FB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293B"/>
                <w:sz w:val="20"/>
              </w:rPr>
              <w:t>Medium</w:t>
            </w:r>
          </w:p>
        </w:tc>
        <w:tc>
          <w:tcPr>
            <w:tcW w:type="dxa" w:w="1994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  <w:shd w:val="clear" w:color="auto" w:fill="F4F7FB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293B"/>
                <w:sz w:val="20"/>
              </w:rPr>
              <w:t>Medium</w:t>
            </w:r>
          </w:p>
        </w:tc>
        <w:tc>
          <w:tcPr>
            <w:tcW w:type="dxa" w:w="1994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  <w:shd w:val="clear" w:color="auto" w:fill="F4F7FB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293B"/>
                <w:sz w:val="20"/>
              </w:rPr>
              <w:t>Per-cycle token budget guard; spend dashboard; alerts at 80% of monthly budget</w:t>
            </w:r>
          </w:p>
        </w:tc>
      </w:tr>
      <w:tr>
        <w:tc>
          <w:tcPr>
            <w:tcW w:type="dxa" w:w="1994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293B"/>
                <w:sz w:val="20"/>
              </w:rPr>
              <w:t>A3</w:t>
            </w:r>
          </w:p>
        </w:tc>
        <w:tc>
          <w:tcPr>
            <w:tcW w:type="dxa" w:w="1994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293B"/>
                <w:sz w:val="20"/>
              </w:rPr>
              <w:t>Microsoft Forms via Graph is beta and unsuitable</w:t>
            </w:r>
          </w:p>
        </w:tc>
        <w:tc>
          <w:tcPr>
            <w:tcW w:type="dxa" w:w="1994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293B"/>
                <w:sz w:val="20"/>
              </w:rPr>
              <w:t>High (if chosen)</w:t>
            </w:r>
          </w:p>
        </w:tc>
        <w:tc>
          <w:tcPr>
            <w:tcW w:type="dxa" w:w="1994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293B"/>
                <w:sz w:val="20"/>
              </w:rPr>
              <w:t>Medium</w:t>
            </w:r>
          </w:p>
        </w:tc>
        <w:tc>
          <w:tcPr>
            <w:tcW w:type="dxa" w:w="1994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293B"/>
                <w:sz w:val="20"/>
              </w:rPr>
              <w:t>Default to in-app form (Option B); MS Forms is fallback only</w:t>
            </w:r>
          </w:p>
        </w:tc>
      </w:tr>
      <w:tr>
        <w:tc>
          <w:tcPr>
            <w:tcW w:type="dxa" w:w="1994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  <w:shd w:val="clear" w:color="auto" w:fill="F4F7FB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293B"/>
                <w:sz w:val="20"/>
              </w:rPr>
              <w:t>A4</w:t>
            </w:r>
          </w:p>
        </w:tc>
        <w:tc>
          <w:tcPr>
            <w:tcW w:type="dxa" w:w="1994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  <w:shd w:val="clear" w:color="auto" w:fill="F4F7FB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293B"/>
                <w:sz w:val="20"/>
              </w:rPr>
              <w:t>Conditional Access policies block service account sign-in</w:t>
            </w:r>
          </w:p>
        </w:tc>
        <w:tc>
          <w:tcPr>
            <w:tcW w:type="dxa" w:w="1994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  <w:shd w:val="clear" w:color="auto" w:fill="F4F7FB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293B"/>
                <w:sz w:val="20"/>
              </w:rPr>
              <w:t>Medium</w:t>
            </w:r>
          </w:p>
        </w:tc>
        <w:tc>
          <w:tcPr>
            <w:tcW w:type="dxa" w:w="1994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  <w:shd w:val="clear" w:color="auto" w:fill="F4F7FB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293B"/>
                <w:sz w:val="20"/>
              </w:rPr>
              <w:t>High</w:t>
            </w:r>
          </w:p>
        </w:tc>
        <w:tc>
          <w:tcPr>
            <w:tcW w:type="dxa" w:w="1994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  <w:shd w:val="clear" w:color="auto" w:fill="F4F7FB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293B"/>
                <w:sz w:val="20"/>
              </w:rPr>
              <w:t>App-only auth (no interactive sign-in) sidesteps most CA policies; coordinate with Entra ID admin to exempt service principal where needed</w:t>
            </w:r>
          </w:p>
        </w:tc>
      </w:tr>
      <w:tr>
        <w:tc>
          <w:tcPr>
            <w:tcW w:type="dxa" w:w="1994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293B"/>
                <w:sz w:val="20"/>
              </w:rPr>
              <w:t>A5</w:t>
            </w:r>
          </w:p>
        </w:tc>
        <w:tc>
          <w:tcPr>
            <w:tcW w:type="dxa" w:w="1994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293B"/>
                <w:sz w:val="20"/>
              </w:rPr>
              <w:t>LLM provider regional residency does not match Shell's EU data-residency requirement</w:t>
            </w:r>
          </w:p>
        </w:tc>
        <w:tc>
          <w:tcPr>
            <w:tcW w:type="dxa" w:w="1994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293B"/>
                <w:sz w:val="20"/>
              </w:rPr>
              <w:t>Medium</w:t>
            </w:r>
          </w:p>
        </w:tc>
        <w:tc>
          <w:tcPr>
            <w:tcW w:type="dxa" w:w="1994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293B"/>
                <w:sz w:val="20"/>
              </w:rPr>
              <w:t>High</w:t>
            </w:r>
          </w:p>
        </w:tc>
        <w:tc>
          <w:tcPr>
            <w:tcW w:type="dxa" w:w="1994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293B"/>
                <w:sz w:val="20"/>
              </w:rPr>
              <w:t>Resolve during pre-mobilisation by procurement choice (Anthropic EU vs Azure OpenAI EU); LLM contract is a day-zero prerequisite</w:t>
            </w:r>
          </w:p>
        </w:tc>
      </w:tr>
    </w:tbl>
    <w:p/>
    <w:p>
      <w:pPr>
        <w:pBdr>
          <w:bottom w:val="single" w:sz="6" w:space="1" w:color="C7D0DD"/>
        </w:pBdr>
      </w:pPr>
    </w:p>
    <w:p>
      <w:pPr>
        <w:keepNext/>
        <w:spacing w:before="280" w:after="120"/>
      </w:pPr>
      <w:r>
        <w:rPr>
          <w:rFonts w:ascii="Calibri" w:hAnsi="Calibri"/>
          <w:b/>
          <w:color w:val="0F5BA8"/>
          <w:sz w:val="32"/>
        </w:rPr>
        <w:t>10. Architectural review checkpoints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  <w:shd w:val="clear" w:color="auto" w:fill="DCE7F4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1B3A6F"/>
                <w:sz w:val="21"/>
              </w:rPr>
              <w:t>Checkpoint</w:t>
            </w:r>
          </w:p>
        </w:tc>
        <w:tc>
          <w:tcPr>
            <w:tcW w:type="dxa" w:w="2493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  <w:shd w:val="clear" w:color="auto" w:fill="DCE7F4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1B3A6F"/>
                <w:sz w:val="21"/>
              </w:rPr>
              <w:t>When</w:t>
            </w:r>
          </w:p>
        </w:tc>
        <w:tc>
          <w:tcPr>
            <w:tcW w:type="dxa" w:w="2493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  <w:shd w:val="clear" w:color="auto" w:fill="DCE7F4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1B3A6F"/>
                <w:sz w:val="21"/>
              </w:rPr>
              <w:t>Audience</w:t>
            </w:r>
          </w:p>
        </w:tc>
        <w:tc>
          <w:tcPr>
            <w:tcW w:type="dxa" w:w="2493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  <w:shd w:val="clear" w:color="auto" w:fill="DCE7F4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1B3A6F"/>
                <w:sz w:val="21"/>
              </w:rPr>
              <w:t>Output</w:t>
            </w:r>
          </w:p>
        </w:tc>
      </w:tr>
      <w:tr>
        <w:tc>
          <w:tcPr>
            <w:tcW w:type="dxa" w:w="2493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293B"/>
                <w:sz w:val="20"/>
              </w:rPr>
              <w:t>Initial architecture review</w:t>
            </w:r>
          </w:p>
        </w:tc>
        <w:tc>
          <w:tcPr>
            <w:tcW w:type="dxa" w:w="2493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293B"/>
                <w:sz w:val="20"/>
              </w:rPr>
              <w:t>Pre-mobilisation (before Day 1)</w:t>
            </w:r>
          </w:p>
        </w:tc>
        <w:tc>
          <w:tcPr>
            <w:tcW w:type="dxa" w:w="2493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293B"/>
                <w:sz w:val="20"/>
              </w:rPr>
              <w:t>Shell Architecture Review Board</w:t>
            </w:r>
          </w:p>
        </w:tc>
        <w:tc>
          <w:tcPr>
            <w:tcW w:type="dxa" w:w="2493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293B"/>
                <w:sz w:val="20"/>
              </w:rPr>
              <w:t>Approved architecture document, ADRs locked</w:t>
            </w:r>
          </w:p>
        </w:tc>
      </w:tr>
      <w:tr>
        <w:tc>
          <w:tcPr>
            <w:tcW w:type="dxa" w:w="2493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  <w:shd w:val="clear" w:color="auto" w:fill="F4F7FB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293B"/>
                <w:sz w:val="20"/>
              </w:rPr>
              <w:t>Security architecture review</w:t>
            </w:r>
          </w:p>
        </w:tc>
        <w:tc>
          <w:tcPr>
            <w:tcW w:type="dxa" w:w="2493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  <w:shd w:val="clear" w:color="auto" w:fill="F4F7FB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293B"/>
                <w:sz w:val="20"/>
              </w:rPr>
              <w:t>Pre-mobilisation (before Day 1)</w:t>
            </w:r>
          </w:p>
        </w:tc>
        <w:tc>
          <w:tcPr>
            <w:tcW w:type="dxa" w:w="2493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  <w:shd w:val="clear" w:color="auto" w:fill="F4F7FB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293B"/>
                <w:sz w:val="20"/>
              </w:rPr>
              <w:t>Shell IT Security</w:t>
            </w:r>
          </w:p>
        </w:tc>
        <w:tc>
          <w:tcPr>
            <w:tcW w:type="dxa" w:w="2493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  <w:shd w:val="clear" w:color="auto" w:fill="F4F7FB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293B"/>
                <w:sz w:val="20"/>
              </w:rPr>
              <w:t>Approved security posture, Entra ID app registration consented</w:t>
            </w:r>
          </w:p>
        </w:tc>
      </w:tr>
      <w:tr>
        <w:tc>
          <w:tcPr>
            <w:tcW w:type="dxa" w:w="2493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293B"/>
                <w:sz w:val="20"/>
              </w:rPr>
              <w:t>Design alignment checkpoint</w:t>
            </w:r>
          </w:p>
        </w:tc>
        <w:tc>
          <w:tcPr>
            <w:tcW w:type="dxa" w:w="2493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293B"/>
                <w:sz w:val="20"/>
              </w:rPr>
              <w:t>Day 2 (Week 1, Tuesday afternoon)</w:t>
            </w:r>
          </w:p>
        </w:tc>
        <w:tc>
          <w:tcPr>
            <w:tcW w:type="dxa" w:w="2493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293B"/>
                <w:sz w:val="20"/>
              </w:rPr>
              <w:t>Shell VMO + IT Architecture + IT Security</w:t>
            </w:r>
          </w:p>
        </w:tc>
        <w:tc>
          <w:tcPr>
            <w:tcW w:type="dxa" w:w="2493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293B"/>
                <w:sz w:val="20"/>
              </w:rPr>
              <w:t>Signed-off Design Decision Log; scope adjustments captured</w:t>
            </w:r>
          </w:p>
        </w:tc>
      </w:tr>
      <w:tr>
        <w:tc>
          <w:tcPr>
            <w:tcW w:type="dxa" w:w="2493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  <w:shd w:val="clear" w:color="auto" w:fill="F4F7FB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293B"/>
                <w:sz w:val="20"/>
              </w:rPr>
              <w:t>Week 1 demo + gate review</w:t>
            </w:r>
          </w:p>
        </w:tc>
        <w:tc>
          <w:tcPr>
            <w:tcW w:type="dxa" w:w="2493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  <w:shd w:val="clear" w:color="auto" w:fill="F4F7FB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293B"/>
                <w:sz w:val="20"/>
              </w:rPr>
              <w:t>Day 5 (Week 1, Friday)</w:t>
            </w:r>
          </w:p>
        </w:tc>
        <w:tc>
          <w:tcPr>
            <w:tcW w:type="dxa" w:w="2493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  <w:shd w:val="clear" w:color="auto" w:fill="F4F7FB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293B"/>
                <w:sz w:val="20"/>
              </w:rPr>
              <w:t>Shell sponsor + PMO + Zensar DM/SA</w:t>
            </w:r>
          </w:p>
        </w:tc>
        <w:tc>
          <w:tcPr>
            <w:tcW w:type="dxa" w:w="2493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  <w:shd w:val="clear" w:color="auto" w:fill="F4F7FB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293B"/>
                <w:sz w:val="20"/>
              </w:rPr>
              <w:t>Module A end-to-end demonstration; design frozen</w:t>
            </w:r>
          </w:p>
        </w:tc>
      </w:tr>
      <w:tr>
        <w:tc>
          <w:tcPr>
            <w:tcW w:type="dxa" w:w="2493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293B"/>
                <w:sz w:val="20"/>
              </w:rPr>
              <w:t>Week 2 demo + gate review</w:t>
            </w:r>
          </w:p>
        </w:tc>
        <w:tc>
          <w:tcPr>
            <w:tcW w:type="dxa" w:w="2493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293B"/>
                <w:sz w:val="20"/>
              </w:rPr>
              <w:t>Day 10 (Week 2, Friday)</w:t>
            </w:r>
          </w:p>
        </w:tc>
        <w:tc>
          <w:tcPr>
            <w:tcW w:type="dxa" w:w="2493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293B"/>
                <w:sz w:val="20"/>
              </w:rPr>
              <w:t>Shell sponsor + PMO + Zensar DM/SA</w:t>
            </w:r>
          </w:p>
        </w:tc>
        <w:tc>
          <w:tcPr>
            <w:tcW w:type="dxa" w:w="2493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293B"/>
                <w:sz w:val="20"/>
              </w:rPr>
              <w:t>Full cycle demonstration; code freeze declared</w:t>
            </w:r>
          </w:p>
        </w:tc>
      </w:tr>
      <w:tr>
        <w:tc>
          <w:tcPr>
            <w:tcW w:type="dxa" w:w="2493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  <w:shd w:val="clear" w:color="auto" w:fill="F4F7FB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293B"/>
                <w:sz w:val="20"/>
              </w:rPr>
              <w:t>Pre-prod security sign-off</w:t>
            </w:r>
          </w:p>
        </w:tc>
        <w:tc>
          <w:tcPr>
            <w:tcW w:type="dxa" w:w="2493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  <w:shd w:val="clear" w:color="auto" w:fill="F4F7FB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293B"/>
                <w:sz w:val="20"/>
              </w:rPr>
              <w:t>Day 13 (Week 3, Wednesday)</w:t>
            </w:r>
          </w:p>
        </w:tc>
        <w:tc>
          <w:tcPr>
            <w:tcW w:type="dxa" w:w="2493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  <w:shd w:val="clear" w:color="auto" w:fill="F4F7FB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293B"/>
                <w:sz w:val="20"/>
              </w:rPr>
              <w:t>Shell IT Security</w:t>
            </w:r>
          </w:p>
        </w:tc>
        <w:tc>
          <w:tcPr>
            <w:tcW w:type="dxa" w:w="2493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  <w:shd w:val="clear" w:color="auto" w:fill="F4F7FB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293B"/>
                <w:sz w:val="20"/>
              </w:rPr>
              <w:t>Permissions, audit posture, go/no-go for prod cutover</w:t>
            </w:r>
          </w:p>
        </w:tc>
      </w:tr>
      <w:tr>
        <w:tc>
          <w:tcPr>
            <w:tcW w:type="dxa" w:w="2493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293B"/>
                <w:sz w:val="20"/>
              </w:rPr>
              <w:t>CAB approval for production cutover</w:t>
            </w:r>
          </w:p>
        </w:tc>
        <w:tc>
          <w:tcPr>
            <w:tcW w:type="dxa" w:w="2493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293B"/>
                <w:sz w:val="20"/>
              </w:rPr>
              <w:t>Day 14 (Week 3, Thursday)</w:t>
            </w:r>
          </w:p>
        </w:tc>
        <w:tc>
          <w:tcPr>
            <w:tcW w:type="dxa" w:w="2493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293B"/>
                <w:sz w:val="20"/>
              </w:rPr>
              <w:t>Shell CAB</w:t>
            </w:r>
          </w:p>
        </w:tc>
        <w:tc>
          <w:tcPr>
            <w:tcW w:type="dxa" w:w="2493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293B"/>
                <w:sz w:val="20"/>
              </w:rPr>
              <w:t>Change-management approval</w:t>
            </w:r>
          </w:p>
        </w:tc>
      </w:tr>
      <w:tr>
        <w:tc>
          <w:tcPr>
            <w:tcW w:type="dxa" w:w="2493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  <w:shd w:val="clear" w:color="auto" w:fill="F4F7FB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293B"/>
                <w:sz w:val="20"/>
              </w:rPr>
              <w:t>End-of-engagement retrospective</w:t>
            </w:r>
          </w:p>
        </w:tc>
        <w:tc>
          <w:tcPr>
            <w:tcW w:type="dxa" w:w="2493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  <w:shd w:val="clear" w:color="auto" w:fill="F4F7FB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293B"/>
                <w:sz w:val="20"/>
              </w:rPr>
              <w:t>Day 15 (Week 3, Friday)</w:t>
            </w:r>
          </w:p>
        </w:tc>
        <w:tc>
          <w:tcPr>
            <w:tcW w:type="dxa" w:w="2493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  <w:shd w:val="clear" w:color="auto" w:fill="F4F7FB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293B"/>
                <w:sz w:val="20"/>
              </w:rPr>
              <w:t>Joint</w:t>
            </w:r>
          </w:p>
        </w:tc>
        <w:tc>
          <w:tcPr>
            <w:tcW w:type="dxa" w:w="2493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  <w:shd w:val="clear" w:color="auto" w:fill="F4F7FB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293B"/>
                <w:sz w:val="20"/>
              </w:rPr>
              <w:t>Lessons; baseline architecture document v2.x; defect-warranty period starts Week 4</w:t>
            </w:r>
          </w:p>
        </w:tc>
      </w:tr>
    </w:tbl>
    <w:p/>
    <w:p>
      <w:pPr>
        <w:pBdr>
          <w:bottom w:val="single" w:sz="6" w:space="1" w:color="C7D0DD"/>
        </w:pBdr>
      </w:pPr>
    </w:p>
    <w:p>
      <w:pPr>
        <w:spacing w:after="120"/>
      </w:pPr>
      <w:r>
        <w:rPr>
          <w:rFonts w:ascii="Calibri" w:hAnsi="Calibri"/>
          <w:i/>
          <w:color w:val="1E293B"/>
          <w:sz w:val="22"/>
        </w:rPr>
        <w:t>Solution Architecture — Zensar VendorPulse for Shell — 2026-06-03.</w:t>
      </w:r>
    </w:p>
    <w:sectPr w:rsidR="00FC693F" w:rsidRPr="0006063C" w:rsidSect="00034616">
      <w:footerReference w:type="default" r:id="rId9"/>
      <w:pgSz w:w="12240" w:h="15840"/>
      <w:pgMar w:top="1134" w:right="1134" w:bottom="124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64748B"/>
        <w:sz w:val="18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  <w:color w:val="1E293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