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A6F"/>
          <w:sz w:val="52"/>
        </w:rPr>
        <w:t>VendorPulse — Dependencies &amp; Access Requirements</w:t>
      </w:r>
    </w:p>
    <w:p>
      <w:r>
        <w:rPr>
          <w:rFonts w:ascii="Calibri" w:hAnsi="Calibri"/>
          <w:i/>
          <w:color w:val="64748B"/>
          <w:sz w:val="24"/>
        </w:rPr>
        <w:t>Shell engagement · Version 2.0 · 2026-06-03</w:t>
      </w:r>
    </w:p>
    <w:p>
      <w:pPr>
        <w:pBdr>
          <w:bottom w:val="single" w:sz="6" w:space="1" w:color="C7D0DD"/>
        </w:pBdr>
      </w:pPr>
    </w:p>
    <w:p>
      <w:pPr>
        <w:keepNext/>
        <w:spacing w:before="360" w:after="160"/>
      </w:pPr>
      <w:r>
        <w:rPr>
          <w:rFonts w:ascii="Calibri" w:hAnsi="Calibri"/>
          <w:b/>
          <w:color w:val="1B3A6F"/>
          <w:sz w:val="44"/>
        </w:rPr>
        <w:t>Dependencies &amp; Access Requirements</w:t>
      </w:r>
    </w:p>
    <w:p>
      <w:pPr>
        <w:spacing w:before="120" w:after="160"/>
        <w:ind w:left="227"/>
        <w:shd w:val="clear" w:color="auto" w:fill="FFF8E7"/>
        <w:pBdr>
          <w:left w:val="single" w:sz="24" w:space="8" w:color="C99A06"/>
        </w:pBdr>
      </w:pPr>
      <w:r>
        <w:rPr>
          <w:rFonts w:ascii="Calibri" w:hAnsi="Calibri"/>
          <w:b/>
          <w:color w:val="1E293B"/>
          <w:sz w:val="22"/>
        </w:rPr>
        <w:t>Version:</w:t>
      </w:r>
      <w:r>
        <w:rPr>
          <w:rFonts w:ascii="Calibri" w:hAnsi="Calibri"/>
          <w:color w:val="1E293B"/>
          <w:sz w:val="22"/>
        </w:rPr>
        <w:t xml:space="preserve"> 2.0 | </w:t>
      </w:r>
      <w:r>
        <w:rPr>
          <w:rFonts w:ascii="Calibri" w:hAnsi="Calibri"/>
          <w:b/>
          <w:color w:val="1E293B"/>
          <w:sz w:val="22"/>
        </w:rPr>
        <w:t>Date:</w:t>
      </w:r>
      <w:r>
        <w:rPr>
          <w:rFonts w:ascii="Calibri" w:hAnsi="Calibri"/>
          <w:color w:val="1E293B"/>
          <w:sz w:val="22"/>
        </w:rPr>
        <w:t xml:space="preserve"> 2026-06-03 </w:t>
      </w:r>
      <w:r>
        <w:rPr>
          <w:rFonts w:ascii="Calibri" w:hAnsi="Calibri"/>
          <w:b/>
          <w:color w:val="1E293B"/>
          <w:sz w:val="22"/>
        </w:rPr>
        <w:t>Audience:</w:t>
      </w:r>
      <w:r>
        <w:rPr>
          <w:rFonts w:ascii="Calibri" w:hAnsi="Calibri"/>
          <w:color w:val="1E293B"/>
          <w:sz w:val="22"/>
        </w:rPr>
        <w:t xml:space="preserve"> Shell IT Service Management, Shell Identity, Shell Procurement, Zensar Delivery Manager </w:t>
      </w:r>
      <w:r>
        <w:rPr>
          <w:rFonts w:ascii="Calibri" w:hAnsi="Calibri"/>
          <w:b/>
          <w:color w:val="1E293B"/>
          <w:sz w:val="22"/>
        </w:rPr>
        <w:t>Purpose:</w:t>
      </w:r>
      <w:r>
        <w:rPr>
          <w:rFonts w:ascii="Calibri" w:hAnsi="Calibri"/>
          <w:color w:val="1E293B"/>
          <w:sz w:val="22"/>
        </w:rPr>
        <w:t xml:space="preserve"> Single checklist of everything the delivery team needs in order to build, deploy, and operate VendorPulse for Shell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How to read this document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Every row is something that </w:t>
      </w:r>
      <w:r>
        <w:rPr>
          <w:rFonts w:ascii="Calibri" w:hAnsi="Calibri"/>
          <w:b/>
          <w:color w:val="1E293B"/>
          <w:sz w:val="22"/>
        </w:rPr>
        <w:t>must exist</w:t>
      </w:r>
      <w:r>
        <w:rPr>
          <w:rFonts w:ascii="Calibri" w:hAnsi="Calibri"/>
          <w:color w:val="1E293B"/>
          <w:sz w:val="22"/>
        </w:rPr>
        <w:t xml:space="preserve"> before the dependent piece of work can start. Items are grouped by domain (Identity, Azure, LLM, Messaging, Tooling, People). Each item has: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Owner</w:t>
      </w:r>
      <w:r>
        <w:rPr>
          <w:rFonts w:ascii="Calibri" w:hAnsi="Calibri"/>
          <w:color w:val="1E293B"/>
          <w:sz w:val="22"/>
        </w:rPr>
        <w:t xml:space="preserve"> — who provides / approves it (usually Shell)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Lead time</w:t>
      </w:r>
      <w:r>
        <w:rPr>
          <w:rFonts w:ascii="Calibri" w:hAnsi="Calibri"/>
          <w:color w:val="1E293B"/>
          <w:sz w:val="22"/>
        </w:rPr>
        <w:t xml:space="preserve"> — how long it typically takes to obtain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Blocks</w:t>
      </w:r>
      <w:r>
        <w:rPr>
          <w:rFonts w:ascii="Calibri" w:hAnsi="Calibri"/>
          <w:color w:val="1E293B"/>
          <w:sz w:val="22"/>
        </w:rPr>
        <w:t xml:space="preserve"> — what cannot start until this is in place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Cost note</w:t>
      </w:r>
      <w:r>
        <w:rPr>
          <w:rFonts w:ascii="Calibri" w:hAnsi="Calibri"/>
          <w:color w:val="1E293B"/>
          <w:sz w:val="22"/>
        </w:rPr>
        <w:t xml:space="preserve"> — explicit licence / subscription cost where applicable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We have deliberately erred on the side of "request it earlier than you think you need it". Several items below have </w:t>
      </w:r>
      <w:r>
        <w:rPr>
          <w:rFonts w:ascii="Calibri" w:hAnsi="Calibri"/>
          <w:b/>
          <w:color w:val="1E293B"/>
          <w:sz w:val="22"/>
        </w:rPr>
        <w:t>multi-week lead times</w:t>
      </w:r>
      <w:r>
        <w:rPr>
          <w:rFonts w:ascii="Calibri" w:hAnsi="Calibri"/>
          <w:color w:val="1E293B"/>
          <w:sz w:val="22"/>
        </w:rPr>
        <w:t xml:space="preserve"> that, if missed, push the entire timeline.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1. Microsoft Entra ID (Identity)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Item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Lead time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Blocks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Two app registrations in Shell Entra ID: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VendorPulse-NonProd</w:t>
            </w:r>
            <w:r>
              <w:rPr>
                <w:rFonts w:ascii="Calibri" w:hAnsi="Calibri"/>
                <w:color w:val="1E293B"/>
                <w:sz w:val="20"/>
              </w:rPr>
              <w:t xml:space="preserve"> and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VendorPulse-Prod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Entra ID admin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Graph + OIDC integration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Certificate-based credential</w:t>
            </w:r>
            <w:r>
              <w:rPr>
                <w:rFonts w:ascii="Calibri" w:hAnsi="Calibri"/>
                <w:color w:val="1E293B"/>
                <w:sz w:val="20"/>
              </w:rPr>
              <w:t xml:space="preserve"> for each app registration. Cert generated by Shell (preferred) or by Zensar and uploaded; thumbprint shared back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Entra ID admin + 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App-only Graph auth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Admin consent on Graph application permissions: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Mail.Send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Calendars.ReadWrite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OnlineMeetings.ReadWrite.All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User.Read.All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MailboxSettings.Read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Group.Read.All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Entra ID admin (global admin role required)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2–4 weeks (security review)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A and Module B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OIDC client (delegated)</w:t>
            </w:r>
            <w:r>
              <w:rPr>
                <w:rFonts w:ascii="Calibri" w:hAnsi="Calibri"/>
                <w:color w:val="1E293B"/>
                <w:sz w:val="20"/>
              </w:rPr>
              <w:t xml:space="preserve"> for the SPA's user authentication. Same app registration, with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User.Read</w:t>
            </w:r>
            <w:r>
              <w:rPr>
                <w:rFonts w:ascii="Calibri" w:hAnsi="Calibri"/>
                <w:color w:val="1E293B"/>
                <w:sz w:val="20"/>
              </w:rPr>
              <w:t xml:space="preserve"> delegated permission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Entra ID admin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with I1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authenticated app access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I5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Entra ID security groups</w:t>
            </w:r>
            <w:r>
              <w:rPr>
                <w:rFonts w:ascii="Calibri" w:hAnsi="Calibri"/>
                <w:color w:val="1E293B"/>
                <w:sz w:val="20"/>
              </w:rPr>
              <w:t xml:space="preserve"> for app roles: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shell-vmo-admins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shell-vmo-coordinators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shell-vmo-sponsors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shell-vmo-viewers</w:t>
            </w:r>
            <w:r>
              <w:rPr>
                <w:rFonts w:ascii="Calibri" w:hAnsi="Calibri"/>
                <w:color w:val="1E293B"/>
                <w:sz w:val="20"/>
              </w:rPr>
              <w:t>. Each group populated by Shell with the appropriate personnel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IAM team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1–2 weeks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App-level RBAC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I6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Application Access Policy</w:t>
            </w:r>
            <w:r>
              <w:rPr>
                <w:rFonts w:ascii="Calibri" w:hAnsi="Calibri"/>
                <w:color w:val="1E293B"/>
                <w:sz w:val="20"/>
              </w:rPr>
              <w:t xml:space="preserve"> scoping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Mail.Send</w:t>
            </w:r>
            <w:r>
              <w:rPr>
                <w:rFonts w:ascii="Calibri" w:hAnsi="Calibri"/>
                <w:color w:val="1E293B"/>
                <w:sz w:val="20"/>
              </w:rPr>
              <w:t xml:space="preserve"> and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Calendars.ReadWrite</w:t>
            </w:r>
            <w:r>
              <w:rPr>
                <w:rFonts w:ascii="Calibri" w:hAnsi="Calibri"/>
                <w:color w:val="1E293B"/>
                <w:sz w:val="20"/>
              </w:rPr>
              <w:t xml:space="preserve"> to the service mailbox only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Exchange admin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Mailbox-constrained sending — required for security review approval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I7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Conditional Access policy exemption</w:t>
            </w:r>
            <w:r>
              <w:rPr>
                <w:rFonts w:ascii="Calibri" w:hAnsi="Calibri"/>
                <w:color w:val="1E293B"/>
                <w:sz w:val="20"/>
              </w:rPr>
              <w:t xml:space="preserve"> for the app's service principal (or a confirmed sign-in path that does not block app-only auth)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Identity team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1–2 weeks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Graph calls in production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I8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Two redirect URIs configured on the OIDC app: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https://vendorpulse-nonprod.&lt;shell&gt;.com/api/v1/auth/callback</w:t>
            </w:r>
            <w:r>
              <w:rPr>
                <w:rFonts w:ascii="Calibri" w:hAnsi="Calibri"/>
                <w:color w:val="1E293B"/>
                <w:sz w:val="20"/>
              </w:rPr>
              <w:t xml:space="preserve"> and the prod equivalent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Entra ID admin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with I1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User SSO flow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2. Microsoft 365 — Messaging &amp; Calendar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Item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Owner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Lead time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Blocks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Cost note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M1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Service mailbox `vendorpulse-svc@shell.com`</w:t>
            </w:r>
            <w:r>
              <w:rPr>
                <w:rFonts w:ascii="Calibri" w:hAnsi="Calibri"/>
                <w:color w:val="1E293B"/>
                <w:sz w:val="20"/>
              </w:rPr>
              <w:t xml:space="preserve"> (or naming per Shell standards) with Microsoft 365 E3 or E5 license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Messaging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Graph mail + calendar usage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~$23/user/month for E3, ~$57/user/month for E5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M2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Mailbox storage</w:t>
            </w:r>
            <w:r>
              <w:rPr>
                <w:rFonts w:ascii="Calibri" w:hAnsi="Calibri"/>
                <w:color w:val="1E293B"/>
                <w:sz w:val="20"/>
              </w:rPr>
              <w:t xml:space="preserve"> allocated to ~10 GB to accommodate cycle history + replies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Messaging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with M1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Long-term operation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M3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Mailbox retention policy</w:t>
            </w:r>
            <w:r>
              <w:rPr>
                <w:rFonts w:ascii="Calibri" w:hAnsi="Calibri"/>
                <w:color w:val="1E293B"/>
                <w:sz w:val="20"/>
              </w:rPr>
              <w:t xml:space="preserve"> — auto-archive after 1 year for sent items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Records / Messaging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Compliance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M4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Distribution lists or shared mailboxes</w:t>
            </w:r>
            <w:r>
              <w:rPr>
                <w:rFonts w:ascii="Calibri" w:hAnsi="Calibri"/>
                <w:color w:val="1E293B"/>
                <w:sz w:val="20"/>
              </w:rPr>
              <w:t xml:space="preserve"> for VMO Coordinator notifications (optional — for routing replies into Teams channel)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Messaging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Reply visibility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M5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Teams meeting policy</w:t>
            </w:r>
            <w:r>
              <w:rPr>
                <w:rFonts w:ascii="Calibri" w:hAnsi="Calibri"/>
                <w:color w:val="1E293B"/>
                <w:sz w:val="20"/>
              </w:rPr>
              <w:t xml:space="preserve"> allowing the service mailbox to create online meetings via Graph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Teams admin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A invite creation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M6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External sharing / guest meeting policy</w:t>
            </w:r>
            <w:r>
              <w:rPr>
                <w:rFonts w:ascii="Calibri" w:hAnsi="Calibri"/>
                <w:color w:val="1E293B"/>
                <w:sz w:val="20"/>
              </w:rPr>
              <w:t xml:space="preserve"> confirmation — can the service mailbox invite vendors as external attendees?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Security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Inviting external vendor attendees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M7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Litmus / Email on Acid subscription</w:t>
            </w:r>
            <w:r>
              <w:rPr>
                <w:rFonts w:ascii="Calibri" w:hAnsi="Calibri"/>
                <w:color w:val="1E293B"/>
                <w:sz w:val="20"/>
              </w:rPr>
              <w:t xml:space="preserve"> for cross-client email rendering testing during Week 2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Zensar (or Shell, if preferred)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Immediate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Email template QA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~$99/month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3. Azure Subscription &amp; Infrastructure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Item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Owner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Lead time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Blocks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Cost note (estimate)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A1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subscription</w:t>
            </w:r>
            <w:r>
              <w:rPr>
                <w:rFonts w:ascii="Calibri" w:hAnsi="Calibri"/>
                <w:color w:val="1E293B"/>
                <w:sz w:val="20"/>
              </w:rPr>
              <w:t xml:space="preserve"> (existing Shell IT subscription or new) with permission for Zensar engineers to deploy via service principal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deployment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A2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Resource groups: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rg-vendorpulse-nonprod-weu</w:t>
            </w:r>
            <w:r>
              <w:rPr>
                <w:rFonts w:ascii="Calibri" w:hAnsi="Calibri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rg-vendorpulse-prod-weu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with A1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Resource provisioning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A3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App Service Plan</w:t>
            </w:r>
            <w:r>
              <w:rPr>
                <w:rFonts w:ascii="Calibri" w:hAnsi="Calibri"/>
                <w:color w:val="1E293B"/>
                <w:sz w:val="20"/>
              </w:rPr>
              <w:t xml:space="preserve"> — P1v3 (1 vCPU, 8 GB RAM) for prod, B2 for non-prod. Production HA via 2 instances.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with A1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Backend + frontend hosting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~$220/month prod, ~$33/month non-prod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A4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Database for PostgreSQL Flexible Server</w:t>
            </w:r>
            <w:r>
              <w:rPr>
                <w:rFonts w:ascii="Calibri" w:hAnsi="Calibri"/>
                <w:color w:val="1E293B"/>
                <w:sz w:val="20"/>
              </w:rPr>
              <w:t xml:space="preserve"> — Burstable B2ms (2 vCPU, 4 GB RAM) for prod, B1ms for non-prod, with HA mode (zone-redundant) for prod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DBA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 persistence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~$130/month prod, ~$15/month non-prod (HA adds ~50%)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A5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Key Vault</w:t>
            </w:r>
            <w:r>
              <w:rPr>
                <w:rFonts w:ascii="Calibri" w:hAnsi="Calibri"/>
                <w:color w:val="1E293B"/>
                <w:sz w:val="20"/>
              </w:rPr>
              <w:t xml:space="preserve"> (Standard tier) per environment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Secret storage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~$5/month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A6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Front Door (Standard)</w:t>
            </w:r>
            <w:r>
              <w:rPr>
                <w:rFonts w:ascii="Calibri" w:hAnsi="Calibri"/>
                <w:color w:val="1E293B"/>
                <w:sz w:val="20"/>
              </w:rPr>
              <w:t xml:space="preserve"> with WAF policy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Public-facing entry, WAF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~$35/month + traffic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A7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Application Insights workspace</w:t>
            </w:r>
            <w:r>
              <w:rPr>
                <w:rFonts w:ascii="Calibri" w:hAnsi="Calibri"/>
                <w:color w:val="1E293B"/>
                <w:sz w:val="20"/>
              </w:rPr>
              <w:t xml:space="preserve"> linked to a </w:t>
            </w:r>
            <w:r>
              <w:rPr>
                <w:rFonts w:ascii="Calibri" w:hAnsi="Calibri"/>
                <w:b/>
                <w:color w:val="1E293B"/>
                <w:sz w:val="20"/>
              </w:rPr>
              <w:t>Log Analytics workspace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Observability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Telemetry + audit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Pay-as-ingested; ~$50–$150/month at expected volume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A8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DNS zone or CNAME</w:t>
            </w:r>
            <w:r>
              <w:rPr>
                <w:rFonts w:ascii="Calibri" w:hAnsi="Calibri"/>
                <w:color w:val="1E293B"/>
                <w:sz w:val="20"/>
              </w:rPr>
              <w:t xml:space="preserve"> in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*.shell.com</w:t>
            </w:r>
            <w:r>
              <w:rPr>
                <w:rFonts w:ascii="Calibri" w:hAnsi="Calibri"/>
                <w:color w:val="1E293B"/>
                <w:sz w:val="20"/>
              </w:rPr>
              <w:t xml:space="preserve"> for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vendorpulse.it.shell.com</w:t>
            </w:r>
            <w:r>
              <w:rPr>
                <w:rFonts w:ascii="Calibri" w:hAnsi="Calibri"/>
                <w:color w:val="1E293B"/>
                <w:sz w:val="20"/>
              </w:rPr>
              <w:t xml:space="preserve"> and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vendorpulse-nonprod.it.shell.com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DNS / Networking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Public access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A9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TLS certificate</w:t>
            </w:r>
            <w:r>
              <w:rPr>
                <w:rFonts w:ascii="Calibri" w:hAnsi="Calibri"/>
                <w:color w:val="1E293B"/>
                <w:sz w:val="20"/>
              </w:rPr>
              <w:t xml:space="preserve"> (wildcard or specific) for the public hostname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PKI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HTTPS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A10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Private endpoint subnets and VNet integration</w:t>
            </w:r>
            <w:r>
              <w:rPr>
                <w:rFonts w:ascii="Calibri" w:hAnsi="Calibri"/>
                <w:color w:val="1E293B"/>
                <w:sz w:val="20"/>
              </w:rPr>
              <w:t xml:space="preserve"> for App Service ↔ Postgres ↔ Key Vault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Networking team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Network isolation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~$10/month per private endpoint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A11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Managed Identity</w:t>
            </w:r>
            <w:r>
              <w:rPr>
                <w:rFonts w:ascii="Calibri" w:hAnsi="Calibri"/>
                <w:color w:val="1E293B"/>
                <w:sz w:val="20"/>
              </w:rPr>
              <w:t xml:space="preserve"> on App Service with role assignments: Key Vault Secrets User, Postgres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pg_monitor</w:t>
            </w:r>
            <w:r>
              <w:rPr>
                <w:rFonts w:ascii="Calibri" w:hAnsi="Calibri"/>
                <w:color w:val="1E293B"/>
                <w:sz w:val="20"/>
              </w:rPr>
              <w:t xml:space="preserve"> + per-DB grants, Log Analytics contributor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IAM / Cloud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Production secret access without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.env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A12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Outbound NAT IP allowlisting</w:t>
            </w:r>
            <w:r>
              <w:rPr>
                <w:rFonts w:ascii="Calibri" w:hAnsi="Calibri"/>
                <w:color w:val="1E293B"/>
                <w:sz w:val="20"/>
              </w:rPr>
              <w:t xml:space="preserve"> to Microsoft Graph and Anthropic / Azure OpenAI endpoints if Shell mandates egress control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Networking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external integration calls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A13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Policy compliance review</w:t>
            </w:r>
            <w:r>
              <w:rPr>
                <w:rFonts w:ascii="Calibri" w:hAnsi="Calibri"/>
                <w:color w:val="1E293B"/>
                <w:sz w:val="20"/>
              </w:rPr>
              <w:t xml:space="preserve"> — ensure deployed resources satisfy Shell's standard Azure Policies (tagging, encryption, allowed locations)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Governance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 weeks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Production go-live</w:t>
            </w:r>
          </w:p>
        </w:tc>
        <w:tc>
          <w:tcPr>
            <w:tcW w:type="dxa" w:w="1662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</w:p>
        </w:tc>
      </w:tr>
    </w:tbl>
    <w:p/>
    <w:p>
      <w:pPr>
        <w:spacing w:after="120"/>
      </w:pPr>
      <w:r>
        <w:rPr>
          <w:rFonts w:ascii="Calibri" w:hAnsi="Calibri"/>
          <w:b/>
          <w:color w:val="1E293B"/>
          <w:sz w:val="22"/>
        </w:rPr>
        <w:t>Estimated Azure run cost:</w:t>
      </w:r>
      <w:r>
        <w:rPr>
          <w:rFonts w:ascii="Calibri" w:hAnsi="Calibri"/>
          <w:color w:val="1E293B"/>
          <w:sz w:val="22"/>
        </w:rPr>
        <w:t xml:space="preserve"> ~$450–$650/month for prod environment at expected load (5–25 concurrent users, ~10,000 LLM calls/month). Non-prod adds ~$80–$120/month. Final figures depend on actual Postgres tier and observability ingestion volume.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4. LLM Provider — Choose Anthropic OR Azure OpenAI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4.1 Option A — Anthropic API (recommended)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Item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Lead time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Cost note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L1a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Anthropic enterprise account</w:t>
            </w:r>
            <w:r>
              <w:rPr>
                <w:rFonts w:ascii="Calibri" w:hAnsi="Calibri"/>
                <w:color w:val="1E293B"/>
                <w:sz w:val="20"/>
              </w:rPr>
              <w:t xml:space="preserve"> in Shell's name (or routed through Zensar's account with explicit Shell-tenancy contract)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Procurement + Anthropic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4–8 weeks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Variable; enterprise pricing typically $50–$200 per million input tokens, varies by model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L2a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Anthropic enterprise DPA</w:t>
            </w:r>
            <w:r>
              <w:rPr>
                <w:rFonts w:ascii="Calibri" w:hAnsi="Calibri"/>
                <w:color w:val="1E293B"/>
                <w:sz w:val="20"/>
              </w:rPr>
              <w:t xml:space="preserve"> specifying zero-data-retention, no-training, EU data residency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Legal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4–6 weeks (parallel with L1a)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Included in enterprise contract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L3a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API key</w:t>
            </w:r>
            <w:r>
              <w:rPr>
                <w:rFonts w:ascii="Calibri" w:hAnsi="Calibri"/>
                <w:color w:val="1E293B"/>
                <w:sz w:val="20"/>
              </w:rPr>
              <w:t xml:space="preserve"> issued, stored in Key Vault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Anthropic + Shell IT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day after L1a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L4a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Monthly LLM budget</w:t>
            </w:r>
            <w:r>
              <w:rPr>
                <w:rFonts w:ascii="Calibri" w:hAnsi="Calibri"/>
                <w:color w:val="1E293B"/>
                <w:sz w:val="20"/>
              </w:rPr>
              <w:t xml:space="preserve"> agreed (we recommend ~$1,000/month for the workload, padded for surprises)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finance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with L1a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$12,000/year nominal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4.2 Option B — Azure OpenAI (alternative)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Item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Lead time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Cost note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L1b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OpenAI service quota approval</w:t>
            </w:r>
            <w:r>
              <w:rPr>
                <w:rFonts w:ascii="Calibri" w:hAnsi="Calibri"/>
                <w:color w:val="1E293B"/>
                <w:sz w:val="20"/>
              </w:rPr>
              <w:t xml:space="preserve"> in Shell's Azure subscription (Microsoft application form, region-specific)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+ Microsoft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2–4 weeks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L2b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Model deployment(s)</w:t>
            </w:r>
            <w:r>
              <w:rPr>
                <w:rFonts w:ascii="Calibri" w:hAnsi="Calibri"/>
                <w:color w:val="1E293B"/>
                <w:sz w:val="20"/>
              </w:rPr>
              <w:t xml:space="preserve"> for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gpt-4-turbo</w:t>
            </w:r>
            <w:r>
              <w:rPr>
                <w:rFonts w:ascii="Calibri" w:hAnsi="Calibri"/>
                <w:color w:val="1E293B"/>
                <w:sz w:val="20"/>
              </w:rPr>
              <w:t xml:space="preserve"> or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gpt-4o</w:t>
            </w:r>
            <w:r>
              <w:rPr>
                <w:rFonts w:ascii="Calibri" w:hAnsi="Calibri"/>
                <w:color w:val="1E293B"/>
                <w:sz w:val="20"/>
              </w:rPr>
              <w:t xml:space="preserve"> (whichever is current and tool-calling-capable) in West Europe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+ Microsoft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1–2 weeks after L1b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Pay-per-token; rough parity with Anthropic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L3b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Existing Microsoft enterprise terms</w:t>
            </w:r>
            <w:r>
              <w:rPr>
                <w:rFonts w:ascii="Calibri" w:hAnsi="Calibri"/>
                <w:color w:val="1E293B"/>
                <w:sz w:val="20"/>
              </w:rPr>
              <w:t xml:space="preserve"> cover data handling — verify scope of "no training" clause with Microsoft account team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Legal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Included in EA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L4b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API key + endpoint URL</w:t>
            </w:r>
            <w:r>
              <w:rPr>
                <w:rFonts w:ascii="Calibri" w:hAnsi="Calibri"/>
                <w:color w:val="1E293B"/>
                <w:sz w:val="20"/>
              </w:rPr>
              <w:t xml:space="preserve"> stored in Key Vault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 + Microsoft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day after L2b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E293B"/>
          <w:sz w:val="22"/>
        </w:rPr>
        <w:t>Decision required from Shell during pre-mobilisation (before Day 1).</w:t>
      </w:r>
      <w:r>
        <w:rPr>
          <w:rFonts w:ascii="Calibri" w:hAnsi="Calibri"/>
          <w:color w:val="1E293B"/>
          <w:sz w:val="22"/>
        </w:rPr>
        <w:t xml:space="preserve"> Our recommendation is </w:t>
      </w:r>
      <w:r>
        <w:rPr>
          <w:rFonts w:ascii="Calibri" w:hAnsi="Calibri"/>
          <w:b/>
          <w:color w:val="1E293B"/>
          <w:sz w:val="22"/>
        </w:rPr>
        <w:t>Option A — Anthropic</w:t>
      </w:r>
      <w:r>
        <w:rPr>
          <w:rFonts w:ascii="Calibri" w:hAnsi="Calibri"/>
          <w:color w:val="1E293B"/>
          <w:sz w:val="22"/>
        </w:rPr>
        <w:t xml:space="preserve"> because: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>The POC has been built and tuned against Claude's tool-calling semantics; switching costs are non-zero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>Anthropic's tool-calling reliability for the agent pattern is, in our experience, currently best in class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>Enterprise terms are negotiable and equivalent to Azure OpenAI on the data-protection axis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Option B remains viable; switching either direction is a configuration change, not a code change (see </w:t>
      </w:r>
      <w:r>
        <w:rPr>
          <w:rFonts w:ascii="Calibri" w:hAnsi="Calibri"/>
          <w:color w:val="0F5BA8"/>
          <w:sz w:val="22"/>
          <w:u w:val="single"/>
        </w:rPr>
        <w:t>§05 LLD §8</w:t>
      </w:r>
      <w:r>
        <w:rPr>
          <w:rFonts w:ascii="Calibri" w:hAnsi="Calibri"/>
          <w:color w:val="1E293B"/>
          <w:sz w:val="22"/>
        </w:rPr>
        <w:t>).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5. Developer &amp; Operational Tooling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Item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Owner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Lead time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Cost note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DevOps or GitHub Enterprise</w:t>
            </w:r>
            <w:r>
              <w:rPr>
                <w:rFonts w:ascii="Calibri" w:hAnsi="Calibri"/>
                <w:color w:val="1E293B"/>
                <w:sz w:val="20"/>
              </w:rPr>
              <w:t xml:space="preserve"> organisation/project for Shell with Zensar engineers as guests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Engineering Productivity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1–2 weeks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Included in Microsoft EA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Source code repo</w:t>
            </w:r>
            <w:r>
              <w:rPr>
                <w:rFonts w:ascii="Calibri" w:hAnsi="Calibri"/>
                <w:color w:val="1E293B"/>
                <w:sz w:val="20"/>
              </w:rPr>
              <w:t xml:space="preserve"> initialised with branch protection (no direct push to main)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+ 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day after T1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CI/CD service connection</w:t>
            </w:r>
            <w:r>
              <w:rPr>
                <w:rFonts w:ascii="Calibri" w:hAnsi="Calibri"/>
                <w:color w:val="1E293B"/>
                <w:sz w:val="20"/>
              </w:rPr>
              <w:t xml:space="preserve"> — service principal for the pipeline to deploy to App Service, Postgres, Key Vault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IAM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Artifact registry</w:t>
            </w:r>
            <w:r>
              <w:rPr>
                <w:rFonts w:ascii="Calibri" w:hAnsi="Calibri"/>
                <w:color w:val="1E293B"/>
                <w:sz w:val="20"/>
              </w:rPr>
              <w:t xml:space="preserve"> — Azure Container Registry (Standard tier) or GitHub Packages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~$5/month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T5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Static analysis tooling</w:t>
            </w:r>
            <w:r>
              <w:rPr>
                <w:rFonts w:ascii="Calibri" w:hAnsi="Calibri"/>
                <w:color w:val="1E293B"/>
                <w:sz w:val="20"/>
              </w:rPr>
              <w:t xml:space="preserve"> — SonarQube / SonarCloud or equivalent (if Shell standard)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Engineering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per Shell licence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T6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Secrets scanning</w:t>
            </w:r>
            <w:r>
              <w:rPr>
                <w:rFonts w:ascii="Calibri" w:hAnsi="Calibri"/>
                <w:color w:val="1E293B"/>
                <w:sz w:val="20"/>
              </w:rPr>
              <w:t xml:space="preserve"> in CI — TruffleHog, GitLeaks, or Azure DevOps secret-scanning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+ 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Free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T7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Container vulnerability scanning</w:t>
            </w:r>
            <w:r>
              <w:rPr>
                <w:rFonts w:ascii="Calibri" w:hAnsi="Calibri"/>
                <w:color w:val="1E293B"/>
                <w:sz w:val="20"/>
              </w:rPr>
              <w:t xml:space="preserve"> — Trivy or Snyk in CI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+ 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Snyk paid; Trivy free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T8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Dependabot / Renovate</w:t>
            </w:r>
            <w:r>
              <w:rPr>
                <w:rFonts w:ascii="Calibri" w:hAnsi="Calibri"/>
                <w:color w:val="1E293B"/>
                <w:sz w:val="20"/>
              </w:rPr>
              <w:t xml:space="preserve"> enabled on the repo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day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Free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T9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Anthropic SDK access</w:t>
            </w:r>
            <w:r>
              <w:rPr>
                <w:rFonts w:ascii="Calibri" w:hAnsi="Calibri"/>
                <w:color w:val="1E293B"/>
                <w:sz w:val="20"/>
              </w:rPr>
              <w:t xml:space="preserve"> — Claude API key with developer-tier usage for non-prod runs during build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day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Pay-per-token; ~$200–$500/month for non-prod dev usage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T10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Claude Code / IDE assistant</w:t>
            </w:r>
            <w:r>
              <w:rPr>
                <w:rFonts w:ascii="Calibri" w:hAnsi="Calibri"/>
                <w:color w:val="1E293B"/>
                <w:sz w:val="20"/>
              </w:rPr>
              <w:t xml:space="preserve"> subscription (Claude Pro or Claude for Work) for the engineering team — speeds up implementation significantly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Zensar (covered)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day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$20/user/month (Pro) or per Claude for Work pricing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T11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Litmus or Email on Acid</w:t>
            </w:r>
            <w:r>
              <w:rPr>
                <w:rFonts w:ascii="Calibri" w:hAnsi="Calibri"/>
                <w:color w:val="1E293B"/>
                <w:sz w:val="20"/>
              </w:rPr>
              <w:t xml:space="preserve"> for email template QA — already mentioned in §2.M7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day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~$99/month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T12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Playwright cloud / BrowserStack</w:t>
            </w:r>
            <w:r>
              <w:rPr>
                <w:rFonts w:ascii="Calibri" w:hAnsi="Calibri"/>
                <w:color w:val="1E293B"/>
                <w:sz w:val="20"/>
              </w:rPr>
              <w:t xml:space="preserve"> for cross-browser E2E (optional — local works)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Zensar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$39/user/month (BrowserStack)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6. Shell People &amp; Roles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 (Shell-side)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What we need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Time commitment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Lead time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Executive Sponsor</w:t>
            </w:r>
            <w:r>
              <w:rPr>
                <w:rFonts w:ascii="Calibri" w:hAnsi="Calibri"/>
                <w:color w:val="1E293B"/>
                <w:sz w:val="20"/>
              </w:rPr>
              <w:t xml:space="preserve"> (Shell VP-level)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Aware of scope; available for weekly steering check-in and escalation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~2h/week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from kick-off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Product Owner</w:t>
            </w:r>
            <w:r>
              <w:rPr>
                <w:rFonts w:ascii="Calibri" w:hAnsi="Calibri"/>
                <w:color w:val="1E293B"/>
                <w:sz w:val="20"/>
              </w:rPr>
              <w:t xml:space="preserve"> (Shell VMO lead)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Owns the requirements, scorecard taxonomy, vendor master, UAT sign-off; co-chairs Day-2 design alignment checkpoint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Daily for the 3 weeks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from Day 1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IT Architecture Liaison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Reviews architecture, signs off ADRs at pre-mobilisation; attends Day-2 design alignment checkpoint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~5h Day 1–5, ad-hoc thereafter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IT Security Liaison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 security review + Day-13 pre-prod sign-off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~5h pre-mobilisation, ~3h Days 11–13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P5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Entra ID Admin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Creates app registrations, grants admin consent, manages groups — all complete before Day 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 needed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P6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Exchange / Messaging Admin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Provisions service mailbox, applies Application Access Policy, sets retention — complete before Day 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 needed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P7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Azure Cloud Admin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Provisions subscriptions, resource groups, manages role assignments — complete before Day 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 needed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P8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DBA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Provisions Postgres before Day 1; signs off schema migrations during Week 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 needed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P9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Networking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Configures VNet integration, private endpoints, egress, DNS — complete before Day 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 needed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P10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Procurement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Onboards LLM provider contract — complete before Day 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 needed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P11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Legal / Privacy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DPAs, data residency confirmation — complete before Day 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as needed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P12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VMO Coordinators (3 named individuals)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Pilot users; provide UAT feedback Week 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~10h across Days 11–15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Week 3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P13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Brand / Communications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Confirms colour palette, logo, email tone — attends Day-2 design alignment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~3h, one-off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1 / Day 2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7. Zensar Team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For reference — the team Zensar will assign: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Allocation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Duration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Delivery Manager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3 weeks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Solution Architect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3 weeks (heavier in Week 1, design checkpoint co-chair)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Tech Lead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3 weeks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Backend Engineer × 2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3 weeks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Frontend Engineer × 2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3 weeks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QA Engineer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3 weeks (heaviest in Week 3 — UAT support and defect verification)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DevOps / Cloud Engineer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3 weeks (heavier in Weeks 1 and 3 — bring-up and cutover)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compressed plan </w:t>
      </w:r>
      <w:r>
        <w:rPr>
          <w:rFonts w:ascii="Calibri" w:hAnsi="Calibri"/>
          <w:b/>
          <w:color w:val="1E293B"/>
          <w:sz w:val="22"/>
        </w:rPr>
        <w:t>assumes no PTO</w:t>
      </w:r>
      <w:r>
        <w:rPr>
          <w:rFonts w:ascii="Calibri" w:hAnsi="Calibri"/>
          <w:color w:val="1E293B"/>
          <w:sz w:val="22"/>
        </w:rPr>
        <w:t xml:space="preserve"> during the 3 weeks across all roles. Any PTO must be pre-declared and re-baselined into the plan.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8. Pre-existing Knowledge Required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For Shell-side decisions before Day 1 of delivery (confirmed during pre-mobilisation; remaining items locked at the Day-2 design alignment checkpoint):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Decision needed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Owner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Default we will propose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provider (Anthropic vs Azure OpenAI)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Security + Procurement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Anthropic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Hosting region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Cloud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West Europe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Service mailbox name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Messaging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vendorpulse-svc@shell.com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Database (Postgres vs SQL Server)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DBA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CI/CD platform (Azure DevOps vs GitHub Enterprise)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Engineering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 DevOps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Scorecard taxonomy locked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VMO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The taxonomy embedded in the POC (Risk/Performance/Commercial/Relationship), validated by VMO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master format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VMO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Excel/CSV import for pilot; future integration with SAP/Ariba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Customer-managed keys (CMK) on day one?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Security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Yes — defaults to Azure-managed, easy to enable CMK if asked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Email "from" identity for vendor-facing emails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Brand + VMO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vendorpulse-svc@shell.com</w:t>
            </w:r>
            <w:r>
              <w:rPr>
                <w:rFonts w:ascii="Calibri" w:hAnsi="Calibri"/>
                <w:color w:val="1E293B"/>
                <w:sz w:val="20"/>
              </w:rPr>
              <w:t xml:space="preserve"> with "VendorPulse — Shell VMO" display name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External attendees in Teams meetings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Security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Allowed per current policy; confirm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9. Checklist summary — what blocks Day 1 of delivery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following </w:t>
      </w:r>
      <w:r>
        <w:rPr>
          <w:rFonts w:ascii="Calibri" w:hAnsi="Calibri"/>
          <w:b/>
          <w:color w:val="1E293B"/>
          <w:sz w:val="22"/>
        </w:rPr>
        <w:t>must be in place on the Monday morning of Week 1</w:t>
      </w:r>
      <w:r>
        <w:rPr>
          <w:rFonts w:ascii="Calibri" w:hAnsi="Calibri"/>
          <w:color w:val="1E293B"/>
          <w:sz w:val="22"/>
        </w:rPr>
        <w:t>. The 3-week plan has no Phase 0 buffer; pre-mobilisation must complete these before kick-off: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App registration created (I1, I2)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OIDC redirect URIs configured (I8)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Entra ID groups created (I5)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Service mailbox provisioned and Application Access Policy applied (M1, I6)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Azure subscription + resource groups available (A1, A2)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Key Vault provisioned (A5)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Postgres provisioned (A4)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App Service plan provisioned (A3)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LLM provider chosen and procurement initiated (L1 series)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CI/CD platform + repo created (T1, T2)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Product Owner (P2) and IT Architecture liaison (P3) named and briefed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Items that </w:t>
      </w:r>
      <w:r>
        <w:rPr>
          <w:rFonts w:ascii="Calibri" w:hAnsi="Calibri"/>
          <w:b/>
          <w:color w:val="1E293B"/>
          <w:sz w:val="22"/>
        </w:rPr>
        <w:t>can be in progress without blocking Day 1 (but must complete by the dates indicated):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Conditional Access exemption (I7) — non-prod can sometimes bypass; prod cannot — needed by Day 13 (prod environment provisioning)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Vendor master import (P12 / data) — needed by Day 14 (pilot cycle kick-off)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Production DNS hostname + TLS cert (A8, A9) — needed by Day 14 (production cutover)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Final brand sign-off on email templates (P13) — needed by Day 8 (Outlook email template build)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10. Open questions for Shell to answer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Does Shell IT Security accept certificate-based credentials for app-only auth (vs. client secret)? </w:t>
      </w:r>
      <w:r>
        <w:rPr>
          <w:rFonts w:ascii="Calibri" w:hAnsi="Calibri"/>
          <w:i/>
          <w:color w:val="1E293B"/>
          <w:sz w:val="22"/>
        </w:rPr>
        <w:t>Assumed yes.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>Does Shell IT Operations have an on-call rota for the workload after handover, or is it follow-the-sun support from Zensar in year 1?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Will Shell-side users connect to the app only from corporate devices, or also from BYOD? </w:t>
      </w:r>
      <w:r>
        <w:rPr>
          <w:rFonts w:ascii="Calibri" w:hAnsi="Calibri"/>
          <w:i/>
          <w:color w:val="1E293B"/>
          <w:sz w:val="22"/>
        </w:rPr>
        <w:t>Affects Conditional Access policy choice.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Are there specific tagging or naming conventions for Azure resources we should adopt? </w:t>
      </w:r>
      <w:r>
        <w:rPr>
          <w:rFonts w:ascii="Calibri" w:hAnsi="Calibri"/>
          <w:i/>
          <w:color w:val="1E293B"/>
          <w:sz w:val="22"/>
        </w:rPr>
        <w:t>We will follow Shell's IT Service Catalogue standard if provided.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 xml:space="preserve">Does Shell maintain a list of pre-approved 3rd-party LLM providers? </w:t>
      </w:r>
      <w:r>
        <w:rPr>
          <w:rFonts w:ascii="Calibri" w:hAnsi="Calibri"/>
          <w:i/>
          <w:color w:val="1E293B"/>
          <w:sz w:val="22"/>
        </w:rPr>
        <w:t>If Anthropic is not pre-approved, that adds procurement time.</w:t>
      </w:r>
    </w:p>
    <w:p>
      <w:pPr>
        <w:spacing w:after="60"/>
        <w:ind w:left="340"/>
      </w:pPr>
      <w:r>
        <w:rPr>
          <w:rFonts w:ascii="Calibri" w:hAnsi="Calibri"/>
          <w:color w:val="1E293B"/>
          <w:sz w:val="22"/>
        </w:rPr>
        <w:t>Is there a Shell-internal Wiki / Confluence space where this documentation and operational runbooks should live alongside the codebase docs?</w:t>
      </w:r>
    </w:p>
    <w:p>
      <w:pPr>
        <w:pBdr>
          <w:bottom w:val="single" w:sz="6" w:space="1" w:color="C7D0DD"/>
        </w:pBdr>
      </w:pPr>
    </w:p>
    <w:p>
      <w:pPr>
        <w:spacing w:after="120"/>
      </w:pPr>
      <w:r>
        <w:rPr>
          <w:rFonts w:ascii="Calibri" w:hAnsi="Calibri"/>
          <w:i/>
          <w:color w:val="1E293B"/>
          <w:sz w:val="22"/>
        </w:rPr>
        <w:t>Dependencies &amp; Access — Zensar VendorPulse for Shell — 2026-06-03.</w:t>
      </w:r>
    </w:p>
    <w:sectPr w:rsidR="00FC693F" w:rsidRPr="0006063C" w:rsidSect="00034616">
      <w:footerReference w:type="default" r:id="rId9"/>
      <w:pgSz w:w="12240" w:h="15840"/>
      <w:pgMar w:top="1134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