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3n2knkt1znnv" w:id="0"/>
      <w:bookmarkEnd w:id="0"/>
      <w:r w:rsidDel="00000000" w:rsidR="00000000" w:rsidRPr="00000000">
        <w:rPr>
          <w:b w:val="1"/>
          <w:bCs w:val="1"/>
          <w:sz w:val="46"/>
          <w:szCs w:val="46"/>
          <w:rtl w:val="0"/>
        </w:rPr>
        <w:t xml:space="preserve">Laboratory 9: Forest Fire Propagation &amp; Management Simulation</w:t>
      </w:r>
    </w:p>
    <w:p w:rsidR="00000000" w:rsidDel="00000000" w:rsidP="00000000" w:rsidRDefault="00000000" w:rsidRPr="00000000" w14:paraId="00000002">
      <w:pPr>
        <w:spacing w:after="240" w:lineRule="auto"/>
        <w:rPr/>
      </w:pPr>
      <w:r w:rsidDel="00000000" w:rsidR="00000000" w:rsidRPr="00000000">
        <w:rPr>
          <w:b w:val="1"/>
          <w:bCs w:val="1"/>
          <w:rtl w:val="0"/>
        </w:rPr>
        <w:t xml:space="preserve">Topic:</w:t>
      </w:r>
      <w:r w:rsidDel="00000000" w:rsidR="00000000" w:rsidRPr="00000000">
        <w:rPr>
          <w:rtl w:val="0"/>
        </w:rPr>
        <w:t xml:space="preserve"> Cellular Automata modeling of wildfire spread influenced by wind and fuel management.</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3qfi8b5bqoy0" w:id="1"/>
      <w:bookmarkEnd w:id="1"/>
      <w:r w:rsidDel="00000000" w:rsidR="00000000" w:rsidRPr="00000000">
        <w:rPr>
          <w:b w:val="1"/>
          <w:bCs w:val="1"/>
          <w:color w:val="000000"/>
          <w:sz w:val="26"/>
          <w:szCs w:val="26"/>
          <w:rtl w:val="0"/>
        </w:rPr>
        <w:t xml:space="preserve">1. Research-Backed Core Concepts</w:t>
      </w:r>
    </w:p>
    <w:p w:rsidR="00000000" w:rsidDel="00000000" w:rsidP="00000000" w:rsidRDefault="00000000" w:rsidRPr="00000000" w14:paraId="00000004">
      <w:pPr>
        <w:spacing w:after="240" w:lineRule="auto"/>
        <w:rPr/>
      </w:pPr>
      <w:r w:rsidDel="00000000" w:rsidR="00000000" w:rsidRPr="00000000">
        <w:rPr>
          <w:rtl w:val="0"/>
        </w:rPr>
        <w:t xml:space="preserve">For this project, the core probabilities and mechanisms are derived from the following external resources:</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Resource 1:</w:t>
      </w:r>
      <w:r w:rsidDel="00000000" w:rsidR="00000000" w:rsidRPr="00000000">
        <w:rPr>
          <w:rtl w:val="0"/>
        </w:rPr>
        <w:t xml:space="preserve"> </w:t>
      </w:r>
      <w:r w:rsidDel="00000000" w:rsidR="00000000" w:rsidRPr="00000000">
        <w:rPr>
          <w:i w:val="1"/>
          <w:iCs w:val="1"/>
          <w:rtl w:val="0"/>
        </w:rPr>
        <w:t xml:space="preserve">“A Cellular Automata Model for Forest Fire Spread Prediction”</w:t>
      </w:r>
      <w:r w:rsidDel="00000000" w:rsidR="00000000" w:rsidRPr="00000000">
        <w:rPr>
          <w:rtl w:val="0"/>
        </w:rPr>
        <w:t xml:space="preserve"> by Alexandridis et al.</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b w:val="1"/>
          <w:bCs w:val="1"/>
          <w:rtl w:val="0"/>
        </w:rPr>
        <w:t xml:space="preserve">Insight:</w:t>
      </w:r>
      <w:r w:rsidDel="00000000" w:rsidR="00000000" w:rsidRPr="00000000">
        <w:rPr>
          <w:rtl w:val="0"/>
        </w:rPr>
        <w:t xml:space="preserve"> Provides the mathematical basis for ignition probability (Pburn). It demonstrates that wind acts as a multiplier. For a North-blowing wind, the probability of the northern neighbor igniting is increased by a factor (e.g., $1.4x).</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b w:val="1"/>
          <w:bCs w:val="1"/>
          <w:rtl w:val="0"/>
        </w:rPr>
        <w:t xml:space="preserve">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ResearchGate: CA Model for Forest Fire</w:t>
        </w:r>
      </w:hyperlink>
      <w:r w:rsidDel="00000000" w:rsidR="00000000" w:rsidRPr="00000000">
        <w:rPr>
          <w:rtl w:val="0"/>
        </w:rPr>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Resource 2:</w:t>
      </w:r>
      <w:r w:rsidDel="00000000" w:rsidR="00000000" w:rsidRPr="00000000">
        <w:rPr>
          <w:rtl w:val="0"/>
        </w:rPr>
        <w:t xml:space="preserve"> </w:t>
      </w:r>
      <w:r w:rsidDel="00000000" w:rsidR="00000000" w:rsidRPr="00000000">
        <w:rPr>
          <w:i w:val="1"/>
          <w:iCs w:val="1"/>
          <w:rtl w:val="0"/>
        </w:rPr>
        <w:t xml:space="preserve">“NWCG Guide to Wildland Fire Behavior”</w:t>
      </w:r>
      <w:r w:rsidDel="00000000" w:rsidR="00000000" w:rsidRPr="00000000">
        <w:rPr>
          <w:rtl w:val="0"/>
        </w:rPr>
        <w:t xml:space="preserve"> (National Wildfire Coordinating Group).</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b w:val="1"/>
          <w:bCs w:val="1"/>
          <w:rtl w:val="0"/>
        </w:rPr>
        <w:t xml:space="preserve">Insight:</w:t>
      </w:r>
      <w:r w:rsidDel="00000000" w:rsidR="00000000" w:rsidRPr="00000000">
        <w:rPr>
          <w:rtl w:val="0"/>
        </w:rPr>
        <w:t xml:space="preserve"> Provides empirical "Burn Duration" data. In dense timber, a tree remains in a "Burning" state for several time steps before becoming "Ash." We have set this to 6 ticks based on their moisture/fuel tables.</w:t>
      </w:r>
    </w:p>
    <w:p w:rsidR="00000000" w:rsidDel="00000000" w:rsidP="00000000" w:rsidRDefault="00000000" w:rsidRPr="00000000" w14:paraId="0000000A">
      <w:pPr>
        <w:numPr>
          <w:ilvl w:val="1"/>
          <w:numId w:val="1"/>
        </w:numPr>
        <w:spacing w:after="240" w:lineRule="auto"/>
        <w:ind w:left="1440" w:hanging="360"/>
      </w:pPr>
      <w:r w:rsidDel="00000000" w:rsidR="00000000" w:rsidRPr="00000000">
        <w:rPr>
          <w:b w:val="1"/>
          <w:bCs w:val="1"/>
          <w:rtl w:val="0"/>
        </w:rPr>
        <w:t xml:space="preserve">Link:</w:t>
      </w:r>
      <w:hyperlink r:id="rId8">
        <w:r w:rsidDel="00000000" w:rsidR="00000000" w:rsidRPr="00000000">
          <w:rPr>
            <w:rtl w:val="0"/>
          </w:rPr>
          <w:t xml:space="preserve"> </w:t>
        </w:r>
      </w:hyperlink>
      <w:hyperlink r:id="rId9">
        <w:r w:rsidDel="00000000" w:rsidR="00000000" w:rsidRPr="00000000">
          <w:rPr>
            <w:color w:val="1155cc"/>
            <w:u w:val="single"/>
            <w:rtl w:val="0"/>
          </w:rPr>
          <w:t xml:space="preserve">NWCG Fire Behavior Tables</w:t>
        </w:r>
      </w:hyperlink>
      <w:r w:rsidDel="00000000" w:rsidR="00000000" w:rsidRPr="00000000">
        <w:rPr>
          <w:rtl w:val="0"/>
        </w:rPr>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iv69m47spibo" w:id="2"/>
      <w:bookmarkEnd w:id="2"/>
      <w:r w:rsidDel="00000000" w:rsidR="00000000" w:rsidRPr="00000000">
        <w:rPr>
          <w:b w:val="1"/>
          <w:bCs w:val="1"/>
          <w:color w:val="000000"/>
          <w:sz w:val="26"/>
          <w:szCs w:val="26"/>
          <w:rtl w:val="0"/>
        </w:rPr>
        <w:t xml:space="preserve">2. Scenarios</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Scenario A (Natural):</w:t>
      </w:r>
      <w:r w:rsidDel="00000000" w:rsidR="00000000" w:rsidRPr="00000000">
        <w:rPr>
          <w:rtl w:val="0"/>
        </w:rPr>
        <w:t xml:space="preserve"> A high-density forest (80% coverage) with a strong North wind and no human intervention.</w:t>
      </w:r>
    </w:p>
    <w:p w:rsidR="00000000" w:rsidDel="00000000" w:rsidP="00000000" w:rsidRDefault="00000000" w:rsidRPr="00000000" w14:paraId="0000000D">
      <w:pPr>
        <w:numPr>
          <w:ilvl w:val="0"/>
          <w:numId w:val="2"/>
        </w:numPr>
        <w:spacing w:after="240" w:lineRule="auto"/>
        <w:ind w:left="720" w:hanging="360"/>
      </w:pPr>
      <w:r w:rsidDel="00000000" w:rsidR="00000000" w:rsidRPr="00000000">
        <w:rPr>
          <w:b w:val="1"/>
          <w:bCs w:val="1"/>
          <w:rtl w:val="0"/>
        </w:rPr>
        <w:t xml:space="preserve">Scenario B (Managed):</w:t>
      </w:r>
      <w:r w:rsidDel="00000000" w:rsidR="00000000" w:rsidRPr="00000000">
        <w:rPr>
          <w:rtl w:val="0"/>
        </w:rPr>
        <w:t xml:space="preserve"> The same environment but with a "Firebreak" (a cleared vertical line of 0% density) to simulate proactive fire management.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i5y6ryrm2bv1" w:id="3"/>
      <w:bookmarkEnd w:id="3"/>
      <w:r w:rsidDel="00000000" w:rsidR="00000000" w:rsidRPr="00000000">
        <w:rPr>
          <w:b w:val="1"/>
          <w:bCs w:val="1"/>
          <w:color w:val="000000"/>
          <w:sz w:val="26"/>
          <w:szCs w:val="26"/>
          <w:rtl w:val="0"/>
        </w:rPr>
        <w:t xml:space="preserve">Summary of Findings</w:t>
      </w:r>
    </w:p>
    <w:p w:rsidR="00000000" w:rsidDel="00000000" w:rsidP="00000000" w:rsidRDefault="00000000" w:rsidRPr="00000000" w14:paraId="00000014">
      <w:pPr>
        <w:spacing w:after="240" w:lineRule="auto"/>
        <w:rPr/>
      </w:pPr>
      <w:r w:rsidDel="00000000" w:rsidR="00000000" w:rsidRPr="00000000">
        <w:rPr>
          <w:rtl w:val="0"/>
        </w:rPr>
        <w:t xml:space="preserve">In </w:t>
      </w:r>
      <w:r w:rsidDel="00000000" w:rsidR="00000000" w:rsidRPr="00000000">
        <w:rPr>
          <w:b w:val="1"/>
          <w:bCs w:val="1"/>
          <w:rtl w:val="0"/>
        </w:rPr>
        <w:t xml:space="preserve">Scenario A</w:t>
      </w:r>
      <w:r w:rsidDel="00000000" w:rsidR="00000000" w:rsidRPr="00000000">
        <w:rPr>
          <w:rtl w:val="0"/>
        </w:rPr>
        <w:t xml:space="preserve">, the fire spread rapidly across the entire grid, reaching a high peak of active burning cells. This is due to the high density of "fuel" and the researched wind multiplier which allowed the fire to jump gaps easily.</w:t>
      </w:r>
    </w:p>
    <w:p w:rsidR="00000000" w:rsidDel="00000000" w:rsidP="00000000" w:rsidRDefault="00000000" w:rsidRPr="00000000" w14:paraId="00000015">
      <w:pPr>
        <w:spacing w:after="240" w:lineRule="auto"/>
        <w:rPr/>
      </w:pPr>
      <w:r w:rsidDel="00000000" w:rsidR="00000000" w:rsidRPr="00000000">
        <w:rPr>
          <w:rtl w:val="0"/>
        </w:rPr>
        <w:t xml:space="preserve">In </w:t>
      </w:r>
      <w:r w:rsidDel="00000000" w:rsidR="00000000" w:rsidRPr="00000000">
        <w:rPr>
          <w:b w:val="1"/>
          <w:bCs w:val="1"/>
          <w:rtl w:val="0"/>
        </w:rPr>
        <w:t xml:space="preserve">Scenario B</w:t>
      </w:r>
      <w:r w:rsidDel="00000000" w:rsidR="00000000" w:rsidRPr="00000000">
        <w:rPr>
          <w:rtl w:val="0"/>
        </w:rPr>
        <w:t xml:space="preserve">, the firebreak acted as a barrier. While the fire spread at the same rate initially, the lack of fuel in the middle of the grid caused the fire to starve in that sector, significantly lowering the total area burned and the peak intensity. This demonstrates how empirical management strategies (firebreaks) effectively counter-act physical spread probabilities (Pburn)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wcg.gov/publications/pms437" TargetMode="External"/><Relationship Id="rId5" Type="http://schemas.openxmlformats.org/officeDocument/2006/relationships/styles" Target="styles.xml"/><Relationship Id="rId6" Type="http://schemas.openxmlformats.org/officeDocument/2006/relationships/hyperlink" Target="https://www.google.com/search?q=https://www.researchgate.net/publication/222137637_A_cellular_automata_model_for_forest_fire_spread_prediction" TargetMode="External"/><Relationship Id="rId7" Type="http://schemas.openxmlformats.org/officeDocument/2006/relationships/hyperlink" Target="https://www.google.com/search?q=https://www.researchgate.net/publication/222137637_A_cellular_automata_model_for_forest_fire_spread_prediction" TargetMode="External"/><Relationship Id="rId8" Type="http://schemas.openxmlformats.org/officeDocument/2006/relationships/hyperlink" Target="https://www.nwcg.gov/publications/pms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