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Grilledutableau"/>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tblGrid>
      <w:tr w:rsidR="00A66AD1" w14:paraId="627D98F0" w14:textId="77777777" w:rsidTr="007A4BB0">
        <w:tc>
          <w:tcPr>
            <w:tcW w:w="4531" w:type="dxa"/>
          </w:tcPr>
          <w:p w14:paraId="1AD04880" w14:textId="53AD35CF" w:rsidR="00A66AD1" w:rsidRDefault="00A66AD1">
            <w:r>
              <w:rPr>
                <w:noProof/>
              </w:rPr>
              <w:drawing>
                <wp:anchor distT="0" distB="0" distL="114300" distR="114300" simplePos="0" relativeHeight="251668480" behindDoc="0" locked="0" layoutInCell="1" allowOverlap="1" wp14:anchorId="6CE3F01A" wp14:editId="390A1AA6">
                  <wp:simplePos x="0" y="0"/>
                  <wp:positionH relativeFrom="column">
                    <wp:posOffset>-25400</wp:posOffset>
                  </wp:positionH>
                  <wp:positionV relativeFrom="paragraph">
                    <wp:posOffset>-437515</wp:posOffset>
                  </wp:positionV>
                  <wp:extent cx="2079625" cy="942975"/>
                  <wp:effectExtent l="0" t="0" r="0" b="9525"/>
                  <wp:wrapNone/>
                  <wp:docPr id="3" name="Image 3" descr="Isara - École d'ingénieurs agronomes Lyon &amp; Avign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sara - École d'ingénieurs agronomes Lyon &amp; Avign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79625" cy="942975"/>
                          </a:xfrm>
                          <a:prstGeom prst="rect">
                            <a:avLst/>
                          </a:prstGeom>
                          <a:noFill/>
                        </pic:spPr>
                      </pic:pic>
                    </a:graphicData>
                  </a:graphic>
                  <wp14:sizeRelH relativeFrom="page">
                    <wp14:pctWidth>0</wp14:pctWidth>
                  </wp14:sizeRelH>
                  <wp14:sizeRelV relativeFrom="page">
                    <wp14:pctHeight>0</wp14:pctHeight>
                  </wp14:sizeRelV>
                </wp:anchor>
              </w:drawing>
            </w:r>
          </w:p>
          <w:p w14:paraId="437A19DC" w14:textId="77777777" w:rsidR="00A66AD1" w:rsidRDefault="00A66AD1">
            <w:pPr>
              <w:rPr>
                <w:sz w:val="24"/>
                <w:szCs w:val="24"/>
              </w:rPr>
            </w:pPr>
          </w:p>
          <w:p w14:paraId="3E3EF213" w14:textId="77777777" w:rsidR="00A66AD1" w:rsidRDefault="00A66AD1">
            <w:pPr>
              <w:rPr>
                <w:sz w:val="24"/>
                <w:szCs w:val="24"/>
              </w:rPr>
            </w:pPr>
          </w:p>
          <w:p w14:paraId="0FD9A4FD" w14:textId="77777777" w:rsidR="00A66AD1" w:rsidRDefault="00A66AD1">
            <w:pPr>
              <w:rPr>
                <w:sz w:val="24"/>
                <w:szCs w:val="24"/>
              </w:rPr>
            </w:pPr>
          </w:p>
          <w:p w14:paraId="2B9B2879" w14:textId="77777777" w:rsidR="00A66AD1" w:rsidRDefault="00A66AD1">
            <w:pPr>
              <w:rPr>
                <w:sz w:val="24"/>
                <w:szCs w:val="24"/>
              </w:rPr>
            </w:pPr>
            <w:proofErr w:type="spellStart"/>
            <w:r>
              <w:rPr>
                <w:sz w:val="24"/>
                <w:szCs w:val="24"/>
              </w:rPr>
              <w:t>Agrapole</w:t>
            </w:r>
            <w:proofErr w:type="spellEnd"/>
            <w:r>
              <w:rPr>
                <w:sz w:val="24"/>
                <w:szCs w:val="24"/>
              </w:rPr>
              <w:t xml:space="preserve"> – 23, rue Jean </w:t>
            </w:r>
            <w:proofErr w:type="spellStart"/>
            <w:r>
              <w:rPr>
                <w:sz w:val="24"/>
                <w:szCs w:val="24"/>
              </w:rPr>
              <w:t>Baldassini</w:t>
            </w:r>
            <w:proofErr w:type="spellEnd"/>
          </w:p>
          <w:p w14:paraId="7A6C6406" w14:textId="77777777" w:rsidR="00A66AD1" w:rsidRDefault="00A66AD1">
            <w:pPr>
              <w:rPr>
                <w:sz w:val="24"/>
                <w:szCs w:val="24"/>
              </w:rPr>
            </w:pPr>
            <w:r>
              <w:rPr>
                <w:sz w:val="24"/>
                <w:szCs w:val="24"/>
              </w:rPr>
              <w:t>69364 LYON cedex 07</w:t>
            </w:r>
          </w:p>
          <w:p w14:paraId="2B46319E" w14:textId="77777777" w:rsidR="00A66AD1" w:rsidRDefault="00A66AD1"/>
        </w:tc>
      </w:tr>
    </w:tbl>
    <w:p w14:paraId="0761146B" w14:textId="77777777" w:rsidR="007A4BB0" w:rsidRDefault="007A4BB0" w:rsidP="007A4BB0"/>
    <w:p w14:paraId="1DB6ADC1" w14:textId="702C2C38" w:rsidR="007A4BB0" w:rsidRDefault="007A4BB0" w:rsidP="007A4BB0">
      <w:pPr>
        <w:rPr>
          <w:b/>
          <w:bCs/>
          <w:color w:val="FF0000"/>
          <w:sz w:val="32"/>
          <w:szCs w:val="32"/>
        </w:rPr>
      </w:pPr>
    </w:p>
    <w:p w14:paraId="6D0E5E7F" w14:textId="77777777" w:rsidR="007A4BB0" w:rsidRDefault="007A4BB0" w:rsidP="007A4BB0"/>
    <w:p w14:paraId="5B4C2E43" w14:textId="02CF2157" w:rsidR="007A4BB0" w:rsidRDefault="007A4BB0" w:rsidP="007A4BB0">
      <w:pPr>
        <w:jc w:val="center"/>
        <w:rPr>
          <w:b/>
          <w:bCs/>
          <w:color w:val="0070C0"/>
          <w:sz w:val="36"/>
          <w:szCs w:val="36"/>
        </w:rPr>
      </w:pPr>
      <w:r w:rsidRPr="007A4BB0">
        <w:rPr>
          <w:b/>
          <w:bCs/>
          <w:color w:val="0070C0"/>
          <w:sz w:val="36"/>
          <w:szCs w:val="36"/>
        </w:rPr>
        <w:t>Vulnérabilité climatique des chaînes d'étangs de la Dombes</w:t>
      </w:r>
    </w:p>
    <w:p w14:paraId="1A838009" w14:textId="47F3B0B0" w:rsidR="007A4BB0" w:rsidRDefault="007A4BB0" w:rsidP="007A4BB0">
      <w:pPr>
        <w:jc w:val="center"/>
      </w:pPr>
      <w:r w:rsidRPr="007A4BB0">
        <w:rPr>
          <w:color w:val="0070C0"/>
          <w:sz w:val="28"/>
          <w:szCs w:val="28"/>
        </w:rPr>
        <w:t>Développement d’un outil numérique d’aide à la décision pour la gestion quantitative de l’eau.</w:t>
      </w:r>
    </w:p>
    <w:p w14:paraId="41D39EE1" w14:textId="38E6238F" w:rsidR="007A4BB0" w:rsidRDefault="007A4BB0" w:rsidP="007A4BB0"/>
    <w:p w14:paraId="6E82EDC2" w14:textId="34AD4274" w:rsidR="007A4BB0" w:rsidRDefault="003F0430" w:rsidP="007A4BB0">
      <w:r>
        <w:rPr>
          <w:noProof/>
        </w:rPr>
        <w:drawing>
          <wp:anchor distT="0" distB="0" distL="114300" distR="114300" simplePos="0" relativeHeight="251666432" behindDoc="0" locked="0" layoutInCell="1" allowOverlap="1" wp14:anchorId="0DF7B067" wp14:editId="0A544BD8">
            <wp:simplePos x="0" y="0"/>
            <wp:positionH relativeFrom="margin">
              <wp:posOffset>947420</wp:posOffset>
            </wp:positionH>
            <wp:positionV relativeFrom="paragraph">
              <wp:posOffset>10795</wp:posOffset>
            </wp:positionV>
            <wp:extent cx="3886200" cy="2914650"/>
            <wp:effectExtent l="0" t="0" r="0" b="0"/>
            <wp:wrapSquare wrapText="bothSides"/>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86200" cy="29146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FE82B61" w14:textId="2ECD013A" w:rsidR="007A4BB0" w:rsidRDefault="007A4BB0" w:rsidP="007A4BB0"/>
    <w:p w14:paraId="78D50479" w14:textId="10AF6B1F" w:rsidR="007A4BB0" w:rsidRDefault="007A4BB0" w:rsidP="007A4BB0"/>
    <w:p w14:paraId="1F1986CD" w14:textId="77777777" w:rsidR="007A4BB0" w:rsidRDefault="007A4BB0" w:rsidP="007A4BB0"/>
    <w:p w14:paraId="31552F3B" w14:textId="77777777" w:rsidR="007A4BB0" w:rsidRDefault="007A4BB0" w:rsidP="007A4BB0"/>
    <w:p w14:paraId="2C01AC39" w14:textId="77777777" w:rsidR="007A4BB0" w:rsidRDefault="007A4BB0" w:rsidP="007A4BB0"/>
    <w:p w14:paraId="5738CC9D" w14:textId="77777777" w:rsidR="007A4BB0" w:rsidRDefault="007A4BB0" w:rsidP="007A4BB0"/>
    <w:p w14:paraId="390E8EEF" w14:textId="77777777" w:rsidR="007A4BB0" w:rsidRDefault="007A4BB0" w:rsidP="007A4BB0"/>
    <w:p w14:paraId="7E8E2FE0" w14:textId="77777777" w:rsidR="007A4BB0" w:rsidRDefault="007A4BB0" w:rsidP="007A4BB0"/>
    <w:tbl>
      <w:tblPr>
        <w:tblStyle w:val="Grilledutableau"/>
        <w:tblW w:w="9214"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3544"/>
      </w:tblGrid>
      <w:tr w:rsidR="007A4BB0" w14:paraId="1D21D01E" w14:textId="77777777" w:rsidTr="007A4BB0">
        <w:tc>
          <w:tcPr>
            <w:tcW w:w="5670" w:type="dxa"/>
          </w:tcPr>
          <w:p w14:paraId="5FF59CDF" w14:textId="5EEE621A" w:rsidR="003F0430" w:rsidRDefault="003F0430">
            <w:pPr>
              <w:rPr>
                <w:b/>
                <w:bCs/>
                <w:sz w:val="40"/>
                <w:szCs w:val="40"/>
              </w:rPr>
            </w:pPr>
          </w:p>
          <w:p w14:paraId="7A3667F8" w14:textId="77777777" w:rsidR="003F0430" w:rsidRDefault="003F0430">
            <w:pPr>
              <w:rPr>
                <w:b/>
                <w:bCs/>
                <w:sz w:val="40"/>
                <w:szCs w:val="40"/>
              </w:rPr>
            </w:pPr>
          </w:p>
          <w:p w14:paraId="2FCFA866" w14:textId="6A7D320A" w:rsidR="007A4BB0" w:rsidRDefault="007A4BB0">
            <w:pPr>
              <w:rPr>
                <w:b/>
                <w:bCs/>
                <w:sz w:val="40"/>
                <w:szCs w:val="40"/>
              </w:rPr>
            </w:pPr>
            <w:r>
              <w:rPr>
                <w:b/>
                <w:bCs/>
                <w:sz w:val="40"/>
                <w:szCs w:val="40"/>
              </w:rPr>
              <w:t>Rapport d’étape du MFE</w:t>
            </w:r>
          </w:p>
          <w:p w14:paraId="4C7C2CFE" w14:textId="77777777" w:rsidR="007A4BB0" w:rsidRDefault="007A4BB0">
            <w:pPr>
              <w:rPr>
                <w:sz w:val="24"/>
                <w:szCs w:val="24"/>
              </w:rPr>
            </w:pPr>
          </w:p>
          <w:p w14:paraId="52D6E13E" w14:textId="77777777" w:rsidR="007A4BB0" w:rsidRDefault="007A4BB0">
            <w:pPr>
              <w:rPr>
                <w:sz w:val="24"/>
                <w:szCs w:val="24"/>
              </w:rPr>
            </w:pPr>
            <w:r>
              <w:rPr>
                <w:sz w:val="24"/>
                <w:szCs w:val="24"/>
              </w:rPr>
              <w:t>Directeur du mémoire :</w:t>
            </w:r>
          </w:p>
          <w:p w14:paraId="188BE09E" w14:textId="73306C51" w:rsidR="007A4BB0" w:rsidRDefault="007A4BB0">
            <w:pPr>
              <w:rPr>
                <w:color w:val="0070C0"/>
                <w:sz w:val="24"/>
                <w:szCs w:val="24"/>
              </w:rPr>
            </w:pPr>
            <w:r>
              <w:rPr>
                <w:color w:val="0070C0"/>
                <w:sz w:val="24"/>
                <w:szCs w:val="24"/>
              </w:rPr>
              <w:t xml:space="preserve">SARRAZIN </w:t>
            </w:r>
            <w:r w:rsidRPr="007A4BB0">
              <w:rPr>
                <w:color w:val="0070C0"/>
                <w:sz w:val="24"/>
                <w:szCs w:val="24"/>
              </w:rPr>
              <w:t>Benoît</w:t>
            </w:r>
          </w:p>
          <w:p w14:paraId="07AD04FE" w14:textId="15C67BED" w:rsidR="007A4BB0" w:rsidRPr="007A4BB0" w:rsidRDefault="007A4BB0">
            <w:pPr>
              <w:rPr>
                <w:color w:val="0070C0"/>
                <w:sz w:val="24"/>
                <w:szCs w:val="24"/>
              </w:rPr>
            </w:pPr>
            <w:r w:rsidRPr="007A4BB0">
              <w:rPr>
                <w:color w:val="0070C0"/>
                <w:sz w:val="24"/>
                <w:szCs w:val="24"/>
              </w:rPr>
              <w:t>Enseignant</w:t>
            </w:r>
            <w:r>
              <w:rPr>
                <w:color w:val="0070C0"/>
                <w:sz w:val="24"/>
                <w:szCs w:val="24"/>
              </w:rPr>
              <w:t xml:space="preserve"> </w:t>
            </w:r>
            <w:r w:rsidRPr="007A4BB0">
              <w:rPr>
                <w:color w:val="0070C0"/>
                <w:sz w:val="24"/>
                <w:szCs w:val="24"/>
              </w:rPr>
              <w:t>chercheur</w:t>
            </w:r>
          </w:p>
          <w:p w14:paraId="13A52864" w14:textId="77777777" w:rsidR="007A4BB0" w:rsidRDefault="007A4BB0">
            <w:pPr>
              <w:rPr>
                <w:sz w:val="24"/>
                <w:szCs w:val="24"/>
              </w:rPr>
            </w:pPr>
            <w:r>
              <w:rPr>
                <w:sz w:val="24"/>
                <w:szCs w:val="24"/>
              </w:rPr>
              <w:t>Tuteur pédagogique :</w:t>
            </w:r>
          </w:p>
          <w:p w14:paraId="4F2C24BB" w14:textId="77777777" w:rsidR="007A4BB0" w:rsidRPr="007A4BB0" w:rsidRDefault="007A4BB0">
            <w:pPr>
              <w:rPr>
                <w:color w:val="0070C0"/>
                <w:sz w:val="24"/>
                <w:szCs w:val="24"/>
              </w:rPr>
            </w:pPr>
            <w:r w:rsidRPr="007A4BB0">
              <w:rPr>
                <w:color w:val="0070C0"/>
                <w:sz w:val="24"/>
                <w:szCs w:val="24"/>
              </w:rPr>
              <w:t>PAYET Vincent</w:t>
            </w:r>
          </w:p>
          <w:p w14:paraId="6B89EB88" w14:textId="77777777" w:rsidR="007A4BB0" w:rsidRPr="007A4BB0" w:rsidRDefault="007A4BB0" w:rsidP="007A4BB0">
            <w:pPr>
              <w:rPr>
                <w:color w:val="0070C0"/>
                <w:sz w:val="24"/>
                <w:szCs w:val="24"/>
              </w:rPr>
            </w:pPr>
            <w:r w:rsidRPr="007A4BB0">
              <w:rPr>
                <w:color w:val="0070C0"/>
                <w:sz w:val="24"/>
                <w:szCs w:val="24"/>
              </w:rPr>
              <w:t>Enseignant</w:t>
            </w:r>
            <w:r>
              <w:rPr>
                <w:color w:val="0070C0"/>
                <w:sz w:val="24"/>
                <w:szCs w:val="24"/>
              </w:rPr>
              <w:t xml:space="preserve"> </w:t>
            </w:r>
            <w:r w:rsidRPr="007A4BB0">
              <w:rPr>
                <w:color w:val="0070C0"/>
                <w:sz w:val="24"/>
                <w:szCs w:val="24"/>
              </w:rPr>
              <w:t>chercheur</w:t>
            </w:r>
          </w:p>
          <w:p w14:paraId="420B4CEF" w14:textId="00D38F46" w:rsidR="007A4BB0" w:rsidRDefault="007A4BB0">
            <w:pPr>
              <w:rPr>
                <w:sz w:val="24"/>
                <w:szCs w:val="24"/>
              </w:rPr>
            </w:pPr>
          </w:p>
        </w:tc>
        <w:tc>
          <w:tcPr>
            <w:tcW w:w="3544" w:type="dxa"/>
          </w:tcPr>
          <w:p w14:paraId="4693470A" w14:textId="77777777" w:rsidR="007A4BB0" w:rsidRDefault="007A4BB0">
            <w:pPr>
              <w:rPr>
                <w:sz w:val="24"/>
                <w:szCs w:val="24"/>
              </w:rPr>
            </w:pPr>
          </w:p>
          <w:p w14:paraId="1B1918C9" w14:textId="77777777" w:rsidR="007A4BB0" w:rsidRDefault="007A4BB0">
            <w:pPr>
              <w:rPr>
                <w:sz w:val="24"/>
                <w:szCs w:val="24"/>
              </w:rPr>
            </w:pPr>
          </w:p>
          <w:p w14:paraId="2CD89BCE" w14:textId="77777777" w:rsidR="007A4BB0" w:rsidRDefault="007A4BB0">
            <w:pPr>
              <w:rPr>
                <w:sz w:val="24"/>
                <w:szCs w:val="24"/>
              </w:rPr>
            </w:pPr>
          </w:p>
          <w:p w14:paraId="6B2E54CF" w14:textId="77777777" w:rsidR="003F0430" w:rsidRDefault="003F0430">
            <w:pPr>
              <w:rPr>
                <w:b/>
                <w:bCs/>
                <w:color w:val="0070C0"/>
                <w:sz w:val="28"/>
                <w:szCs w:val="28"/>
              </w:rPr>
            </w:pPr>
          </w:p>
          <w:p w14:paraId="0A4785A7" w14:textId="143F7DD9" w:rsidR="003F0430" w:rsidRDefault="003F0430">
            <w:pPr>
              <w:rPr>
                <w:b/>
                <w:bCs/>
                <w:color w:val="0070C0"/>
                <w:sz w:val="28"/>
                <w:szCs w:val="28"/>
              </w:rPr>
            </w:pPr>
          </w:p>
          <w:p w14:paraId="62CB9EE9" w14:textId="77777777" w:rsidR="003F0430" w:rsidRDefault="003F0430">
            <w:pPr>
              <w:rPr>
                <w:b/>
                <w:bCs/>
                <w:color w:val="0070C0"/>
                <w:sz w:val="28"/>
                <w:szCs w:val="28"/>
              </w:rPr>
            </w:pPr>
          </w:p>
          <w:p w14:paraId="0CDDFDF0" w14:textId="74DF0140" w:rsidR="007A4BB0" w:rsidRDefault="007A4BB0">
            <w:pPr>
              <w:rPr>
                <w:b/>
                <w:bCs/>
                <w:color w:val="0070C0"/>
                <w:sz w:val="28"/>
                <w:szCs w:val="28"/>
              </w:rPr>
            </w:pPr>
            <w:r>
              <w:rPr>
                <w:b/>
                <w:bCs/>
                <w:color w:val="0070C0"/>
                <w:sz w:val="28"/>
                <w:szCs w:val="28"/>
              </w:rPr>
              <w:t>FAYAD Adib</w:t>
            </w:r>
          </w:p>
          <w:p w14:paraId="3B639A55" w14:textId="77777777" w:rsidR="007A4BB0" w:rsidRDefault="007A4BB0">
            <w:pPr>
              <w:rPr>
                <w:sz w:val="24"/>
                <w:szCs w:val="24"/>
              </w:rPr>
            </w:pPr>
            <w:r>
              <w:rPr>
                <w:sz w:val="24"/>
                <w:szCs w:val="24"/>
              </w:rPr>
              <w:t xml:space="preserve">Élève ingénieur </w:t>
            </w:r>
            <w:proofErr w:type="spellStart"/>
            <w:r>
              <w:rPr>
                <w:sz w:val="24"/>
                <w:szCs w:val="24"/>
              </w:rPr>
              <w:t>Isara</w:t>
            </w:r>
            <w:proofErr w:type="spellEnd"/>
          </w:p>
          <w:p w14:paraId="772486EB" w14:textId="13901A84" w:rsidR="007A4BB0" w:rsidRDefault="007A4BB0">
            <w:pPr>
              <w:rPr>
                <w:color w:val="0070C0"/>
                <w:sz w:val="24"/>
                <w:szCs w:val="24"/>
              </w:rPr>
            </w:pPr>
            <w:r>
              <w:rPr>
                <w:color w:val="0070C0"/>
                <w:sz w:val="24"/>
                <w:szCs w:val="24"/>
              </w:rPr>
              <w:t>Promotion 54</w:t>
            </w:r>
          </w:p>
          <w:p w14:paraId="4F58CF9E" w14:textId="77777777" w:rsidR="007A4BB0" w:rsidRDefault="007A4BB0">
            <w:pPr>
              <w:rPr>
                <w:sz w:val="24"/>
                <w:szCs w:val="24"/>
              </w:rPr>
            </w:pPr>
          </w:p>
        </w:tc>
      </w:tr>
    </w:tbl>
    <w:sdt>
      <w:sdtPr>
        <w:rPr>
          <w:rFonts w:asciiTheme="minorHAnsi" w:eastAsiaTheme="minorHAnsi" w:hAnsiTheme="minorHAnsi" w:cstheme="minorBidi"/>
          <w:b/>
          <w:bCs/>
          <w:color w:val="auto"/>
          <w:sz w:val="22"/>
          <w:szCs w:val="22"/>
          <w:lang w:val="fr-FR"/>
        </w:rPr>
        <w:id w:val="-2024846071"/>
        <w:docPartObj>
          <w:docPartGallery w:val="Table of Contents"/>
          <w:docPartUnique/>
        </w:docPartObj>
      </w:sdtPr>
      <w:sdtEndPr>
        <w:rPr>
          <w:noProof/>
        </w:rPr>
      </w:sdtEndPr>
      <w:sdtContent>
        <w:p w14:paraId="128FDCCA" w14:textId="77777777" w:rsidR="00DB4771" w:rsidRDefault="00302BE9" w:rsidP="002906B5">
          <w:pPr>
            <w:pStyle w:val="En-ttedetabledesmatires"/>
            <w:rPr>
              <w:noProof/>
            </w:rPr>
          </w:pPr>
          <w:proofErr w:type="spellStart"/>
          <w:r w:rsidRPr="00302BE9">
            <w:rPr>
              <w:b/>
              <w:bCs/>
              <w:color w:val="auto"/>
            </w:rPr>
            <w:t>Sommaire</w:t>
          </w:r>
          <w:proofErr w:type="spellEnd"/>
          <w:r>
            <w:fldChar w:fldCharType="begin"/>
          </w:r>
          <w:r>
            <w:instrText xml:space="preserve"> TOC \o "1-3" \h \z \u </w:instrText>
          </w:r>
          <w:r>
            <w:fldChar w:fldCharType="separate"/>
          </w:r>
        </w:p>
        <w:p w14:paraId="3415E310" w14:textId="36A1C299" w:rsidR="00DB4771" w:rsidRDefault="00415A4E">
          <w:pPr>
            <w:pStyle w:val="TM1"/>
            <w:tabs>
              <w:tab w:val="left" w:pos="442"/>
              <w:tab w:val="right" w:leader="dot" w:pos="9060"/>
            </w:tabs>
            <w:rPr>
              <w:rFonts w:eastAsiaTheme="minorEastAsia"/>
              <w:noProof/>
              <w:lang w:eastAsia="fr-FR"/>
            </w:rPr>
          </w:pPr>
          <w:hyperlink w:anchor="_Toc228373026" w:history="1">
            <w:r w:rsidR="00DB4771" w:rsidRPr="00364064">
              <w:rPr>
                <w:rStyle w:val="Lienhypertexte"/>
                <w:noProof/>
              </w:rPr>
              <w:t>1.</w:t>
            </w:r>
            <w:r w:rsidR="00DB4771">
              <w:rPr>
                <w:rFonts w:eastAsiaTheme="minorEastAsia"/>
                <w:noProof/>
                <w:lang w:eastAsia="fr-FR"/>
              </w:rPr>
              <w:tab/>
            </w:r>
            <w:r w:rsidR="00DB4771" w:rsidRPr="00364064">
              <w:rPr>
                <w:rStyle w:val="Lienhypertexte"/>
                <w:noProof/>
              </w:rPr>
              <w:t>Introduction</w:t>
            </w:r>
            <w:r w:rsidR="00DB4771">
              <w:rPr>
                <w:noProof/>
                <w:webHidden/>
              </w:rPr>
              <w:tab/>
            </w:r>
            <w:r w:rsidR="00DB4771">
              <w:rPr>
                <w:noProof/>
                <w:webHidden/>
              </w:rPr>
              <w:fldChar w:fldCharType="begin"/>
            </w:r>
            <w:r w:rsidR="00DB4771">
              <w:rPr>
                <w:noProof/>
                <w:webHidden/>
              </w:rPr>
              <w:instrText xml:space="preserve"> PAGEREF _Toc228373026 \h </w:instrText>
            </w:r>
            <w:r w:rsidR="00DB4771">
              <w:rPr>
                <w:noProof/>
                <w:webHidden/>
              </w:rPr>
            </w:r>
            <w:r w:rsidR="00DB4771">
              <w:rPr>
                <w:noProof/>
                <w:webHidden/>
              </w:rPr>
              <w:fldChar w:fldCharType="separate"/>
            </w:r>
            <w:r w:rsidR="0074233B">
              <w:rPr>
                <w:noProof/>
                <w:webHidden/>
              </w:rPr>
              <w:t>1</w:t>
            </w:r>
            <w:r w:rsidR="00DB4771">
              <w:rPr>
                <w:noProof/>
                <w:webHidden/>
              </w:rPr>
              <w:fldChar w:fldCharType="end"/>
            </w:r>
          </w:hyperlink>
        </w:p>
        <w:p w14:paraId="46B4A0B3" w14:textId="7D7112B8" w:rsidR="00DB4771" w:rsidRDefault="00415A4E">
          <w:pPr>
            <w:pStyle w:val="TM1"/>
            <w:tabs>
              <w:tab w:val="left" w:pos="442"/>
              <w:tab w:val="right" w:leader="dot" w:pos="9060"/>
            </w:tabs>
            <w:rPr>
              <w:rFonts w:eastAsiaTheme="minorEastAsia"/>
              <w:noProof/>
              <w:lang w:eastAsia="fr-FR"/>
            </w:rPr>
          </w:pPr>
          <w:hyperlink w:anchor="_Toc228373027" w:history="1">
            <w:r w:rsidR="00DB4771" w:rsidRPr="00364064">
              <w:rPr>
                <w:rStyle w:val="Lienhypertexte"/>
                <w:noProof/>
              </w:rPr>
              <w:t>2.</w:t>
            </w:r>
            <w:r w:rsidR="00DB4771">
              <w:rPr>
                <w:rFonts w:eastAsiaTheme="minorEastAsia"/>
                <w:noProof/>
                <w:lang w:eastAsia="fr-FR"/>
              </w:rPr>
              <w:tab/>
            </w:r>
            <w:r w:rsidR="00DB4771" w:rsidRPr="00364064">
              <w:rPr>
                <w:rStyle w:val="Lienhypertexte"/>
                <w:noProof/>
              </w:rPr>
              <w:t>Problématique et hypothèse</w:t>
            </w:r>
            <w:r w:rsidR="00DB4771">
              <w:rPr>
                <w:noProof/>
                <w:webHidden/>
              </w:rPr>
              <w:tab/>
            </w:r>
            <w:r w:rsidR="00DB4771">
              <w:rPr>
                <w:noProof/>
                <w:webHidden/>
              </w:rPr>
              <w:fldChar w:fldCharType="begin"/>
            </w:r>
            <w:r w:rsidR="00DB4771">
              <w:rPr>
                <w:noProof/>
                <w:webHidden/>
              </w:rPr>
              <w:instrText xml:space="preserve"> PAGEREF _Toc228373027 \h </w:instrText>
            </w:r>
            <w:r w:rsidR="00DB4771">
              <w:rPr>
                <w:noProof/>
                <w:webHidden/>
              </w:rPr>
            </w:r>
            <w:r w:rsidR="00DB4771">
              <w:rPr>
                <w:noProof/>
                <w:webHidden/>
              </w:rPr>
              <w:fldChar w:fldCharType="separate"/>
            </w:r>
            <w:r w:rsidR="0074233B">
              <w:rPr>
                <w:noProof/>
                <w:webHidden/>
              </w:rPr>
              <w:t>4</w:t>
            </w:r>
            <w:r w:rsidR="00DB4771">
              <w:rPr>
                <w:noProof/>
                <w:webHidden/>
              </w:rPr>
              <w:fldChar w:fldCharType="end"/>
            </w:r>
          </w:hyperlink>
        </w:p>
        <w:p w14:paraId="1A85BC3C" w14:textId="62987F29" w:rsidR="00DB4771" w:rsidRDefault="00415A4E">
          <w:pPr>
            <w:pStyle w:val="TM1"/>
            <w:tabs>
              <w:tab w:val="left" w:pos="442"/>
              <w:tab w:val="right" w:leader="dot" w:pos="9060"/>
            </w:tabs>
            <w:rPr>
              <w:rFonts w:eastAsiaTheme="minorEastAsia"/>
              <w:noProof/>
              <w:lang w:eastAsia="fr-FR"/>
            </w:rPr>
          </w:pPr>
          <w:hyperlink w:anchor="_Toc228373028" w:history="1">
            <w:r w:rsidR="00DB4771" w:rsidRPr="00364064">
              <w:rPr>
                <w:rStyle w:val="Lienhypertexte"/>
                <w:noProof/>
              </w:rPr>
              <w:t>3.</w:t>
            </w:r>
            <w:r w:rsidR="00DB4771">
              <w:rPr>
                <w:rFonts w:eastAsiaTheme="minorEastAsia"/>
                <w:noProof/>
                <w:lang w:eastAsia="fr-FR"/>
              </w:rPr>
              <w:tab/>
            </w:r>
            <w:r w:rsidR="00DB4771" w:rsidRPr="00364064">
              <w:rPr>
                <w:rStyle w:val="Lienhypertexte"/>
                <w:noProof/>
              </w:rPr>
              <w:t>Etat de l’art</w:t>
            </w:r>
            <w:r w:rsidR="00DB4771">
              <w:rPr>
                <w:noProof/>
                <w:webHidden/>
              </w:rPr>
              <w:tab/>
            </w:r>
            <w:r w:rsidR="00DB4771">
              <w:rPr>
                <w:noProof/>
                <w:webHidden/>
              </w:rPr>
              <w:fldChar w:fldCharType="begin"/>
            </w:r>
            <w:r w:rsidR="00DB4771">
              <w:rPr>
                <w:noProof/>
                <w:webHidden/>
              </w:rPr>
              <w:instrText xml:space="preserve"> PAGEREF _Toc228373028 \h </w:instrText>
            </w:r>
            <w:r w:rsidR="00DB4771">
              <w:rPr>
                <w:noProof/>
                <w:webHidden/>
              </w:rPr>
            </w:r>
            <w:r w:rsidR="00DB4771">
              <w:rPr>
                <w:noProof/>
                <w:webHidden/>
              </w:rPr>
              <w:fldChar w:fldCharType="separate"/>
            </w:r>
            <w:r w:rsidR="0074233B">
              <w:rPr>
                <w:noProof/>
                <w:webHidden/>
              </w:rPr>
              <w:t>4</w:t>
            </w:r>
            <w:r w:rsidR="00DB4771">
              <w:rPr>
                <w:noProof/>
                <w:webHidden/>
              </w:rPr>
              <w:fldChar w:fldCharType="end"/>
            </w:r>
          </w:hyperlink>
        </w:p>
        <w:p w14:paraId="17930F09" w14:textId="042230E3" w:rsidR="00DB4771" w:rsidRDefault="00415A4E">
          <w:pPr>
            <w:pStyle w:val="TM2"/>
            <w:tabs>
              <w:tab w:val="left" w:pos="880"/>
              <w:tab w:val="right" w:leader="dot" w:pos="9060"/>
            </w:tabs>
            <w:rPr>
              <w:rFonts w:eastAsiaTheme="minorEastAsia"/>
              <w:noProof/>
              <w:lang w:eastAsia="fr-FR"/>
            </w:rPr>
          </w:pPr>
          <w:hyperlink w:anchor="_Toc228373029" w:history="1">
            <w:r w:rsidR="00DB4771" w:rsidRPr="00364064">
              <w:rPr>
                <w:rStyle w:val="Lienhypertexte"/>
                <w:noProof/>
              </w:rPr>
              <w:t>3.1.</w:t>
            </w:r>
            <w:r w:rsidR="00DB4771">
              <w:rPr>
                <w:rFonts w:eastAsiaTheme="minorEastAsia"/>
                <w:noProof/>
                <w:lang w:eastAsia="fr-FR"/>
              </w:rPr>
              <w:tab/>
            </w:r>
            <w:r w:rsidR="00DB4771" w:rsidRPr="00364064">
              <w:rPr>
                <w:rStyle w:val="Lienhypertexte"/>
                <w:noProof/>
              </w:rPr>
              <w:t>Contexte de la zone d’étude</w:t>
            </w:r>
            <w:r w:rsidR="00DB4771">
              <w:rPr>
                <w:noProof/>
                <w:webHidden/>
              </w:rPr>
              <w:tab/>
            </w:r>
            <w:r w:rsidR="00DB4771">
              <w:rPr>
                <w:noProof/>
                <w:webHidden/>
              </w:rPr>
              <w:fldChar w:fldCharType="begin"/>
            </w:r>
            <w:r w:rsidR="00DB4771">
              <w:rPr>
                <w:noProof/>
                <w:webHidden/>
              </w:rPr>
              <w:instrText xml:space="preserve"> PAGEREF _Toc228373029 \h </w:instrText>
            </w:r>
            <w:r w:rsidR="00DB4771">
              <w:rPr>
                <w:noProof/>
                <w:webHidden/>
              </w:rPr>
            </w:r>
            <w:r w:rsidR="00DB4771">
              <w:rPr>
                <w:noProof/>
                <w:webHidden/>
              </w:rPr>
              <w:fldChar w:fldCharType="separate"/>
            </w:r>
            <w:r w:rsidR="0074233B">
              <w:rPr>
                <w:noProof/>
                <w:webHidden/>
              </w:rPr>
              <w:t>4</w:t>
            </w:r>
            <w:r w:rsidR="00DB4771">
              <w:rPr>
                <w:noProof/>
                <w:webHidden/>
              </w:rPr>
              <w:fldChar w:fldCharType="end"/>
            </w:r>
          </w:hyperlink>
        </w:p>
        <w:p w14:paraId="7FB47973" w14:textId="345C3417" w:rsidR="00DB4771" w:rsidRDefault="00415A4E">
          <w:pPr>
            <w:pStyle w:val="TM3"/>
            <w:rPr>
              <w:rFonts w:eastAsiaTheme="minorEastAsia"/>
              <w:noProof/>
              <w:lang w:eastAsia="fr-FR"/>
            </w:rPr>
          </w:pPr>
          <w:hyperlink w:anchor="_Toc228373030" w:history="1">
            <w:r w:rsidR="00DB4771" w:rsidRPr="00364064">
              <w:rPr>
                <w:rStyle w:val="Lienhypertexte"/>
                <w:noProof/>
              </w:rPr>
              <w:t>3.1.1.</w:t>
            </w:r>
            <w:r w:rsidR="00DB4771">
              <w:rPr>
                <w:rFonts w:eastAsiaTheme="minorEastAsia"/>
                <w:noProof/>
                <w:lang w:eastAsia="fr-FR"/>
              </w:rPr>
              <w:tab/>
            </w:r>
            <w:r w:rsidR="00DB4771" w:rsidRPr="00364064">
              <w:rPr>
                <w:rStyle w:val="Lienhypertexte"/>
                <w:noProof/>
              </w:rPr>
              <w:t>Climat de la Dombes</w:t>
            </w:r>
            <w:r w:rsidR="00DB4771">
              <w:rPr>
                <w:noProof/>
                <w:webHidden/>
              </w:rPr>
              <w:tab/>
            </w:r>
            <w:r w:rsidR="00DB4771">
              <w:rPr>
                <w:noProof/>
                <w:webHidden/>
              </w:rPr>
              <w:fldChar w:fldCharType="begin"/>
            </w:r>
            <w:r w:rsidR="00DB4771">
              <w:rPr>
                <w:noProof/>
                <w:webHidden/>
              </w:rPr>
              <w:instrText xml:space="preserve"> PAGEREF _Toc228373030 \h </w:instrText>
            </w:r>
            <w:r w:rsidR="00DB4771">
              <w:rPr>
                <w:noProof/>
                <w:webHidden/>
              </w:rPr>
            </w:r>
            <w:r w:rsidR="00DB4771">
              <w:rPr>
                <w:noProof/>
                <w:webHidden/>
              </w:rPr>
              <w:fldChar w:fldCharType="separate"/>
            </w:r>
            <w:r w:rsidR="0074233B">
              <w:rPr>
                <w:noProof/>
                <w:webHidden/>
              </w:rPr>
              <w:t>5</w:t>
            </w:r>
            <w:r w:rsidR="00DB4771">
              <w:rPr>
                <w:noProof/>
                <w:webHidden/>
              </w:rPr>
              <w:fldChar w:fldCharType="end"/>
            </w:r>
          </w:hyperlink>
        </w:p>
        <w:p w14:paraId="49A41EEC" w14:textId="5308A2C1" w:rsidR="00DB4771" w:rsidRDefault="00415A4E">
          <w:pPr>
            <w:pStyle w:val="TM3"/>
            <w:rPr>
              <w:rFonts w:eastAsiaTheme="minorEastAsia"/>
              <w:noProof/>
              <w:lang w:eastAsia="fr-FR"/>
            </w:rPr>
          </w:pPr>
          <w:hyperlink w:anchor="_Toc228373031" w:history="1">
            <w:r w:rsidR="00DB4771" w:rsidRPr="00364064">
              <w:rPr>
                <w:rStyle w:val="Lienhypertexte"/>
                <w:noProof/>
              </w:rPr>
              <w:t>3.1.2.</w:t>
            </w:r>
            <w:r w:rsidR="00DB4771">
              <w:rPr>
                <w:rFonts w:eastAsiaTheme="minorEastAsia"/>
                <w:noProof/>
                <w:lang w:eastAsia="fr-FR"/>
              </w:rPr>
              <w:tab/>
            </w:r>
            <w:r w:rsidR="00DB4771" w:rsidRPr="00364064">
              <w:rPr>
                <w:rStyle w:val="Lienhypertexte"/>
                <w:noProof/>
              </w:rPr>
              <w:t>Sol de la Dombes</w:t>
            </w:r>
            <w:r w:rsidR="00DB4771">
              <w:rPr>
                <w:noProof/>
                <w:webHidden/>
              </w:rPr>
              <w:tab/>
            </w:r>
            <w:r w:rsidR="00DB4771">
              <w:rPr>
                <w:noProof/>
                <w:webHidden/>
              </w:rPr>
              <w:fldChar w:fldCharType="begin"/>
            </w:r>
            <w:r w:rsidR="00DB4771">
              <w:rPr>
                <w:noProof/>
                <w:webHidden/>
              </w:rPr>
              <w:instrText xml:space="preserve"> PAGEREF _Toc228373031 \h </w:instrText>
            </w:r>
            <w:r w:rsidR="00DB4771">
              <w:rPr>
                <w:noProof/>
                <w:webHidden/>
              </w:rPr>
            </w:r>
            <w:r w:rsidR="00DB4771">
              <w:rPr>
                <w:noProof/>
                <w:webHidden/>
              </w:rPr>
              <w:fldChar w:fldCharType="separate"/>
            </w:r>
            <w:r w:rsidR="0074233B">
              <w:rPr>
                <w:noProof/>
                <w:webHidden/>
              </w:rPr>
              <w:t>5</w:t>
            </w:r>
            <w:r w:rsidR="00DB4771">
              <w:rPr>
                <w:noProof/>
                <w:webHidden/>
              </w:rPr>
              <w:fldChar w:fldCharType="end"/>
            </w:r>
          </w:hyperlink>
        </w:p>
        <w:p w14:paraId="38431E2C" w14:textId="1BF1A5D5" w:rsidR="00DB4771" w:rsidRDefault="00415A4E">
          <w:pPr>
            <w:pStyle w:val="TM2"/>
            <w:tabs>
              <w:tab w:val="left" w:pos="880"/>
              <w:tab w:val="right" w:leader="dot" w:pos="9060"/>
            </w:tabs>
            <w:rPr>
              <w:rFonts w:eastAsiaTheme="minorEastAsia"/>
              <w:noProof/>
              <w:lang w:eastAsia="fr-FR"/>
            </w:rPr>
          </w:pPr>
          <w:hyperlink w:anchor="_Toc228373032" w:history="1">
            <w:r w:rsidR="00DB4771" w:rsidRPr="00364064">
              <w:rPr>
                <w:rStyle w:val="Lienhypertexte"/>
                <w:noProof/>
              </w:rPr>
              <w:t>3.2.</w:t>
            </w:r>
            <w:r w:rsidR="00DB4771">
              <w:rPr>
                <w:rFonts w:eastAsiaTheme="minorEastAsia"/>
                <w:noProof/>
                <w:lang w:eastAsia="fr-FR"/>
              </w:rPr>
              <w:tab/>
            </w:r>
            <w:r w:rsidR="00DB4771" w:rsidRPr="00364064">
              <w:rPr>
                <w:rStyle w:val="Lienhypertexte"/>
                <w:noProof/>
              </w:rPr>
              <w:t>Fonctionnement et gestion des étangs de la Dombes</w:t>
            </w:r>
            <w:r w:rsidR="00DB4771">
              <w:rPr>
                <w:noProof/>
                <w:webHidden/>
              </w:rPr>
              <w:tab/>
            </w:r>
            <w:r w:rsidR="00DB4771">
              <w:rPr>
                <w:noProof/>
                <w:webHidden/>
              </w:rPr>
              <w:fldChar w:fldCharType="begin"/>
            </w:r>
            <w:r w:rsidR="00DB4771">
              <w:rPr>
                <w:noProof/>
                <w:webHidden/>
              </w:rPr>
              <w:instrText xml:space="preserve"> PAGEREF _Toc228373032 \h </w:instrText>
            </w:r>
            <w:r w:rsidR="00DB4771">
              <w:rPr>
                <w:noProof/>
                <w:webHidden/>
              </w:rPr>
            </w:r>
            <w:r w:rsidR="00DB4771">
              <w:rPr>
                <w:noProof/>
                <w:webHidden/>
              </w:rPr>
              <w:fldChar w:fldCharType="separate"/>
            </w:r>
            <w:r w:rsidR="0074233B">
              <w:rPr>
                <w:noProof/>
                <w:webHidden/>
              </w:rPr>
              <w:t>5</w:t>
            </w:r>
            <w:r w:rsidR="00DB4771">
              <w:rPr>
                <w:noProof/>
                <w:webHidden/>
              </w:rPr>
              <w:fldChar w:fldCharType="end"/>
            </w:r>
          </w:hyperlink>
        </w:p>
        <w:p w14:paraId="01E9610B" w14:textId="0EC9BA8F" w:rsidR="00DB4771" w:rsidRDefault="00415A4E">
          <w:pPr>
            <w:pStyle w:val="TM2"/>
            <w:tabs>
              <w:tab w:val="left" w:pos="880"/>
              <w:tab w:val="right" w:leader="dot" w:pos="9060"/>
            </w:tabs>
            <w:rPr>
              <w:rFonts w:eastAsiaTheme="minorEastAsia"/>
              <w:noProof/>
              <w:lang w:eastAsia="fr-FR"/>
            </w:rPr>
          </w:pPr>
          <w:hyperlink w:anchor="_Toc228373033" w:history="1">
            <w:r w:rsidR="00DB4771" w:rsidRPr="00364064">
              <w:rPr>
                <w:rStyle w:val="Lienhypertexte"/>
                <w:noProof/>
              </w:rPr>
              <w:t>3.3.</w:t>
            </w:r>
            <w:r w:rsidR="00DB4771">
              <w:rPr>
                <w:rFonts w:eastAsiaTheme="minorEastAsia"/>
                <w:noProof/>
                <w:lang w:eastAsia="fr-FR"/>
              </w:rPr>
              <w:tab/>
            </w:r>
            <w:r w:rsidR="00DB4771" w:rsidRPr="00364064">
              <w:rPr>
                <w:rStyle w:val="Lienhypertexte"/>
                <w:noProof/>
              </w:rPr>
              <w:t>La vulnérabilité pilier indispensable de l’étude</w:t>
            </w:r>
            <w:r w:rsidR="00DB4771">
              <w:rPr>
                <w:noProof/>
                <w:webHidden/>
              </w:rPr>
              <w:tab/>
            </w:r>
            <w:r w:rsidR="00DB4771">
              <w:rPr>
                <w:noProof/>
                <w:webHidden/>
              </w:rPr>
              <w:fldChar w:fldCharType="begin"/>
            </w:r>
            <w:r w:rsidR="00DB4771">
              <w:rPr>
                <w:noProof/>
                <w:webHidden/>
              </w:rPr>
              <w:instrText xml:space="preserve"> PAGEREF _Toc228373033 \h </w:instrText>
            </w:r>
            <w:r w:rsidR="00DB4771">
              <w:rPr>
                <w:noProof/>
                <w:webHidden/>
              </w:rPr>
            </w:r>
            <w:r w:rsidR="00DB4771">
              <w:rPr>
                <w:noProof/>
                <w:webHidden/>
              </w:rPr>
              <w:fldChar w:fldCharType="separate"/>
            </w:r>
            <w:r w:rsidR="0074233B">
              <w:rPr>
                <w:noProof/>
                <w:webHidden/>
              </w:rPr>
              <w:t>7</w:t>
            </w:r>
            <w:r w:rsidR="00DB4771">
              <w:rPr>
                <w:noProof/>
                <w:webHidden/>
              </w:rPr>
              <w:fldChar w:fldCharType="end"/>
            </w:r>
          </w:hyperlink>
        </w:p>
        <w:p w14:paraId="713C9B6A" w14:textId="581E2E45" w:rsidR="00DB4771" w:rsidRDefault="00415A4E">
          <w:pPr>
            <w:pStyle w:val="TM2"/>
            <w:tabs>
              <w:tab w:val="left" w:pos="880"/>
              <w:tab w:val="right" w:leader="dot" w:pos="9060"/>
            </w:tabs>
            <w:rPr>
              <w:rFonts w:eastAsiaTheme="minorEastAsia"/>
              <w:noProof/>
              <w:lang w:eastAsia="fr-FR"/>
            </w:rPr>
          </w:pPr>
          <w:hyperlink w:anchor="_Toc228373034" w:history="1">
            <w:r w:rsidR="00DB4771" w:rsidRPr="00364064">
              <w:rPr>
                <w:rStyle w:val="Lienhypertexte"/>
                <w:noProof/>
              </w:rPr>
              <w:t>3.4.</w:t>
            </w:r>
            <w:r w:rsidR="00DB4771">
              <w:rPr>
                <w:rFonts w:eastAsiaTheme="minorEastAsia"/>
                <w:noProof/>
                <w:lang w:eastAsia="fr-FR"/>
              </w:rPr>
              <w:tab/>
            </w:r>
            <w:r w:rsidR="00DB4771" w:rsidRPr="00364064">
              <w:rPr>
                <w:rStyle w:val="Lienhypertexte"/>
                <w:noProof/>
              </w:rPr>
              <w:t>La modélisation, la base de l’étude</w:t>
            </w:r>
            <w:r w:rsidR="00DB4771">
              <w:rPr>
                <w:noProof/>
                <w:webHidden/>
              </w:rPr>
              <w:tab/>
            </w:r>
            <w:r w:rsidR="00DB4771">
              <w:rPr>
                <w:noProof/>
                <w:webHidden/>
              </w:rPr>
              <w:fldChar w:fldCharType="begin"/>
            </w:r>
            <w:r w:rsidR="00DB4771">
              <w:rPr>
                <w:noProof/>
                <w:webHidden/>
              </w:rPr>
              <w:instrText xml:space="preserve"> PAGEREF _Toc228373034 \h </w:instrText>
            </w:r>
            <w:r w:rsidR="00DB4771">
              <w:rPr>
                <w:noProof/>
                <w:webHidden/>
              </w:rPr>
            </w:r>
            <w:r w:rsidR="00DB4771">
              <w:rPr>
                <w:noProof/>
                <w:webHidden/>
              </w:rPr>
              <w:fldChar w:fldCharType="separate"/>
            </w:r>
            <w:r w:rsidR="0074233B">
              <w:rPr>
                <w:noProof/>
                <w:webHidden/>
              </w:rPr>
              <w:t>10</w:t>
            </w:r>
            <w:r w:rsidR="00DB4771">
              <w:rPr>
                <w:noProof/>
                <w:webHidden/>
              </w:rPr>
              <w:fldChar w:fldCharType="end"/>
            </w:r>
          </w:hyperlink>
        </w:p>
        <w:p w14:paraId="3D232919" w14:textId="2D58A479" w:rsidR="00DB4771" w:rsidRDefault="00415A4E">
          <w:pPr>
            <w:pStyle w:val="TM3"/>
            <w:rPr>
              <w:rFonts w:eastAsiaTheme="minorEastAsia"/>
              <w:noProof/>
              <w:lang w:eastAsia="fr-FR"/>
            </w:rPr>
          </w:pPr>
          <w:hyperlink w:anchor="_Toc228373035" w:history="1">
            <w:r w:rsidR="00DB4771" w:rsidRPr="00364064">
              <w:rPr>
                <w:rStyle w:val="Lienhypertexte"/>
                <w:noProof/>
              </w:rPr>
              <w:t>3.4.1.</w:t>
            </w:r>
            <w:r w:rsidR="00DB4771">
              <w:rPr>
                <w:rFonts w:eastAsiaTheme="minorEastAsia"/>
                <w:noProof/>
                <w:lang w:eastAsia="fr-FR"/>
              </w:rPr>
              <w:tab/>
            </w:r>
            <w:r w:rsidR="00DB4771" w:rsidRPr="00364064">
              <w:rPr>
                <w:rStyle w:val="Lienhypertexte"/>
                <w:noProof/>
              </w:rPr>
              <w:t>Les 10 étapes clés</w:t>
            </w:r>
            <w:r w:rsidR="00DB4771">
              <w:rPr>
                <w:noProof/>
                <w:webHidden/>
              </w:rPr>
              <w:tab/>
            </w:r>
            <w:r w:rsidR="00DB4771">
              <w:rPr>
                <w:noProof/>
                <w:webHidden/>
              </w:rPr>
              <w:fldChar w:fldCharType="begin"/>
            </w:r>
            <w:r w:rsidR="00DB4771">
              <w:rPr>
                <w:noProof/>
                <w:webHidden/>
              </w:rPr>
              <w:instrText xml:space="preserve"> PAGEREF _Toc228373035 \h </w:instrText>
            </w:r>
            <w:r w:rsidR="00DB4771">
              <w:rPr>
                <w:noProof/>
                <w:webHidden/>
              </w:rPr>
            </w:r>
            <w:r w:rsidR="00DB4771">
              <w:rPr>
                <w:noProof/>
                <w:webHidden/>
              </w:rPr>
              <w:fldChar w:fldCharType="separate"/>
            </w:r>
            <w:r w:rsidR="0074233B">
              <w:rPr>
                <w:noProof/>
                <w:webHidden/>
              </w:rPr>
              <w:t>12</w:t>
            </w:r>
            <w:r w:rsidR="00DB4771">
              <w:rPr>
                <w:noProof/>
                <w:webHidden/>
              </w:rPr>
              <w:fldChar w:fldCharType="end"/>
            </w:r>
          </w:hyperlink>
        </w:p>
        <w:p w14:paraId="08EC6ABE" w14:textId="7302BD51" w:rsidR="00DB4771" w:rsidRDefault="00415A4E">
          <w:pPr>
            <w:pStyle w:val="TM2"/>
            <w:tabs>
              <w:tab w:val="left" w:pos="880"/>
              <w:tab w:val="right" w:leader="dot" w:pos="9060"/>
            </w:tabs>
            <w:rPr>
              <w:rFonts w:eastAsiaTheme="minorEastAsia"/>
              <w:noProof/>
              <w:lang w:eastAsia="fr-FR"/>
            </w:rPr>
          </w:pPr>
          <w:hyperlink w:anchor="_Toc228373036" w:history="1">
            <w:r w:rsidR="00DB4771" w:rsidRPr="00364064">
              <w:rPr>
                <w:rStyle w:val="Lienhypertexte"/>
                <w:noProof/>
              </w:rPr>
              <w:t>3.5.</w:t>
            </w:r>
            <w:r w:rsidR="00DB4771">
              <w:rPr>
                <w:rFonts w:eastAsiaTheme="minorEastAsia"/>
                <w:noProof/>
                <w:lang w:eastAsia="fr-FR"/>
              </w:rPr>
              <w:tab/>
            </w:r>
            <w:r w:rsidR="00DB4771" w:rsidRPr="00364064">
              <w:rPr>
                <w:rStyle w:val="Lienhypertexte"/>
                <w:noProof/>
              </w:rPr>
              <w:t>Le bilan hydrique</w:t>
            </w:r>
            <w:r w:rsidR="00DB4771">
              <w:rPr>
                <w:noProof/>
                <w:webHidden/>
              </w:rPr>
              <w:tab/>
            </w:r>
            <w:r w:rsidR="00DB4771">
              <w:rPr>
                <w:noProof/>
                <w:webHidden/>
              </w:rPr>
              <w:fldChar w:fldCharType="begin"/>
            </w:r>
            <w:r w:rsidR="00DB4771">
              <w:rPr>
                <w:noProof/>
                <w:webHidden/>
              </w:rPr>
              <w:instrText xml:space="preserve"> PAGEREF _Toc228373036 \h </w:instrText>
            </w:r>
            <w:r w:rsidR="00DB4771">
              <w:rPr>
                <w:noProof/>
                <w:webHidden/>
              </w:rPr>
            </w:r>
            <w:r w:rsidR="00DB4771">
              <w:rPr>
                <w:noProof/>
                <w:webHidden/>
              </w:rPr>
              <w:fldChar w:fldCharType="separate"/>
            </w:r>
            <w:r w:rsidR="0074233B">
              <w:rPr>
                <w:noProof/>
                <w:webHidden/>
              </w:rPr>
              <w:t>13</w:t>
            </w:r>
            <w:r w:rsidR="00DB4771">
              <w:rPr>
                <w:noProof/>
                <w:webHidden/>
              </w:rPr>
              <w:fldChar w:fldCharType="end"/>
            </w:r>
          </w:hyperlink>
        </w:p>
        <w:p w14:paraId="70C7B983" w14:textId="04280E3D" w:rsidR="00DB4771" w:rsidRDefault="00415A4E">
          <w:pPr>
            <w:pStyle w:val="TM3"/>
            <w:rPr>
              <w:rFonts w:eastAsiaTheme="minorEastAsia"/>
              <w:noProof/>
              <w:lang w:eastAsia="fr-FR"/>
            </w:rPr>
          </w:pPr>
          <w:hyperlink w:anchor="_Toc228373037" w:history="1">
            <w:r w:rsidR="00DB4771" w:rsidRPr="00364064">
              <w:rPr>
                <w:rStyle w:val="Lienhypertexte"/>
                <w:noProof/>
              </w:rPr>
              <w:t>3.5.1.</w:t>
            </w:r>
            <w:r w:rsidR="00DB4771">
              <w:rPr>
                <w:rFonts w:eastAsiaTheme="minorEastAsia"/>
                <w:noProof/>
                <w:lang w:eastAsia="fr-FR"/>
              </w:rPr>
              <w:tab/>
            </w:r>
            <w:r w:rsidR="00DB4771" w:rsidRPr="00364064">
              <w:rPr>
                <w:rStyle w:val="Lienhypertexte"/>
                <w:noProof/>
              </w:rPr>
              <w:t>La Pluie (P)</w:t>
            </w:r>
            <w:r w:rsidR="00DB4771">
              <w:rPr>
                <w:noProof/>
                <w:webHidden/>
              </w:rPr>
              <w:tab/>
            </w:r>
            <w:r w:rsidR="00DB4771">
              <w:rPr>
                <w:noProof/>
                <w:webHidden/>
              </w:rPr>
              <w:fldChar w:fldCharType="begin"/>
            </w:r>
            <w:r w:rsidR="00DB4771">
              <w:rPr>
                <w:noProof/>
                <w:webHidden/>
              </w:rPr>
              <w:instrText xml:space="preserve"> PAGEREF _Toc228373037 \h </w:instrText>
            </w:r>
            <w:r w:rsidR="00DB4771">
              <w:rPr>
                <w:noProof/>
                <w:webHidden/>
              </w:rPr>
            </w:r>
            <w:r w:rsidR="00DB4771">
              <w:rPr>
                <w:noProof/>
                <w:webHidden/>
              </w:rPr>
              <w:fldChar w:fldCharType="separate"/>
            </w:r>
            <w:r w:rsidR="0074233B">
              <w:rPr>
                <w:noProof/>
                <w:webHidden/>
              </w:rPr>
              <w:t>14</w:t>
            </w:r>
            <w:r w:rsidR="00DB4771">
              <w:rPr>
                <w:noProof/>
                <w:webHidden/>
              </w:rPr>
              <w:fldChar w:fldCharType="end"/>
            </w:r>
          </w:hyperlink>
        </w:p>
        <w:p w14:paraId="3924C329" w14:textId="78C16CA2" w:rsidR="00DB4771" w:rsidRDefault="00415A4E">
          <w:pPr>
            <w:pStyle w:val="TM3"/>
            <w:rPr>
              <w:rFonts w:eastAsiaTheme="minorEastAsia"/>
              <w:noProof/>
              <w:lang w:eastAsia="fr-FR"/>
            </w:rPr>
          </w:pPr>
          <w:hyperlink w:anchor="_Toc228373038" w:history="1">
            <w:r w:rsidR="00DB4771" w:rsidRPr="00364064">
              <w:rPr>
                <w:rStyle w:val="Lienhypertexte"/>
                <w:noProof/>
              </w:rPr>
              <w:t>3.5.2.</w:t>
            </w:r>
            <w:r w:rsidR="00DB4771">
              <w:rPr>
                <w:rFonts w:eastAsiaTheme="minorEastAsia"/>
                <w:noProof/>
                <w:lang w:eastAsia="fr-FR"/>
              </w:rPr>
              <w:tab/>
            </w:r>
            <w:r w:rsidR="00DB4771" w:rsidRPr="00364064">
              <w:rPr>
                <w:rStyle w:val="Lienhypertexte"/>
                <w:noProof/>
              </w:rPr>
              <w:t>L’évaporation et l'évapotranspiration des surfaces en eau</w:t>
            </w:r>
            <w:r w:rsidR="00DB4771">
              <w:rPr>
                <w:noProof/>
                <w:webHidden/>
              </w:rPr>
              <w:tab/>
            </w:r>
            <w:r w:rsidR="00DB4771">
              <w:rPr>
                <w:noProof/>
                <w:webHidden/>
              </w:rPr>
              <w:fldChar w:fldCharType="begin"/>
            </w:r>
            <w:r w:rsidR="00DB4771">
              <w:rPr>
                <w:noProof/>
                <w:webHidden/>
              </w:rPr>
              <w:instrText xml:space="preserve"> PAGEREF _Toc228373038 \h </w:instrText>
            </w:r>
            <w:r w:rsidR="00DB4771">
              <w:rPr>
                <w:noProof/>
                <w:webHidden/>
              </w:rPr>
            </w:r>
            <w:r w:rsidR="00DB4771">
              <w:rPr>
                <w:noProof/>
                <w:webHidden/>
              </w:rPr>
              <w:fldChar w:fldCharType="separate"/>
            </w:r>
            <w:r w:rsidR="0074233B">
              <w:rPr>
                <w:noProof/>
                <w:webHidden/>
              </w:rPr>
              <w:t>16</w:t>
            </w:r>
            <w:r w:rsidR="00DB4771">
              <w:rPr>
                <w:noProof/>
                <w:webHidden/>
              </w:rPr>
              <w:fldChar w:fldCharType="end"/>
            </w:r>
          </w:hyperlink>
        </w:p>
        <w:p w14:paraId="525FDD60" w14:textId="2EAF796D" w:rsidR="00DB4771" w:rsidRDefault="00415A4E">
          <w:pPr>
            <w:pStyle w:val="TM3"/>
            <w:rPr>
              <w:rFonts w:eastAsiaTheme="minorEastAsia"/>
              <w:noProof/>
              <w:lang w:eastAsia="fr-FR"/>
            </w:rPr>
          </w:pPr>
          <w:hyperlink w:anchor="_Toc228373039" w:history="1">
            <w:r w:rsidR="00DB4771" w:rsidRPr="00364064">
              <w:rPr>
                <w:rStyle w:val="Lienhypertexte"/>
                <w:noProof/>
              </w:rPr>
              <w:t>3.5.3.</w:t>
            </w:r>
            <w:r w:rsidR="00DB4771">
              <w:rPr>
                <w:rFonts w:eastAsiaTheme="minorEastAsia"/>
                <w:noProof/>
                <w:lang w:eastAsia="fr-FR"/>
              </w:rPr>
              <w:tab/>
            </w:r>
            <w:r w:rsidR="00DB4771" w:rsidRPr="00364064">
              <w:rPr>
                <w:rStyle w:val="Lienhypertexte"/>
                <w:noProof/>
              </w:rPr>
              <w:t>Le Ruissèlement</w:t>
            </w:r>
            <w:r w:rsidR="00DB4771">
              <w:rPr>
                <w:noProof/>
                <w:webHidden/>
              </w:rPr>
              <w:tab/>
            </w:r>
            <w:r w:rsidR="00DB4771">
              <w:rPr>
                <w:noProof/>
                <w:webHidden/>
              </w:rPr>
              <w:fldChar w:fldCharType="begin"/>
            </w:r>
            <w:r w:rsidR="00DB4771">
              <w:rPr>
                <w:noProof/>
                <w:webHidden/>
              </w:rPr>
              <w:instrText xml:space="preserve"> PAGEREF _Toc228373039 \h </w:instrText>
            </w:r>
            <w:r w:rsidR="00DB4771">
              <w:rPr>
                <w:noProof/>
                <w:webHidden/>
              </w:rPr>
            </w:r>
            <w:r w:rsidR="00DB4771">
              <w:rPr>
                <w:noProof/>
                <w:webHidden/>
              </w:rPr>
              <w:fldChar w:fldCharType="separate"/>
            </w:r>
            <w:r w:rsidR="0074233B">
              <w:rPr>
                <w:noProof/>
                <w:webHidden/>
              </w:rPr>
              <w:t>18</w:t>
            </w:r>
            <w:r w:rsidR="00DB4771">
              <w:rPr>
                <w:noProof/>
                <w:webHidden/>
              </w:rPr>
              <w:fldChar w:fldCharType="end"/>
            </w:r>
          </w:hyperlink>
        </w:p>
        <w:p w14:paraId="42BC91C7" w14:textId="42C465C4" w:rsidR="00DB4771" w:rsidRDefault="00415A4E">
          <w:pPr>
            <w:pStyle w:val="TM1"/>
            <w:tabs>
              <w:tab w:val="left" w:pos="442"/>
              <w:tab w:val="right" w:leader="dot" w:pos="9060"/>
            </w:tabs>
            <w:rPr>
              <w:rFonts w:eastAsiaTheme="minorEastAsia"/>
              <w:noProof/>
              <w:lang w:eastAsia="fr-FR"/>
            </w:rPr>
          </w:pPr>
          <w:hyperlink w:anchor="_Toc228373040" w:history="1">
            <w:r w:rsidR="00DB4771" w:rsidRPr="00364064">
              <w:rPr>
                <w:rStyle w:val="Lienhypertexte"/>
                <w:noProof/>
              </w:rPr>
              <w:t>4.</w:t>
            </w:r>
            <w:r w:rsidR="00DB4771">
              <w:rPr>
                <w:rFonts w:eastAsiaTheme="minorEastAsia"/>
                <w:noProof/>
                <w:lang w:eastAsia="fr-FR"/>
              </w:rPr>
              <w:tab/>
            </w:r>
            <w:r w:rsidR="00DB4771" w:rsidRPr="00364064">
              <w:rPr>
                <w:rStyle w:val="Lienhypertexte"/>
                <w:noProof/>
              </w:rPr>
              <w:t>Méthodologie</w:t>
            </w:r>
            <w:r w:rsidR="00DB4771">
              <w:rPr>
                <w:noProof/>
                <w:webHidden/>
              </w:rPr>
              <w:tab/>
            </w:r>
            <w:r w:rsidR="00DB4771">
              <w:rPr>
                <w:noProof/>
                <w:webHidden/>
              </w:rPr>
              <w:fldChar w:fldCharType="begin"/>
            </w:r>
            <w:r w:rsidR="00DB4771">
              <w:rPr>
                <w:noProof/>
                <w:webHidden/>
              </w:rPr>
              <w:instrText xml:space="preserve"> PAGEREF _Toc228373040 \h </w:instrText>
            </w:r>
            <w:r w:rsidR="00DB4771">
              <w:rPr>
                <w:noProof/>
                <w:webHidden/>
              </w:rPr>
            </w:r>
            <w:r w:rsidR="00DB4771">
              <w:rPr>
                <w:noProof/>
                <w:webHidden/>
              </w:rPr>
              <w:fldChar w:fldCharType="separate"/>
            </w:r>
            <w:r w:rsidR="0074233B">
              <w:rPr>
                <w:noProof/>
                <w:webHidden/>
              </w:rPr>
              <w:t>20</w:t>
            </w:r>
            <w:r w:rsidR="00DB4771">
              <w:rPr>
                <w:noProof/>
                <w:webHidden/>
              </w:rPr>
              <w:fldChar w:fldCharType="end"/>
            </w:r>
          </w:hyperlink>
        </w:p>
        <w:p w14:paraId="57315A54" w14:textId="061ABD17" w:rsidR="00DB4771" w:rsidRDefault="00415A4E">
          <w:pPr>
            <w:pStyle w:val="TM2"/>
            <w:tabs>
              <w:tab w:val="left" w:pos="880"/>
              <w:tab w:val="right" w:leader="dot" w:pos="9060"/>
            </w:tabs>
            <w:rPr>
              <w:rFonts w:eastAsiaTheme="minorEastAsia"/>
              <w:noProof/>
              <w:lang w:eastAsia="fr-FR"/>
            </w:rPr>
          </w:pPr>
          <w:hyperlink w:anchor="_Toc228373041" w:history="1">
            <w:r w:rsidR="00DB4771" w:rsidRPr="00364064">
              <w:rPr>
                <w:rStyle w:val="Lienhypertexte"/>
                <w:noProof/>
              </w:rPr>
              <w:t>4.1.</w:t>
            </w:r>
            <w:r w:rsidR="00DB4771">
              <w:rPr>
                <w:rFonts w:eastAsiaTheme="minorEastAsia"/>
                <w:noProof/>
                <w:lang w:eastAsia="fr-FR"/>
              </w:rPr>
              <w:tab/>
            </w:r>
            <w:r w:rsidR="00DB4771" w:rsidRPr="00364064">
              <w:rPr>
                <w:rStyle w:val="Lienhypertexte"/>
                <w:noProof/>
              </w:rPr>
              <w:t>Approche méthodologique générale</w:t>
            </w:r>
            <w:r w:rsidR="00DB4771">
              <w:rPr>
                <w:noProof/>
                <w:webHidden/>
              </w:rPr>
              <w:tab/>
            </w:r>
            <w:r w:rsidR="00DB4771">
              <w:rPr>
                <w:noProof/>
                <w:webHidden/>
              </w:rPr>
              <w:fldChar w:fldCharType="begin"/>
            </w:r>
            <w:r w:rsidR="00DB4771">
              <w:rPr>
                <w:noProof/>
                <w:webHidden/>
              </w:rPr>
              <w:instrText xml:space="preserve"> PAGEREF _Toc228373041 \h </w:instrText>
            </w:r>
            <w:r w:rsidR="00DB4771">
              <w:rPr>
                <w:noProof/>
                <w:webHidden/>
              </w:rPr>
            </w:r>
            <w:r w:rsidR="00DB4771">
              <w:rPr>
                <w:noProof/>
                <w:webHidden/>
              </w:rPr>
              <w:fldChar w:fldCharType="separate"/>
            </w:r>
            <w:r w:rsidR="0074233B">
              <w:rPr>
                <w:noProof/>
                <w:webHidden/>
              </w:rPr>
              <w:t>20</w:t>
            </w:r>
            <w:r w:rsidR="00DB4771">
              <w:rPr>
                <w:noProof/>
                <w:webHidden/>
              </w:rPr>
              <w:fldChar w:fldCharType="end"/>
            </w:r>
          </w:hyperlink>
        </w:p>
        <w:p w14:paraId="1B633CF5" w14:textId="627CA2A0" w:rsidR="00DB4771" w:rsidRDefault="00415A4E">
          <w:pPr>
            <w:pStyle w:val="TM2"/>
            <w:tabs>
              <w:tab w:val="left" w:pos="880"/>
              <w:tab w:val="right" w:leader="dot" w:pos="9060"/>
            </w:tabs>
            <w:rPr>
              <w:rFonts w:eastAsiaTheme="minorEastAsia"/>
              <w:noProof/>
              <w:lang w:eastAsia="fr-FR"/>
            </w:rPr>
          </w:pPr>
          <w:hyperlink w:anchor="_Toc228373042" w:history="1">
            <w:r w:rsidR="00DB4771" w:rsidRPr="00364064">
              <w:rPr>
                <w:rStyle w:val="Lienhypertexte"/>
                <w:noProof/>
              </w:rPr>
              <w:t>4.2.</w:t>
            </w:r>
            <w:r w:rsidR="00DB4771">
              <w:rPr>
                <w:rFonts w:eastAsiaTheme="minorEastAsia"/>
                <w:noProof/>
                <w:lang w:eastAsia="fr-FR"/>
              </w:rPr>
              <w:tab/>
            </w:r>
            <w:r w:rsidR="00DB4771" w:rsidRPr="00364064">
              <w:rPr>
                <w:rStyle w:val="Lienhypertexte"/>
                <w:noProof/>
              </w:rPr>
              <w:t>Préparation, récupération des données et structuration</w:t>
            </w:r>
            <w:r w:rsidR="00DB4771">
              <w:rPr>
                <w:noProof/>
                <w:webHidden/>
              </w:rPr>
              <w:tab/>
            </w:r>
            <w:r w:rsidR="00DB4771">
              <w:rPr>
                <w:noProof/>
                <w:webHidden/>
              </w:rPr>
              <w:fldChar w:fldCharType="begin"/>
            </w:r>
            <w:r w:rsidR="00DB4771">
              <w:rPr>
                <w:noProof/>
                <w:webHidden/>
              </w:rPr>
              <w:instrText xml:space="preserve"> PAGEREF _Toc228373042 \h </w:instrText>
            </w:r>
            <w:r w:rsidR="00DB4771">
              <w:rPr>
                <w:noProof/>
                <w:webHidden/>
              </w:rPr>
            </w:r>
            <w:r w:rsidR="00DB4771">
              <w:rPr>
                <w:noProof/>
                <w:webHidden/>
              </w:rPr>
              <w:fldChar w:fldCharType="separate"/>
            </w:r>
            <w:r w:rsidR="0074233B">
              <w:rPr>
                <w:noProof/>
                <w:webHidden/>
              </w:rPr>
              <w:t>20</w:t>
            </w:r>
            <w:r w:rsidR="00DB4771">
              <w:rPr>
                <w:noProof/>
                <w:webHidden/>
              </w:rPr>
              <w:fldChar w:fldCharType="end"/>
            </w:r>
          </w:hyperlink>
        </w:p>
        <w:p w14:paraId="492640D2" w14:textId="26567783" w:rsidR="00DB4771" w:rsidRDefault="00415A4E">
          <w:pPr>
            <w:pStyle w:val="TM3"/>
            <w:rPr>
              <w:rFonts w:eastAsiaTheme="minorEastAsia"/>
              <w:noProof/>
              <w:lang w:eastAsia="fr-FR"/>
            </w:rPr>
          </w:pPr>
          <w:hyperlink w:anchor="_Toc228373043" w:history="1">
            <w:r w:rsidR="00DB4771" w:rsidRPr="00364064">
              <w:rPr>
                <w:rStyle w:val="Lienhypertexte"/>
                <w:noProof/>
              </w:rPr>
              <w:t>4.2.1.</w:t>
            </w:r>
            <w:r w:rsidR="00DB4771">
              <w:rPr>
                <w:rFonts w:eastAsiaTheme="minorEastAsia"/>
                <w:noProof/>
                <w:lang w:eastAsia="fr-FR"/>
              </w:rPr>
              <w:tab/>
            </w:r>
            <w:r w:rsidR="00DB4771" w:rsidRPr="00364064">
              <w:rPr>
                <w:rStyle w:val="Lienhypertexte"/>
                <w:noProof/>
              </w:rPr>
              <w:t>Zone d'étude et délimitation spatiale</w:t>
            </w:r>
            <w:r w:rsidR="00DB4771">
              <w:rPr>
                <w:noProof/>
                <w:webHidden/>
              </w:rPr>
              <w:tab/>
            </w:r>
            <w:r w:rsidR="00DB4771">
              <w:rPr>
                <w:noProof/>
                <w:webHidden/>
              </w:rPr>
              <w:fldChar w:fldCharType="begin"/>
            </w:r>
            <w:r w:rsidR="00DB4771">
              <w:rPr>
                <w:noProof/>
                <w:webHidden/>
              </w:rPr>
              <w:instrText xml:space="preserve"> PAGEREF _Toc228373043 \h </w:instrText>
            </w:r>
            <w:r w:rsidR="00DB4771">
              <w:rPr>
                <w:noProof/>
                <w:webHidden/>
              </w:rPr>
            </w:r>
            <w:r w:rsidR="00DB4771">
              <w:rPr>
                <w:noProof/>
                <w:webHidden/>
              </w:rPr>
              <w:fldChar w:fldCharType="separate"/>
            </w:r>
            <w:r w:rsidR="0074233B">
              <w:rPr>
                <w:noProof/>
                <w:webHidden/>
              </w:rPr>
              <w:t>21</w:t>
            </w:r>
            <w:r w:rsidR="00DB4771">
              <w:rPr>
                <w:noProof/>
                <w:webHidden/>
              </w:rPr>
              <w:fldChar w:fldCharType="end"/>
            </w:r>
          </w:hyperlink>
        </w:p>
        <w:p w14:paraId="5B918C82" w14:textId="00C50D51" w:rsidR="00DB4771" w:rsidRDefault="00415A4E">
          <w:pPr>
            <w:pStyle w:val="TM3"/>
            <w:rPr>
              <w:rFonts w:eastAsiaTheme="minorEastAsia"/>
              <w:noProof/>
              <w:lang w:eastAsia="fr-FR"/>
            </w:rPr>
          </w:pPr>
          <w:hyperlink w:anchor="_Toc228373044" w:history="1">
            <w:r w:rsidR="00DB4771" w:rsidRPr="00364064">
              <w:rPr>
                <w:rStyle w:val="Lienhypertexte"/>
                <w:noProof/>
              </w:rPr>
              <w:t>4.2.2.</w:t>
            </w:r>
            <w:r w:rsidR="00DB4771">
              <w:rPr>
                <w:rFonts w:eastAsiaTheme="minorEastAsia"/>
                <w:noProof/>
                <w:lang w:eastAsia="fr-FR"/>
              </w:rPr>
              <w:tab/>
            </w:r>
            <w:r w:rsidR="00DB4771" w:rsidRPr="00364064">
              <w:rPr>
                <w:rStyle w:val="Lienhypertexte"/>
                <w:noProof/>
              </w:rPr>
              <w:t>Données et sources</w:t>
            </w:r>
            <w:r w:rsidR="00DB4771">
              <w:rPr>
                <w:noProof/>
                <w:webHidden/>
              </w:rPr>
              <w:tab/>
            </w:r>
            <w:r w:rsidR="00DB4771">
              <w:rPr>
                <w:noProof/>
                <w:webHidden/>
              </w:rPr>
              <w:fldChar w:fldCharType="begin"/>
            </w:r>
            <w:r w:rsidR="00DB4771">
              <w:rPr>
                <w:noProof/>
                <w:webHidden/>
              </w:rPr>
              <w:instrText xml:space="preserve"> PAGEREF _Toc228373044 \h </w:instrText>
            </w:r>
            <w:r w:rsidR="00DB4771">
              <w:rPr>
                <w:noProof/>
                <w:webHidden/>
              </w:rPr>
            </w:r>
            <w:r w:rsidR="00DB4771">
              <w:rPr>
                <w:noProof/>
                <w:webHidden/>
              </w:rPr>
              <w:fldChar w:fldCharType="separate"/>
            </w:r>
            <w:r w:rsidR="0074233B">
              <w:rPr>
                <w:noProof/>
                <w:webHidden/>
              </w:rPr>
              <w:t>22</w:t>
            </w:r>
            <w:r w:rsidR="00DB4771">
              <w:rPr>
                <w:noProof/>
                <w:webHidden/>
              </w:rPr>
              <w:fldChar w:fldCharType="end"/>
            </w:r>
          </w:hyperlink>
        </w:p>
        <w:p w14:paraId="79C8375B" w14:textId="6D7FA91D" w:rsidR="00DB4771" w:rsidRDefault="00415A4E">
          <w:pPr>
            <w:pStyle w:val="TM3"/>
            <w:rPr>
              <w:rFonts w:eastAsiaTheme="minorEastAsia"/>
              <w:noProof/>
              <w:lang w:eastAsia="fr-FR"/>
            </w:rPr>
          </w:pPr>
          <w:hyperlink w:anchor="_Toc228373045" w:history="1">
            <w:r w:rsidR="00DB4771" w:rsidRPr="00364064">
              <w:rPr>
                <w:rStyle w:val="Lienhypertexte"/>
                <w:noProof/>
              </w:rPr>
              <w:t>4.2.3.</w:t>
            </w:r>
            <w:r w:rsidR="00DB4771">
              <w:rPr>
                <w:rFonts w:eastAsiaTheme="minorEastAsia"/>
                <w:noProof/>
                <w:lang w:eastAsia="fr-FR"/>
              </w:rPr>
              <w:tab/>
            </w:r>
            <w:r w:rsidR="00DB4771" w:rsidRPr="00364064">
              <w:rPr>
                <w:rStyle w:val="Lienhypertexte"/>
                <w:noProof/>
              </w:rPr>
              <w:t>Base de données et structure GeoPackage (GPKG)</w:t>
            </w:r>
            <w:r w:rsidR="00DB4771">
              <w:rPr>
                <w:noProof/>
                <w:webHidden/>
              </w:rPr>
              <w:tab/>
            </w:r>
            <w:r w:rsidR="00DB4771">
              <w:rPr>
                <w:noProof/>
                <w:webHidden/>
              </w:rPr>
              <w:fldChar w:fldCharType="begin"/>
            </w:r>
            <w:r w:rsidR="00DB4771">
              <w:rPr>
                <w:noProof/>
                <w:webHidden/>
              </w:rPr>
              <w:instrText xml:space="preserve"> PAGEREF _Toc228373045 \h </w:instrText>
            </w:r>
            <w:r w:rsidR="00DB4771">
              <w:rPr>
                <w:noProof/>
                <w:webHidden/>
              </w:rPr>
            </w:r>
            <w:r w:rsidR="00DB4771">
              <w:rPr>
                <w:noProof/>
                <w:webHidden/>
              </w:rPr>
              <w:fldChar w:fldCharType="separate"/>
            </w:r>
            <w:r w:rsidR="0074233B">
              <w:rPr>
                <w:noProof/>
                <w:webHidden/>
              </w:rPr>
              <w:t>22</w:t>
            </w:r>
            <w:r w:rsidR="00DB4771">
              <w:rPr>
                <w:noProof/>
                <w:webHidden/>
              </w:rPr>
              <w:fldChar w:fldCharType="end"/>
            </w:r>
          </w:hyperlink>
        </w:p>
        <w:p w14:paraId="11009FFD" w14:textId="4E80773E" w:rsidR="00DB4771" w:rsidRDefault="00415A4E">
          <w:pPr>
            <w:pStyle w:val="TM2"/>
            <w:tabs>
              <w:tab w:val="left" w:pos="880"/>
              <w:tab w:val="right" w:leader="dot" w:pos="9060"/>
            </w:tabs>
            <w:rPr>
              <w:rFonts w:eastAsiaTheme="minorEastAsia"/>
              <w:noProof/>
              <w:lang w:eastAsia="fr-FR"/>
            </w:rPr>
          </w:pPr>
          <w:hyperlink w:anchor="_Toc228373046" w:history="1">
            <w:r w:rsidR="00DB4771" w:rsidRPr="00364064">
              <w:rPr>
                <w:rStyle w:val="Lienhypertexte"/>
                <w:rFonts w:eastAsiaTheme="majorEastAsia" w:cstheme="majorBidi"/>
                <w:noProof/>
              </w:rPr>
              <w:t>4.3.</w:t>
            </w:r>
            <w:r w:rsidR="00DB4771">
              <w:rPr>
                <w:rFonts w:eastAsiaTheme="minorEastAsia"/>
                <w:noProof/>
                <w:lang w:eastAsia="fr-FR"/>
              </w:rPr>
              <w:tab/>
            </w:r>
            <w:r w:rsidR="00DB4771" w:rsidRPr="00364064">
              <w:rPr>
                <w:rStyle w:val="Lienhypertexte"/>
                <w:rFonts w:eastAsiaTheme="majorEastAsia"/>
                <w:noProof/>
              </w:rPr>
              <w:t>Développement du modélisateur de bilan hydrique</w:t>
            </w:r>
            <w:r w:rsidR="00DB4771">
              <w:rPr>
                <w:noProof/>
                <w:webHidden/>
              </w:rPr>
              <w:tab/>
            </w:r>
            <w:r w:rsidR="00DB4771">
              <w:rPr>
                <w:noProof/>
                <w:webHidden/>
              </w:rPr>
              <w:fldChar w:fldCharType="begin"/>
            </w:r>
            <w:r w:rsidR="00DB4771">
              <w:rPr>
                <w:noProof/>
                <w:webHidden/>
              </w:rPr>
              <w:instrText xml:space="preserve"> PAGEREF _Toc228373046 \h </w:instrText>
            </w:r>
            <w:r w:rsidR="00DB4771">
              <w:rPr>
                <w:noProof/>
                <w:webHidden/>
              </w:rPr>
            </w:r>
            <w:r w:rsidR="00DB4771">
              <w:rPr>
                <w:noProof/>
                <w:webHidden/>
              </w:rPr>
              <w:fldChar w:fldCharType="separate"/>
            </w:r>
            <w:r w:rsidR="0074233B">
              <w:rPr>
                <w:noProof/>
                <w:webHidden/>
              </w:rPr>
              <w:t>22</w:t>
            </w:r>
            <w:r w:rsidR="00DB4771">
              <w:rPr>
                <w:noProof/>
                <w:webHidden/>
              </w:rPr>
              <w:fldChar w:fldCharType="end"/>
            </w:r>
          </w:hyperlink>
        </w:p>
        <w:p w14:paraId="60065F2F" w14:textId="00139A81" w:rsidR="00DB4771" w:rsidRDefault="00415A4E">
          <w:pPr>
            <w:pStyle w:val="TM3"/>
            <w:rPr>
              <w:rFonts w:eastAsiaTheme="minorEastAsia"/>
              <w:noProof/>
              <w:lang w:eastAsia="fr-FR"/>
            </w:rPr>
          </w:pPr>
          <w:hyperlink w:anchor="_Toc228373047" w:history="1">
            <w:r w:rsidR="00DB4771" w:rsidRPr="00364064">
              <w:rPr>
                <w:rStyle w:val="Lienhypertexte"/>
                <w:noProof/>
              </w:rPr>
              <w:t>4.3.1.</w:t>
            </w:r>
            <w:r w:rsidR="00DB4771">
              <w:rPr>
                <w:rFonts w:eastAsiaTheme="minorEastAsia"/>
                <w:noProof/>
                <w:lang w:eastAsia="fr-FR"/>
              </w:rPr>
              <w:tab/>
            </w:r>
            <w:r w:rsidR="00DB4771" w:rsidRPr="00364064">
              <w:rPr>
                <w:rStyle w:val="Lienhypertexte"/>
                <w:noProof/>
              </w:rPr>
              <w:t>Choix des variables du modèle</w:t>
            </w:r>
            <w:r w:rsidR="00DB4771">
              <w:rPr>
                <w:noProof/>
                <w:webHidden/>
              </w:rPr>
              <w:tab/>
            </w:r>
            <w:r w:rsidR="00DB4771">
              <w:rPr>
                <w:noProof/>
                <w:webHidden/>
              </w:rPr>
              <w:fldChar w:fldCharType="begin"/>
            </w:r>
            <w:r w:rsidR="00DB4771">
              <w:rPr>
                <w:noProof/>
                <w:webHidden/>
              </w:rPr>
              <w:instrText xml:space="preserve"> PAGEREF _Toc228373047 \h </w:instrText>
            </w:r>
            <w:r w:rsidR="00DB4771">
              <w:rPr>
                <w:noProof/>
                <w:webHidden/>
              </w:rPr>
            </w:r>
            <w:r w:rsidR="00DB4771">
              <w:rPr>
                <w:noProof/>
                <w:webHidden/>
              </w:rPr>
              <w:fldChar w:fldCharType="separate"/>
            </w:r>
            <w:r w:rsidR="0074233B">
              <w:rPr>
                <w:noProof/>
                <w:webHidden/>
              </w:rPr>
              <w:t>22</w:t>
            </w:r>
            <w:r w:rsidR="00DB4771">
              <w:rPr>
                <w:noProof/>
                <w:webHidden/>
              </w:rPr>
              <w:fldChar w:fldCharType="end"/>
            </w:r>
          </w:hyperlink>
        </w:p>
        <w:p w14:paraId="6F7E89B4" w14:textId="2361E008" w:rsidR="00DB4771" w:rsidRDefault="00415A4E">
          <w:pPr>
            <w:pStyle w:val="TM3"/>
            <w:rPr>
              <w:rFonts w:eastAsiaTheme="minorEastAsia"/>
              <w:noProof/>
              <w:lang w:eastAsia="fr-FR"/>
            </w:rPr>
          </w:pPr>
          <w:hyperlink w:anchor="_Toc228373048" w:history="1">
            <w:r w:rsidR="00DB4771" w:rsidRPr="00364064">
              <w:rPr>
                <w:rStyle w:val="Lienhypertexte"/>
                <w:noProof/>
              </w:rPr>
              <w:t>4.3.2.</w:t>
            </w:r>
            <w:r w:rsidR="00DB4771">
              <w:rPr>
                <w:rFonts w:eastAsiaTheme="minorEastAsia"/>
                <w:noProof/>
                <w:lang w:eastAsia="fr-FR"/>
              </w:rPr>
              <w:tab/>
            </w:r>
            <w:r w:rsidR="00DB4771" w:rsidRPr="00364064">
              <w:rPr>
                <w:rStyle w:val="Lienhypertexte"/>
                <w:noProof/>
              </w:rPr>
              <w:t>Structure du modélisateur R</w:t>
            </w:r>
            <w:r w:rsidR="00DB4771">
              <w:rPr>
                <w:noProof/>
                <w:webHidden/>
              </w:rPr>
              <w:tab/>
            </w:r>
            <w:r w:rsidR="00DB4771">
              <w:rPr>
                <w:noProof/>
                <w:webHidden/>
              </w:rPr>
              <w:fldChar w:fldCharType="begin"/>
            </w:r>
            <w:r w:rsidR="00DB4771">
              <w:rPr>
                <w:noProof/>
                <w:webHidden/>
              </w:rPr>
              <w:instrText xml:space="preserve"> PAGEREF _Toc228373048 \h </w:instrText>
            </w:r>
            <w:r w:rsidR="00DB4771">
              <w:rPr>
                <w:noProof/>
                <w:webHidden/>
              </w:rPr>
            </w:r>
            <w:r w:rsidR="00DB4771">
              <w:rPr>
                <w:noProof/>
                <w:webHidden/>
              </w:rPr>
              <w:fldChar w:fldCharType="separate"/>
            </w:r>
            <w:r w:rsidR="0074233B">
              <w:rPr>
                <w:noProof/>
                <w:webHidden/>
              </w:rPr>
              <w:t>23</w:t>
            </w:r>
            <w:r w:rsidR="00DB4771">
              <w:rPr>
                <w:noProof/>
                <w:webHidden/>
              </w:rPr>
              <w:fldChar w:fldCharType="end"/>
            </w:r>
          </w:hyperlink>
        </w:p>
        <w:p w14:paraId="6475B35A" w14:textId="2ECF8A50" w:rsidR="00DB4771" w:rsidRDefault="00415A4E">
          <w:pPr>
            <w:pStyle w:val="TM2"/>
            <w:tabs>
              <w:tab w:val="left" w:pos="880"/>
              <w:tab w:val="right" w:leader="dot" w:pos="9060"/>
            </w:tabs>
            <w:rPr>
              <w:rFonts w:eastAsiaTheme="minorEastAsia"/>
              <w:noProof/>
              <w:lang w:eastAsia="fr-FR"/>
            </w:rPr>
          </w:pPr>
          <w:hyperlink w:anchor="_Toc228373049" w:history="1">
            <w:r w:rsidR="00DB4771" w:rsidRPr="00364064">
              <w:rPr>
                <w:rStyle w:val="Lienhypertexte"/>
                <w:noProof/>
              </w:rPr>
              <w:t>4.4.</w:t>
            </w:r>
            <w:r w:rsidR="00DB4771">
              <w:rPr>
                <w:rFonts w:eastAsiaTheme="minorEastAsia"/>
                <w:noProof/>
                <w:lang w:eastAsia="fr-FR"/>
              </w:rPr>
              <w:tab/>
            </w:r>
            <w:r w:rsidR="00DB4771" w:rsidRPr="00364064">
              <w:rPr>
                <w:rStyle w:val="Lienhypertexte"/>
                <w:noProof/>
              </w:rPr>
              <w:t>Calibration et validation</w:t>
            </w:r>
            <w:r w:rsidR="00DB4771">
              <w:rPr>
                <w:noProof/>
                <w:webHidden/>
              </w:rPr>
              <w:tab/>
            </w:r>
            <w:r w:rsidR="00DB4771">
              <w:rPr>
                <w:noProof/>
                <w:webHidden/>
              </w:rPr>
              <w:fldChar w:fldCharType="begin"/>
            </w:r>
            <w:r w:rsidR="00DB4771">
              <w:rPr>
                <w:noProof/>
                <w:webHidden/>
              </w:rPr>
              <w:instrText xml:space="preserve"> PAGEREF _Toc228373049 \h </w:instrText>
            </w:r>
            <w:r w:rsidR="00DB4771">
              <w:rPr>
                <w:noProof/>
                <w:webHidden/>
              </w:rPr>
            </w:r>
            <w:r w:rsidR="00DB4771">
              <w:rPr>
                <w:noProof/>
                <w:webHidden/>
              </w:rPr>
              <w:fldChar w:fldCharType="separate"/>
            </w:r>
            <w:r w:rsidR="0074233B">
              <w:rPr>
                <w:noProof/>
                <w:webHidden/>
              </w:rPr>
              <w:t>24</w:t>
            </w:r>
            <w:r w:rsidR="00DB4771">
              <w:rPr>
                <w:noProof/>
                <w:webHidden/>
              </w:rPr>
              <w:fldChar w:fldCharType="end"/>
            </w:r>
          </w:hyperlink>
        </w:p>
        <w:p w14:paraId="126E725E" w14:textId="0EE63499" w:rsidR="00DB4771" w:rsidRDefault="00415A4E">
          <w:pPr>
            <w:pStyle w:val="TM3"/>
            <w:rPr>
              <w:rFonts w:eastAsiaTheme="minorEastAsia"/>
              <w:noProof/>
              <w:lang w:eastAsia="fr-FR"/>
            </w:rPr>
          </w:pPr>
          <w:hyperlink w:anchor="_Toc228373050" w:history="1">
            <w:r w:rsidR="00DB4771" w:rsidRPr="00364064">
              <w:rPr>
                <w:rStyle w:val="Lienhypertexte"/>
                <w:noProof/>
              </w:rPr>
              <w:t>4.4.1.</w:t>
            </w:r>
            <w:r w:rsidR="00DB4771">
              <w:rPr>
                <w:rFonts w:eastAsiaTheme="minorEastAsia"/>
                <w:noProof/>
                <w:lang w:eastAsia="fr-FR"/>
              </w:rPr>
              <w:tab/>
            </w:r>
            <w:r w:rsidR="00DB4771" w:rsidRPr="00364064">
              <w:rPr>
                <w:rStyle w:val="Lienhypertexte"/>
                <w:noProof/>
              </w:rPr>
              <w:t>Indicateurs de vulnérabilité climatique</w:t>
            </w:r>
            <w:r w:rsidR="00DB4771">
              <w:rPr>
                <w:noProof/>
                <w:webHidden/>
              </w:rPr>
              <w:tab/>
            </w:r>
            <w:r w:rsidR="00DB4771">
              <w:rPr>
                <w:noProof/>
                <w:webHidden/>
              </w:rPr>
              <w:fldChar w:fldCharType="begin"/>
            </w:r>
            <w:r w:rsidR="00DB4771">
              <w:rPr>
                <w:noProof/>
                <w:webHidden/>
              </w:rPr>
              <w:instrText xml:space="preserve"> PAGEREF _Toc228373050 \h </w:instrText>
            </w:r>
            <w:r w:rsidR="00DB4771">
              <w:rPr>
                <w:noProof/>
                <w:webHidden/>
              </w:rPr>
            </w:r>
            <w:r w:rsidR="00DB4771">
              <w:rPr>
                <w:noProof/>
                <w:webHidden/>
              </w:rPr>
              <w:fldChar w:fldCharType="separate"/>
            </w:r>
            <w:r w:rsidR="0074233B">
              <w:rPr>
                <w:noProof/>
                <w:webHidden/>
              </w:rPr>
              <w:t>25</w:t>
            </w:r>
            <w:r w:rsidR="00DB4771">
              <w:rPr>
                <w:noProof/>
                <w:webHidden/>
              </w:rPr>
              <w:fldChar w:fldCharType="end"/>
            </w:r>
          </w:hyperlink>
        </w:p>
        <w:p w14:paraId="32263E7D" w14:textId="3631494B" w:rsidR="00DB4771" w:rsidRDefault="00415A4E">
          <w:pPr>
            <w:pStyle w:val="TM1"/>
            <w:tabs>
              <w:tab w:val="left" w:pos="442"/>
              <w:tab w:val="right" w:leader="dot" w:pos="9060"/>
            </w:tabs>
            <w:rPr>
              <w:rFonts w:eastAsiaTheme="minorEastAsia"/>
              <w:noProof/>
              <w:lang w:eastAsia="fr-FR"/>
            </w:rPr>
          </w:pPr>
          <w:hyperlink w:anchor="_Toc228373051" w:history="1">
            <w:r w:rsidR="00DB4771" w:rsidRPr="00364064">
              <w:rPr>
                <w:rStyle w:val="Lienhypertexte"/>
                <w:noProof/>
              </w:rPr>
              <w:t>5.</w:t>
            </w:r>
            <w:r w:rsidR="00DB4771">
              <w:rPr>
                <w:rFonts w:eastAsiaTheme="minorEastAsia"/>
                <w:noProof/>
                <w:lang w:eastAsia="fr-FR"/>
              </w:rPr>
              <w:tab/>
            </w:r>
            <w:r w:rsidR="00DB4771" w:rsidRPr="00364064">
              <w:rPr>
                <w:rStyle w:val="Lienhypertexte"/>
                <w:noProof/>
              </w:rPr>
              <w:t>Analyse des résultats</w:t>
            </w:r>
            <w:r w:rsidR="00DB4771">
              <w:rPr>
                <w:noProof/>
                <w:webHidden/>
              </w:rPr>
              <w:tab/>
            </w:r>
            <w:r w:rsidR="00DB4771">
              <w:rPr>
                <w:noProof/>
                <w:webHidden/>
              </w:rPr>
              <w:fldChar w:fldCharType="begin"/>
            </w:r>
            <w:r w:rsidR="00DB4771">
              <w:rPr>
                <w:noProof/>
                <w:webHidden/>
              </w:rPr>
              <w:instrText xml:space="preserve"> PAGEREF _Toc228373051 \h </w:instrText>
            </w:r>
            <w:r w:rsidR="00DB4771">
              <w:rPr>
                <w:noProof/>
                <w:webHidden/>
              </w:rPr>
            </w:r>
            <w:r w:rsidR="00DB4771">
              <w:rPr>
                <w:noProof/>
                <w:webHidden/>
              </w:rPr>
              <w:fldChar w:fldCharType="separate"/>
            </w:r>
            <w:r w:rsidR="0074233B">
              <w:rPr>
                <w:noProof/>
                <w:webHidden/>
              </w:rPr>
              <w:t>25</w:t>
            </w:r>
            <w:r w:rsidR="00DB4771">
              <w:rPr>
                <w:noProof/>
                <w:webHidden/>
              </w:rPr>
              <w:fldChar w:fldCharType="end"/>
            </w:r>
          </w:hyperlink>
        </w:p>
        <w:p w14:paraId="0038200C" w14:textId="6928B3D2" w:rsidR="00DB4771" w:rsidRDefault="00415A4E">
          <w:pPr>
            <w:pStyle w:val="TM2"/>
            <w:tabs>
              <w:tab w:val="left" w:pos="880"/>
              <w:tab w:val="right" w:leader="dot" w:pos="9060"/>
            </w:tabs>
            <w:rPr>
              <w:rFonts w:eastAsiaTheme="minorEastAsia"/>
              <w:noProof/>
              <w:lang w:eastAsia="fr-FR"/>
            </w:rPr>
          </w:pPr>
          <w:hyperlink w:anchor="_Toc228373052" w:history="1">
            <w:r w:rsidR="00DB4771" w:rsidRPr="00364064">
              <w:rPr>
                <w:rStyle w:val="Lienhypertexte"/>
                <w:noProof/>
              </w:rPr>
              <w:t>5.1.</w:t>
            </w:r>
            <w:r w:rsidR="00DB4771">
              <w:rPr>
                <w:rFonts w:eastAsiaTheme="minorEastAsia"/>
                <w:noProof/>
                <w:lang w:eastAsia="fr-FR"/>
              </w:rPr>
              <w:tab/>
            </w:r>
            <w:r w:rsidR="00DB4771" w:rsidRPr="00364064">
              <w:rPr>
                <w:rStyle w:val="Lienhypertexte"/>
                <w:noProof/>
              </w:rPr>
              <w:t>Première sortie et comparaison terrain Chalamont</w:t>
            </w:r>
            <w:r w:rsidR="00DB4771">
              <w:rPr>
                <w:noProof/>
                <w:webHidden/>
              </w:rPr>
              <w:tab/>
            </w:r>
            <w:r w:rsidR="00DB4771">
              <w:rPr>
                <w:noProof/>
                <w:webHidden/>
              </w:rPr>
              <w:fldChar w:fldCharType="begin"/>
            </w:r>
            <w:r w:rsidR="00DB4771">
              <w:rPr>
                <w:noProof/>
                <w:webHidden/>
              </w:rPr>
              <w:instrText xml:space="preserve"> PAGEREF _Toc228373052 \h </w:instrText>
            </w:r>
            <w:r w:rsidR="00DB4771">
              <w:rPr>
                <w:noProof/>
                <w:webHidden/>
              </w:rPr>
            </w:r>
            <w:r w:rsidR="00DB4771">
              <w:rPr>
                <w:noProof/>
                <w:webHidden/>
              </w:rPr>
              <w:fldChar w:fldCharType="separate"/>
            </w:r>
            <w:r w:rsidR="0074233B">
              <w:rPr>
                <w:noProof/>
                <w:webHidden/>
              </w:rPr>
              <w:t>25</w:t>
            </w:r>
            <w:r w:rsidR="00DB4771">
              <w:rPr>
                <w:noProof/>
                <w:webHidden/>
              </w:rPr>
              <w:fldChar w:fldCharType="end"/>
            </w:r>
          </w:hyperlink>
        </w:p>
        <w:p w14:paraId="04322FA6" w14:textId="3E3E55EE" w:rsidR="00DB4771" w:rsidRDefault="00415A4E">
          <w:pPr>
            <w:pStyle w:val="TM2"/>
            <w:tabs>
              <w:tab w:val="left" w:pos="880"/>
              <w:tab w:val="right" w:leader="dot" w:pos="9060"/>
            </w:tabs>
            <w:rPr>
              <w:rFonts w:eastAsiaTheme="minorEastAsia"/>
              <w:noProof/>
              <w:lang w:eastAsia="fr-FR"/>
            </w:rPr>
          </w:pPr>
          <w:hyperlink w:anchor="_Toc228373053" w:history="1">
            <w:r w:rsidR="00DB4771" w:rsidRPr="00364064">
              <w:rPr>
                <w:rStyle w:val="Lienhypertexte"/>
                <w:noProof/>
              </w:rPr>
              <w:t>5.2.</w:t>
            </w:r>
            <w:r w:rsidR="00DB4771">
              <w:rPr>
                <w:rFonts w:eastAsiaTheme="minorEastAsia"/>
                <w:noProof/>
                <w:lang w:eastAsia="fr-FR"/>
              </w:rPr>
              <w:tab/>
            </w:r>
            <w:r w:rsidR="00DB4771" w:rsidRPr="00364064">
              <w:rPr>
                <w:rStyle w:val="Lienhypertexte"/>
                <w:noProof/>
              </w:rPr>
              <w:t>Calibration</w:t>
            </w:r>
            <w:r w:rsidR="00DB4771">
              <w:rPr>
                <w:noProof/>
                <w:webHidden/>
              </w:rPr>
              <w:tab/>
            </w:r>
            <w:r w:rsidR="00DB4771">
              <w:rPr>
                <w:noProof/>
                <w:webHidden/>
              </w:rPr>
              <w:fldChar w:fldCharType="begin"/>
            </w:r>
            <w:r w:rsidR="00DB4771">
              <w:rPr>
                <w:noProof/>
                <w:webHidden/>
              </w:rPr>
              <w:instrText xml:space="preserve"> PAGEREF _Toc228373053 \h </w:instrText>
            </w:r>
            <w:r w:rsidR="00DB4771">
              <w:rPr>
                <w:noProof/>
                <w:webHidden/>
              </w:rPr>
            </w:r>
            <w:r w:rsidR="00DB4771">
              <w:rPr>
                <w:noProof/>
                <w:webHidden/>
              </w:rPr>
              <w:fldChar w:fldCharType="separate"/>
            </w:r>
            <w:r w:rsidR="0074233B">
              <w:rPr>
                <w:noProof/>
                <w:webHidden/>
              </w:rPr>
              <w:t>25</w:t>
            </w:r>
            <w:r w:rsidR="00DB4771">
              <w:rPr>
                <w:noProof/>
                <w:webHidden/>
              </w:rPr>
              <w:fldChar w:fldCharType="end"/>
            </w:r>
          </w:hyperlink>
        </w:p>
        <w:p w14:paraId="145AAB21" w14:textId="7B7869DE" w:rsidR="00DB4771" w:rsidRDefault="00415A4E">
          <w:pPr>
            <w:pStyle w:val="TM3"/>
            <w:rPr>
              <w:rFonts w:eastAsiaTheme="minorEastAsia"/>
              <w:noProof/>
              <w:lang w:eastAsia="fr-FR"/>
            </w:rPr>
          </w:pPr>
          <w:hyperlink w:anchor="_Toc228373054" w:history="1">
            <w:r w:rsidR="00DB4771" w:rsidRPr="00364064">
              <w:rPr>
                <w:rStyle w:val="Lienhypertexte"/>
                <w:noProof/>
              </w:rPr>
              <w:t>5.2.1.</w:t>
            </w:r>
            <w:r w:rsidR="00DB4771">
              <w:rPr>
                <w:rFonts w:eastAsiaTheme="minorEastAsia"/>
                <w:noProof/>
                <w:lang w:eastAsia="fr-FR"/>
              </w:rPr>
              <w:tab/>
            </w:r>
            <w:r w:rsidR="00DB4771" w:rsidRPr="00364064">
              <w:rPr>
                <w:rStyle w:val="Lienhypertexte"/>
                <w:noProof/>
              </w:rPr>
              <w:t>Calibration Chalamont.</w:t>
            </w:r>
            <w:r w:rsidR="00DB4771">
              <w:rPr>
                <w:noProof/>
                <w:webHidden/>
              </w:rPr>
              <w:tab/>
            </w:r>
            <w:r w:rsidR="00DB4771">
              <w:rPr>
                <w:noProof/>
                <w:webHidden/>
              </w:rPr>
              <w:fldChar w:fldCharType="begin"/>
            </w:r>
            <w:r w:rsidR="00DB4771">
              <w:rPr>
                <w:noProof/>
                <w:webHidden/>
              </w:rPr>
              <w:instrText xml:space="preserve"> PAGEREF _Toc228373054 \h </w:instrText>
            </w:r>
            <w:r w:rsidR="00DB4771">
              <w:rPr>
                <w:noProof/>
                <w:webHidden/>
              </w:rPr>
            </w:r>
            <w:r w:rsidR="00DB4771">
              <w:rPr>
                <w:noProof/>
                <w:webHidden/>
              </w:rPr>
              <w:fldChar w:fldCharType="separate"/>
            </w:r>
            <w:r w:rsidR="0074233B">
              <w:rPr>
                <w:noProof/>
                <w:webHidden/>
              </w:rPr>
              <w:t>25</w:t>
            </w:r>
            <w:r w:rsidR="00DB4771">
              <w:rPr>
                <w:noProof/>
                <w:webHidden/>
              </w:rPr>
              <w:fldChar w:fldCharType="end"/>
            </w:r>
          </w:hyperlink>
        </w:p>
        <w:p w14:paraId="7563DF32" w14:textId="08AA905C" w:rsidR="00DB4771" w:rsidRDefault="00415A4E">
          <w:pPr>
            <w:pStyle w:val="TM3"/>
            <w:rPr>
              <w:rFonts w:eastAsiaTheme="minorEastAsia"/>
              <w:noProof/>
              <w:lang w:eastAsia="fr-FR"/>
            </w:rPr>
          </w:pPr>
          <w:hyperlink w:anchor="_Toc228373055" w:history="1">
            <w:r w:rsidR="00DB4771" w:rsidRPr="00364064">
              <w:rPr>
                <w:rStyle w:val="Lienhypertexte"/>
                <w:noProof/>
              </w:rPr>
              <w:t>5.2.2.</w:t>
            </w:r>
            <w:r w:rsidR="00DB4771">
              <w:rPr>
                <w:rFonts w:eastAsiaTheme="minorEastAsia"/>
                <w:noProof/>
                <w:lang w:eastAsia="fr-FR"/>
              </w:rPr>
              <w:tab/>
            </w:r>
            <w:r w:rsidR="00DB4771" w:rsidRPr="00364064">
              <w:rPr>
                <w:rStyle w:val="Lienhypertexte"/>
                <w:noProof/>
              </w:rPr>
              <w:t>Calibration Joyeux.</w:t>
            </w:r>
            <w:r w:rsidR="00DB4771">
              <w:rPr>
                <w:noProof/>
                <w:webHidden/>
              </w:rPr>
              <w:tab/>
            </w:r>
            <w:r w:rsidR="00DB4771">
              <w:rPr>
                <w:noProof/>
                <w:webHidden/>
              </w:rPr>
              <w:fldChar w:fldCharType="begin"/>
            </w:r>
            <w:r w:rsidR="00DB4771">
              <w:rPr>
                <w:noProof/>
                <w:webHidden/>
              </w:rPr>
              <w:instrText xml:space="preserve"> PAGEREF _Toc228373055 \h </w:instrText>
            </w:r>
            <w:r w:rsidR="00DB4771">
              <w:rPr>
                <w:noProof/>
                <w:webHidden/>
              </w:rPr>
            </w:r>
            <w:r w:rsidR="00DB4771">
              <w:rPr>
                <w:noProof/>
                <w:webHidden/>
              </w:rPr>
              <w:fldChar w:fldCharType="separate"/>
            </w:r>
            <w:r w:rsidR="0074233B">
              <w:rPr>
                <w:noProof/>
                <w:webHidden/>
              </w:rPr>
              <w:t>25</w:t>
            </w:r>
            <w:r w:rsidR="00DB4771">
              <w:rPr>
                <w:noProof/>
                <w:webHidden/>
              </w:rPr>
              <w:fldChar w:fldCharType="end"/>
            </w:r>
          </w:hyperlink>
        </w:p>
        <w:p w14:paraId="137682C1" w14:textId="09EAA254" w:rsidR="00DB4771" w:rsidRDefault="00415A4E">
          <w:pPr>
            <w:pStyle w:val="TM2"/>
            <w:tabs>
              <w:tab w:val="left" w:pos="880"/>
              <w:tab w:val="right" w:leader="dot" w:pos="9060"/>
            </w:tabs>
            <w:rPr>
              <w:rFonts w:eastAsiaTheme="minorEastAsia"/>
              <w:noProof/>
              <w:lang w:eastAsia="fr-FR"/>
            </w:rPr>
          </w:pPr>
          <w:hyperlink w:anchor="_Toc228373056" w:history="1">
            <w:r w:rsidR="00DB4771" w:rsidRPr="00364064">
              <w:rPr>
                <w:rStyle w:val="Lienhypertexte"/>
                <w:noProof/>
              </w:rPr>
              <w:t>5.3.</w:t>
            </w:r>
            <w:r w:rsidR="00DB4771">
              <w:rPr>
                <w:rFonts w:eastAsiaTheme="minorEastAsia"/>
                <w:noProof/>
                <w:lang w:eastAsia="fr-FR"/>
              </w:rPr>
              <w:tab/>
            </w:r>
            <w:r w:rsidR="00DB4771" w:rsidRPr="00364064">
              <w:rPr>
                <w:rStyle w:val="Lienhypertexte"/>
                <w:noProof/>
              </w:rPr>
              <w:t>Résultat sur les BV 1 et 19</w:t>
            </w:r>
            <w:r w:rsidR="00DB4771">
              <w:rPr>
                <w:noProof/>
                <w:webHidden/>
              </w:rPr>
              <w:tab/>
            </w:r>
            <w:r w:rsidR="00DB4771">
              <w:rPr>
                <w:noProof/>
                <w:webHidden/>
              </w:rPr>
              <w:fldChar w:fldCharType="begin"/>
            </w:r>
            <w:r w:rsidR="00DB4771">
              <w:rPr>
                <w:noProof/>
                <w:webHidden/>
              </w:rPr>
              <w:instrText xml:space="preserve"> PAGEREF _Toc228373056 \h </w:instrText>
            </w:r>
            <w:r w:rsidR="00DB4771">
              <w:rPr>
                <w:noProof/>
                <w:webHidden/>
              </w:rPr>
            </w:r>
            <w:r w:rsidR="00DB4771">
              <w:rPr>
                <w:noProof/>
                <w:webHidden/>
              </w:rPr>
              <w:fldChar w:fldCharType="separate"/>
            </w:r>
            <w:r w:rsidR="0074233B">
              <w:rPr>
                <w:noProof/>
                <w:webHidden/>
              </w:rPr>
              <w:t>25</w:t>
            </w:r>
            <w:r w:rsidR="00DB4771">
              <w:rPr>
                <w:noProof/>
                <w:webHidden/>
              </w:rPr>
              <w:fldChar w:fldCharType="end"/>
            </w:r>
          </w:hyperlink>
        </w:p>
        <w:p w14:paraId="4482F277" w14:textId="15F46E79" w:rsidR="00DB4771" w:rsidRDefault="00415A4E">
          <w:pPr>
            <w:pStyle w:val="TM2"/>
            <w:tabs>
              <w:tab w:val="left" w:pos="880"/>
              <w:tab w:val="right" w:leader="dot" w:pos="9060"/>
            </w:tabs>
            <w:rPr>
              <w:rFonts w:eastAsiaTheme="minorEastAsia"/>
              <w:noProof/>
              <w:lang w:eastAsia="fr-FR"/>
            </w:rPr>
          </w:pPr>
          <w:hyperlink w:anchor="_Toc228373057" w:history="1">
            <w:r w:rsidR="00DB4771" w:rsidRPr="00364064">
              <w:rPr>
                <w:rStyle w:val="Lienhypertexte"/>
                <w:noProof/>
              </w:rPr>
              <w:t>5.4.</w:t>
            </w:r>
            <w:r w:rsidR="00DB4771">
              <w:rPr>
                <w:rFonts w:eastAsiaTheme="minorEastAsia"/>
                <w:noProof/>
                <w:lang w:eastAsia="fr-FR"/>
              </w:rPr>
              <w:tab/>
            </w:r>
            <w:r w:rsidR="00DB4771" w:rsidRPr="00364064">
              <w:rPr>
                <w:rStyle w:val="Lienhypertexte"/>
                <w:noProof/>
              </w:rPr>
              <w:t>Analyse de vulnérabilité</w:t>
            </w:r>
            <w:r w:rsidR="00DB4771">
              <w:rPr>
                <w:noProof/>
                <w:webHidden/>
              </w:rPr>
              <w:tab/>
            </w:r>
            <w:r w:rsidR="00DB4771">
              <w:rPr>
                <w:noProof/>
                <w:webHidden/>
              </w:rPr>
              <w:fldChar w:fldCharType="begin"/>
            </w:r>
            <w:r w:rsidR="00DB4771">
              <w:rPr>
                <w:noProof/>
                <w:webHidden/>
              </w:rPr>
              <w:instrText xml:space="preserve"> PAGEREF _Toc228373057 \h </w:instrText>
            </w:r>
            <w:r w:rsidR="00DB4771">
              <w:rPr>
                <w:noProof/>
                <w:webHidden/>
              </w:rPr>
            </w:r>
            <w:r w:rsidR="00DB4771">
              <w:rPr>
                <w:noProof/>
                <w:webHidden/>
              </w:rPr>
              <w:fldChar w:fldCharType="separate"/>
            </w:r>
            <w:r w:rsidR="0074233B">
              <w:rPr>
                <w:noProof/>
                <w:webHidden/>
              </w:rPr>
              <w:t>25</w:t>
            </w:r>
            <w:r w:rsidR="00DB4771">
              <w:rPr>
                <w:noProof/>
                <w:webHidden/>
              </w:rPr>
              <w:fldChar w:fldCharType="end"/>
            </w:r>
          </w:hyperlink>
        </w:p>
        <w:p w14:paraId="6E9C9C97" w14:textId="4EB5BFFC" w:rsidR="00DB4771" w:rsidRDefault="00415A4E">
          <w:pPr>
            <w:pStyle w:val="TM1"/>
            <w:tabs>
              <w:tab w:val="left" w:pos="442"/>
              <w:tab w:val="right" w:leader="dot" w:pos="9060"/>
            </w:tabs>
            <w:rPr>
              <w:rFonts w:eastAsiaTheme="minorEastAsia"/>
              <w:noProof/>
              <w:lang w:eastAsia="fr-FR"/>
            </w:rPr>
          </w:pPr>
          <w:hyperlink w:anchor="_Toc228373058" w:history="1">
            <w:r w:rsidR="00DB4771" w:rsidRPr="00364064">
              <w:rPr>
                <w:rStyle w:val="Lienhypertexte"/>
                <w:noProof/>
              </w:rPr>
              <w:t>6.</w:t>
            </w:r>
            <w:r w:rsidR="00DB4771">
              <w:rPr>
                <w:rFonts w:eastAsiaTheme="minorEastAsia"/>
                <w:noProof/>
                <w:lang w:eastAsia="fr-FR"/>
              </w:rPr>
              <w:tab/>
            </w:r>
            <w:r w:rsidR="00DB4771" w:rsidRPr="00364064">
              <w:rPr>
                <w:rStyle w:val="Lienhypertexte"/>
                <w:noProof/>
              </w:rPr>
              <w:t>Discussion, limites</w:t>
            </w:r>
            <w:r w:rsidR="00DB4771">
              <w:rPr>
                <w:noProof/>
                <w:webHidden/>
              </w:rPr>
              <w:tab/>
            </w:r>
            <w:r w:rsidR="00DB4771">
              <w:rPr>
                <w:noProof/>
                <w:webHidden/>
              </w:rPr>
              <w:fldChar w:fldCharType="begin"/>
            </w:r>
            <w:r w:rsidR="00DB4771">
              <w:rPr>
                <w:noProof/>
                <w:webHidden/>
              </w:rPr>
              <w:instrText xml:space="preserve"> PAGEREF _Toc228373058 \h </w:instrText>
            </w:r>
            <w:r w:rsidR="00DB4771">
              <w:rPr>
                <w:noProof/>
                <w:webHidden/>
              </w:rPr>
            </w:r>
            <w:r w:rsidR="00DB4771">
              <w:rPr>
                <w:noProof/>
                <w:webHidden/>
              </w:rPr>
              <w:fldChar w:fldCharType="separate"/>
            </w:r>
            <w:r w:rsidR="0074233B">
              <w:rPr>
                <w:noProof/>
                <w:webHidden/>
              </w:rPr>
              <w:t>25</w:t>
            </w:r>
            <w:r w:rsidR="00DB4771">
              <w:rPr>
                <w:noProof/>
                <w:webHidden/>
              </w:rPr>
              <w:fldChar w:fldCharType="end"/>
            </w:r>
          </w:hyperlink>
        </w:p>
        <w:p w14:paraId="09303323" w14:textId="7CA4FA92" w:rsidR="00DB4771" w:rsidRDefault="00415A4E">
          <w:pPr>
            <w:pStyle w:val="TM1"/>
            <w:tabs>
              <w:tab w:val="left" w:pos="442"/>
              <w:tab w:val="right" w:leader="dot" w:pos="9060"/>
            </w:tabs>
            <w:rPr>
              <w:rFonts w:eastAsiaTheme="minorEastAsia"/>
              <w:noProof/>
              <w:lang w:eastAsia="fr-FR"/>
            </w:rPr>
          </w:pPr>
          <w:hyperlink w:anchor="_Toc228373059" w:history="1">
            <w:r w:rsidR="00DB4771" w:rsidRPr="00364064">
              <w:rPr>
                <w:rStyle w:val="Lienhypertexte"/>
                <w:noProof/>
              </w:rPr>
              <w:t>7.</w:t>
            </w:r>
            <w:r w:rsidR="00DB4771">
              <w:rPr>
                <w:rFonts w:eastAsiaTheme="minorEastAsia"/>
                <w:noProof/>
                <w:lang w:eastAsia="fr-FR"/>
              </w:rPr>
              <w:tab/>
            </w:r>
            <w:r w:rsidR="00DB4771" w:rsidRPr="00364064">
              <w:rPr>
                <w:rStyle w:val="Lienhypertexte"/>
                <w:noProof/>
              </w:rPr>
              <w:t>Conclusion</w:t>
            </w:r>
            <w:r w:rsidR="00DB4771">
              <w:rPr>
                <w:noProof/>
                <w:webHidden/>
              </w:rPr>
              <w:tab/>
            </w:r>
            <w:r w:rsidR="00DB4771">
              <w:rPr>
                <w:noProof/>
                <w:webHidden/>
              </w:rPr>
              <w:fldChar w:fldCharType="begin"/>
            </w:r>
            <w:r w:rsidR="00DB4771">
              <w:rPr>
                <w:noProof/>
                <w:webHidden/>
              </w:rPr>
              <w:instrText xml:space="preserve"> PAGEREF _Toc228373059 \h </w:instrText>
            </w:r>
            <w:r w:rsidR="00DB4771">
              <w:rPr>
                <w:noProof/>
                <w:webHidden/>
              </w:rPr>
            </w:r>
            <w:r w:rsidR="00DB4771">
              <w:rPr>
                <w:noProof/>
                <w:webHidden/>
              </w:rPr>
              <w:fldChar w:fldCharType="separate"/>
            </w:r>
            <w:r w:rsidR="0074233B">
              <w:rPr>
                <w:noProof/>
                <w:webHidden/>
              </w:rPr>
              <w:t>25</w:t>
            </w:r>
            <w:r w:rsidR="00DB4771">
              <w:rPr>
                <w:noProof/>
                <w:webHidden/>
              </w:rPr>
              <w:fldChar w:fldCharType="end"/>
            </w:r>
          </w:hyperlink>
        </w:p>
        <w:p w14:paraId="192676F2" w14:textId="550E3A29" w:rsidR="00DB4771" w:rsidRDefault="00415A4E">
          <w:pPr>
            <w:pStyle w:val="TM2"/>
            <w:tabs>
              <w:tab w:val="right" w:leader="dot" w:pos="9060"/>
            </w:tabs>
            <w:rPr>
              <w:rFonts w:eastAsiaTheme="minorEastAsia"/>
              <w:noProof/>
              <w:lang w:eastAsia="fr-FR"/>
            </w:rPr>
          </w:pPr>
          <w:hyperlink w:anchor="_Toc228373060" w:history="1">
            <w:r w:rsidR="00DB4771" w:rsidRPr="00364064">
              <w:rPr>
                <w:rStyle w:val="Lienhypertexte"/>
                <w:noProof/>
              </w:rPr>
              <w:t>Bibliographie :</w:t>
            </w:r>
            <w:r w:rsidR="00DB4771">
              <w:rPr>
                <w:noProof/>
                <w:webHidden/>
              </w:rPr>
              <w:tab/>
            </w:r>
            <w:r w:rsidR="00DB4771">
              <w:rPr>
                <w:noProof/>
                <w:webHidden/>
              </w:rPr>
              <w:fldChar w:fldCharType="begin"/>
            </w:r>
            <w:r w:rsidR="00DB4771">
              <w:rPr>
                <w:noProof/>
                <w:webHidden/>
              </w:rPr>
              <w:instrText xml:space="preserve"> PAGEREF _Toc228373060 \h </w:instrText>
            </w:r>
            <w:r w:rsidR="00DB4771">
              <w:rPr>
                <w:noProof/>
                <w:webHidden/>
              </w:rPr>
            </w:r>
            <w:r w:rsidR="00DB4771">
              <w:rPr>
                <w:noProof/>
                <w:webHidden/>
              </w:rPr>
              <w:fldChar w:fldCharType="separate"/>
            </w:r>
            <w:r w:rsidR="0074233B">
              <w:rPr>
                <w:noProof/>
                <w:webHidden/>
              </w:rPr>
              <w:t>25</w:t>
            </w:r>
            <w:r w:rsidR="00DB4771">
              <w:rPr>
                <w:noProof/>
                <w:webHidden/>
              </w:rPr>
              <w:fldChar w:fldCharType="end"/>
            </w:r>
          </w:hyperlink>
        </w:p>
        <w:p w14:paraId="707EA4F4" w14:textId="77777777" w:rsidR="00A66AD1" w:rsidRDefault="00302BE9">
          <w:pPr>
            <w:rPr>
              <w:b/>
              <w:bCs/>
              <w:noProof/>
            </w:rPr>
          </w:pPr>
          <w:r>
            <w:rPr>
              <w:b/>
              <w:bCs/>
              <w:noProof/>
            </w:rPr>
            <w:fldChar w:fldCharType="end"/>
          </w:r>
        </w:p>
      </w:sdtContent>
    </w:sdt>
    <w:p w14:paraId="36481F22" w14:textId="6D99FAA9" w:rsidR="00B91811" w:rsidRDefault="00302BE9" w:rsidP="00A66AD1">
      <w:r>
        <w:br w:type="page"/>
      </w:r>
      <w:bookmarkStart w:id="0" w:name="_Toc227761446"/>
      <w:proofErr w:type="spellStart"/>
      <w:proofErr w:type="gramStart"/>
      <w:r w:rsidR="00B91811">
        <w:lastRenderedPageBreak/>
        <w:t>réviation</w:t>
      </w:r>
      <w:bookmarkEnd w:id="0"/>
      <w:proofErr w:type="spellEnd"/>
      <w:proofErr w:type="gramEnd"/>
    </w:p>
    <w:p w14:paraId="245D30DE" w14:textId="3C353033" w:rsidR="00856708" w:rsidRDefault="00856708" w:rsidP="00064067">
      <w:pPr>
        <w:spacing w:line="180" w:lineRule="auto"/>
      </w:pPr>
      <w:r w:rsidRPr="00856708">
        <w:t xml:space="preserve">AMC : </w:t>
      </w:r>
      <w:proofErr w:type="spellStart"/>
      <w:r w:rsidRPr="00856708">
        <w:t>Antecedent</w:t>
      </w:r>
      <w:proofErr w:type="spellEnd"/>
      <w:r w:rsidRPr="00856708">
        <w:t xml:space="preserve"> </w:t>
      </w:r>
      <w:proofErr w:type="spellStart"/>
      <w:r w:rsidRPr="00856708">
        <w:t>Moisture</w:t>
      </w:r>
      <w:proofErr w:type="spellEnd"/>
      <w:r w:rsidRPr="00856708">
        <w:t xml:space="preserve"> Conditions (Conditions antérieures d'humidité)</w:t>
      </w:r>
    </w:p>
    <w:p w14:paraId="5F86F40F" w14:textId="64C10486" w:rsidR="00856708" w:rsidRDefault="00856708" w:rsidP="00064067">
      <w:pPr>
        <w:spacing w:line="180" w:lineRule="auto"/>
      </w:pPr>
      <w:r w:rsidRPr="00856708">
        <w:t>API : Indice de Précipitation Antécédente</w:t>
      </w:r>
    </w:p>
    <w:p w14:paraId="57BEDF95" w14:textId="0BC875D5" w:rsidR="00B91811" w:rsidRDefault="00B91811" w:rsidP="00064067">
      <w:pPr>
        <w:spacing w:line="180" w:lineRule="auto"/>
      </w:pPr>
      <w:r w:rsidRPr="00B91811">
        <w:t xml:space="preserve">APPED : Association de Promotion du Poisson des Étangs de la Dombes </w:t>
      </w:r>
    </w:p>
    <w:p w14:paraId="0228A351" w14:textId="7875AF3B" w:rsidR="00A91920" w:rsidRDefault="00A91920" w:rsidP="00064067">
      <w:pPr>
        <w:spacing w:line="180" w:lineRule="auto"/>
      </w:pPr>
      <w:r>
        <w:t>BV : Bassin versant</w:t>
      </w:r>
    </w:p>
    <w:p w14:paraId="44BCE447" w14:textId="5E7C0B00" w:rsidR="00B91811" w:rsidRPr="00B91811" w:rsidRDefault="00B91811" w:rsidP="00064067">
      <w:pPr>
        <w:spacing w:line="180" w:lineRule="auto"/>
      </w:pPr>
      <w:r w:rsidRPr="00B91811">
        <w:t xml:space="preserve">CCD : Communauté de Communes de la Dombes </w:t>
      </w:r>
    </w:p>
    <w:p w14:paraId="1D8E4E7D" w14:textId="5BD767C3" w:rsidR="00B91811" w:rsidRDefault="00B91811" w:rsidP="00064067">
      <w:pPr>
        <w:spacing w:line="180" w:lineRule="auto"/>
      </w:pPr>
      <w:r w:rsidRPr="00B91811">
        <w:t xml:space="preserve">CEN : Conservatoire d'Espaces Naturels </w:t>
      </w:r>
    </w:p>
    <w:p w14:paraId="71B490EF" w14:textId="460BD9F4" w:rsidR="00856708" w:rsidRDefault="00856708" w:rsidP="00064067">
      <w:pPr>
        <w:spacing w:line="180" w:lineRule="auto"/>
      </w:pPr>
      <w:r w:rsidRPr="00856708">
        <w:t>CEPMMT : Centre Européen pour les Prévisions Météorologiques à Moyen Terme</w:t>
      </w:r>
    </w:p>
    <w:p w14:paraId="4FB52D32" w14:textId="3249F326" w:rsidR="00856708" w:rsidRPr="00B91811" w:rsidRDefault="00856708" w:rsidP="00064067">
      <w:pPr>
        <w:spacing w:line="180" w:lineRule="auto"/>
      </w:pPr>
      <w:r w:rsidRPr="00856708">
        <w:t xml:space="preserve">CN : </w:t>
      </w:r>
      <w:proofErr w:type="spellStart"/>
      <w:r w:rsidRPr="00856708">
        <w:t>Curve</w:t>
      </w:r>
      <w:proofErr w:type="spellEnd"/>
      <w:r w:rsidRPr="00856708">
        <w:t xml:space="preserve"> </w:t>
      </w:r>
      <w:proofErr w:type="spellStart"/>
      <w:r w:rsidRPr="00856708">
        <w:t>Number</w:t>
      </w:r>
      <w:proofErr w:type="spellEnd"/>
      <w:r w:rsidRPr="00856708">
        <w:t xml:space="preserve"> (Nombre courbe)</w:t>
      </w:r>
    </w:p>
    <w:p w14:paraId="7765CAF4" w14:textId="1D5E28F7" w:rsidR="00B91811" w:rsidRDefault="00B91811" w:rsidP="00064067">
      <w:pPr>
        <w:spacing w:line="180" w:lineRule="auto"/>
      </w:pPr>
      <w:r w:rsidRPr="00B91811">
        <w:t xml:space="preserve">DRIAS : Données et Ressources pour l'Information sur l'Adaptation au changement climatique </w:t>
      </w:r>
    </w:p>
    <w:p w14:paraId="47FD2357" w14:textId="77777777" w:rsidR="00A91920" w:rsidRDefault="00A91920" w:rsidP="00064067">
      <w:pPr>
        <w:spacing w:line="180" w:lineRule="auto"/>
      </w:pPr>
      <w:r>
        <w:t>ETP : Évapotranspiration Potentielle</w:t>
      </w:r>
    </w:p>
    <w:p w14:paraId="405640B5" w14:textId="4FE323B1" w:rsidR="00A91920" w:rsidRPr="00B91811" w:rsidRDefault="00A91920" w:rsidP="00064067">
      <w:pPr>
        <w:spacing w:line="180" w:lineRule="auto"/>
      </w:pPr>
      <w:r>
        <w:t>ETR : Évapotranspiration Réelle</w:t>
      </w:r>
    </w:p>
    <w:p w14:paraId="1727DFAA" w14:textId="333E3A37" w:rsidR="00B91811" w:rsidRDefault="00B91811" w:rsidP="00064067">
      <w:pPr>
        <w:spacing w:line="180" w:lineRule="auto"/>
      </w:pPr>
      <w:r w:rsidRPr="00B91811">
        <w:t xml:space="preserve">GIEC : Groupe d'experts Intergouvernemental sur l'Évolution du Climat </w:t>
      </w:r>
    </w:p>
    <w:p w14:paraId="754C30B6" w14:textId="7B59495B" w:rsidR="00A91920" w:rsidRPr="00092867" w:rsidRDefault="00A91920" w:rsidP="00064067">
      <w:pPr>
        <w:spacing w:line="180" w:lineRule="auto"/>
        <w:rPr>
          <w:lang w:val="en-US"/>
        </w:rPr>
      </w:pPr>
      <w:proofErr w:type="gramStart"/>
      <w:r w:rsidRPr="00092867">
        <w:rPr>
          <w:lang w:val="en-US"/>
        </w:rPr>
        <w:t>GPKG :</w:t>
      </w:r>
      <w:proofErr w:type="gramEnd"/>
      <w:r w:rsidRPr="00092867">
        <w:rPr>
          <w:lang w:val="en-US"/>
        </w:rPr>
        <w:t xml:space="preserve"> </w:t>
      </w:r>
      <w:proofErr w:type="spellStart"/>
      <w:r w:rsidRPr="00092867">
        <w:rPr>
          <w:lang w:val="en-US"/>
        </w:rPr>
        <w:t>GeoPackage</w:t>
      </w:r>
      <w:proofErr w:type="spellEnd"/>
    </w:p>
    <w:p w14:paraId="015DAA3B" w14:textId="015843FF" w:rsidR="00856708" w:rsidRDefault="00A91920" w:rsidP="00064067">
      <w:pPr>
        <w:spacing w:line="180" w:lineRule="auto"/>
        <w:rPr>
          <w:rStyle w:val="hgkelc"/>
          <w:lang w:val="en"/>
        </w:rPr>
      </w:pPr>
      <w:r w:rsidRPr="00092867">
        <w:rPr>
          <w:lang w:val="en-US"/>
        </w:rPr>
        <w:t xml:space="preserve">GRASS </w:t>
      </w:r>
      <w:proofErr w:type="gramStart"/>
      <w:r w:rsidRPr="00092867">
        <w:rPr>
          <w:lang w:val="en-US"/>
        </w:rPr>
        <w:t>GIS :</w:t>
      </w:r>
      <w:proofErr w:type="gramEnd"/>
      <w:r w:rsidRPr="00092867">
        <w:rPr>
          <w:lang w:val="en-US"/>
        </w:rPr>
        <w:t xml:space="preserve"> </w:t>
      </w:r>
      <w:r>
        <w:rPr>
          <w:rStyle w:val="hgkelc"/>
          <w:lang w:val="en"/>
        </w:rPr>
        <w:t>Geographic Resources Analysis Support System</w:t>
      </w:r>
    </w:p>
    <w:p w14:paraId="323547B5" w14:textId="45F0B52A" w:rsidR="00856708" w:rsidRDefault="00856708" w:rsidP="00064067">
      <w:pPr>
        <w:spacing w:line="180" w:lineRule="auto"/>
        <w:rPr>
          <w:lang w:val="en-US"/>
        </w:rPr>
      </w:pPr>
      <w:proofErr w:type="spellStart"/>
      <w:proofErr w:type="gramStart"/>
      <w:r w:rsidRPr="00856708">
        <w:rPr>
          <w:lang w:val="en-US"/>
        </w:rPr>
        <w:t>Ia</w:t>
      </w:r>
      <w:proofErr w:type="spellEnd"/>
      <w:r w:rsidRPr="00856708">
        <w:rPr>
          <w:lang w:val="en-US"/>
        </w:rPr>
        <w:t xml:space="preserve"> :</w:t>
      </w:r>
      <w:proofErr w:type="gramEnd"/>
      <w:r w:rsidRPr="00856708">
        <w:rPr>
          <w:lang w:val="en-US"/>
        </w:rPr>
        <w:t xml:space="preserve"> Abstraction </w:t>
      </w:r>
      <w:proofErr w:type="spellStart"/>
      <w:r w:rsidRPr="00856708">
        <w:rPr>
          <w:lang w:val="en-US"/>
        </w:rPr>
        <w:t>initiale</w:t>
      </w:r>
      <w:proofErr w:type="spellEnd"/>
      <w:r w:rsidRPr="00856708">
        <w:rPr>
          <w:lang w:val="en-US"/>
        </w:rPr>
        <w:t xml:space="preserve"> (</w:t>
      </w:r>
      <w:proofErr w:type="spellStart"/>
      <w:r w:rsidRPr="00856708">
        <w:rPr>
          <w:lang w:val="en-US"/>
        </w:rPr>
        <w:t>quantité</w:t>
      </w:r>
      <w:proofErr w:type="spellEnd"/>
      <w:r w:rsidRPr="00856708">
        <w:rPr>
          <w:lang w:val="en-US"/>
        </w:rPr>
        <w:t xml:space="preserve"> </w:t>
      </w:r>
      <w:proofErr w:type="spellStart"/>
      <w:r w:rsidRPr="00856708">
        <w:rPr>
          <w:lang w:val="en-US"/>
        </w:rPr>
        <w:t>d'eau</w:t>
      </w:r>
      <w:proofErr w:type="spellEnd"/>
      <w:r w:rsidRPr="00856708">
        <w:rPr>
          <w:lang w:val="en-US"/>
        </w:rPr>
        <w:t xml:space="preserve"> </w:t>
      </w:r>
      <w:proofErr w:type="spellStart"/>
      <w:r w:rsidRPr="00856708">
        <w:rPr>
          <w:lang w:val="en-US"/>
        </w:rPr>
        <w:t>interceptée</w:t>
      </w:r>
      <w:proofErr w:type="spellEnd"/>
      <w:r w:rsidRPr="00856708">
        <w:rPr>
          <w:lang w:val="en-US"/>
        </w:rPr>
        <w:t>/</w:t>
      </w:r>
      <w:proofErr w:type="spellStart"/>
      <w:r w:rsidRPr="00856708">
        <w:rPr>
          <w:lang w:val="en-US"/>
        </w:rPr>
        <w:t>infiltrée</w:t>
      </w:r>
      <w:proofErr w:type="spellEnd"/>
      <w:r w:rsidRPr="00856708">
        <w:rPr>
          <w:lang w:val="en-US"/>
        </w:rPr>
        <w:t xml:space="preserve"> </w:t>
      </w:r>
      <w:proofErr w:type="spellStart"/>
      <w:r w:rsidRPr="00856708">
        <w:rPr>
          <w:lang w:val="en-US"/>
        </w:rPr>
        <w:t>avant</w:t>
      </w:r>
      <w:proofErr w:type="spellEnd"/>
      <w:r w:rsidRPr="00856708">
        <w:rPr>
          <w:lang w:val="en-US"/>
        </w:rPr>
        <w:t xml:space="preserve"> </w:t>
      </w:r>
      <w:proofErr w:type="spellStart"/>
      <w:r w:rsidRPr="00856708">
        <w:rPr>
          <w:lang w:val="en-US"/>
        </w:rPr>
        <w:t>ruissellement</w:t>
      </w:r>
      <w:proofErr w:type="spellEnd"/>
      <w:r w:rsidRPr="00856708">
        <w:rPr>
          <w:lang w:val="en-US"/>
        </w:rPr>
        <w:t>)</w:t>
      </w:r>
    </w:p>
    <w:p w14:paraId="6FBC3B52" w14:textId="0F9C7C6A" w:rsidR="00B91811" w:rsidRPr="00B91811" w:rsidRDefault="00A91920" w:rsidP="00064067">
      <w:pPr>
        <w:spacing w:line="180" w:lineRule="auto"/>
        <w:rPr>
          <w:lang w:val="en-US"/>
        </w:rPr>
      </w:pPr>
      <w:r w:rsidRPr="00B91811">
        <w:rPr>
          <w:lang w:val="en-US"/>
        </w:rPr>
        <w:t>IPCC</w:t>
      </w:r>
      <w:r>
        <w:rPr>
          <w:lang w:val="en-US"/>
        </w:rPr>
        <w:t>:</w:t>
      </w:r>
      <w:r w:rsidR="00B91811" w:rsidRPr="00B91811">
        <w:rPr>
          <w:lang w:val="en-US"/>
        </w:rPr>
        <w:t xml:space="preserve"> Intergovernmental Panel on Climate Change </w:t>
      </w:r>
    </w:p>
    <w:p w14:paraId="233CAC55" w14:textId="5A37F010" w:rsidR="00B91811" w:rsidRDefault="00B91811" w:rsidP="00064067">
      <w:pPr>
        <w:spacing w:line="180" w:lineRule="auto"/>
      </w:pPr>
      <w:r w:rsidRPr="00B91811">
        <w:t xml:space="preserve">ISARA : Institut Supérieur d'Agriculture et d'Agroalimentaire Rhône-Alpes </w:t>
      </w:r>
    </w:p>
    <w:p w14:paraId="2F01781F" w14:textId="0B113FA5" w:rsidR="00A91920" w:rsidRPr="00B91811" w:rsidRDefault="00A91920" w:rsidP="00064067">
      <w:pPr>
        <w:spacing w:line="180" w:lineRule="auto"/>
      </w:pPr>
      <w:proofErr w:type="spellStart"/>
      <w:r>
        <w:t>LiDAR</w:t>
      </w:r>
      <w:proofErr w:type="spellEnd"/>
      <w:r>
        <w:t xml:space="preserve"> : Light </w:t>
      </w:r>
      <w:proofErr w:type="spellStart"/>
      <w:r>
        <w:t>Detection</w:t>
      </w:r>
      <w:proofErr w:type="spellEnd"/>
      <w:r>
        <w:t xml:space="preserve"> and </w:t>
      </w:r>
      <w:proofErr w:type="spellStart"/>
      <w:r>
        <w:t>Ranging</w:t>
      </w:r>
      <w:proofErr w:type="spellEnd"/>
    </w:p>
    <w:p w14:paraId="69ABEFF3" w14:textId="516AC2A6" w:rsidR="00B91811" w:rsidRPr="00B91811" w:rsidRDefault="00B91811" w:rsidP="00064067">
      <w:pPr>
        <w:spacing w:line="180" w:lineRule="auto"/>
      </w:pPr>
      <w:r w:rsidRPr="00B91811">
        <w:t xml:space="preserve">LIFE : L'Instrument Financier pour l'Environnement </w:t>
      </w:r>
      <w:r w:rsidRPr="00B91811">
        <w:rPr>
          <w:i/>
          <w:iCs/>
        </w:rPr>
        <w:t>(programme européen)</w:t>
      </w:r>
      <w:r w:rsidRPr="00B91811">
        <w:t xml:space="preserve"> </w:t>
      </w:r>
    </w:p>
    <w:p w14:paraId="04212A87" w14:textId="07BA4994" w:rsidR="00B91811" w:rsidRPr="00B91811" w:rsidRDefault="00B91811" w:rsidP="00064067">
      <w:pPr>
        <w:spacing w:line="180" w:lineRule="auto"/>
      </w:pPr>
      <w:r w:rsidRPr="00B91811">
        <w:t xml:space="preserve">LPO : Ligue pour la Protection des Oiseaux </w:t>
      </w:r>
    </w:p>
    <w:p w14:paraId="07692A14" w14:textId="0BDB9325" w:rsidR="00B91811" w:rsidRDefault="00B91811" w:rsidP="00064067">
      <w:pPr>
        <w:spacing w:line="180" w:lineRule="auto"/>
      </w:pPr>
      <w:r w:rsidRPr="00B91811">
        <w:t xml:space="preserve">MFE : Mémoire de Fin d'Études </w:t>
      </w:r>
    </w:p>
    <w:p w14:paraId="4150533F" w14:textId="77777777" w:rsidR="00A91920" w:rsidRDefault="00A91920" w:rsidP="00064067">
      <w:pPr>
        <w:spacing w:line="180" w:lineRule="auto"/>
      </w:pPr>
      <w:r>
        <w:t>PSE : Paiements pour Services Environnementaux</w:t>
      </w:r>
    </w:p>
    <w:p w14:paraId="01A8BC66" w14:textId="74E9000B" w:rsidR="00A91920" w:rsidRDefault="00A91920" w:rsidP="00064067">
      <w:pPr>
        <w:spacing w:line="180" w:lineRule="auto"/>
      </w:pPr>
      <w:r>
        <w:t>QGIS : Quantum Geographic Information System</w:t>
      </w:r>
    </w:p>
    <w:p w14:paraId="29B38B60" w14:textId="62B40AE8" w:rsidR="00856708" w:rsidRDefault="00856708" w:rsidP="00064067">
      <w:pPr>
        <w:spacing w:line="180" w:lineRule="auto"/>
      </w:pPr>
      <w:r w:rsidRPr="00856708">
        <w:t xml:space="preserve">R / </w:t>
      </w:r>
      <w:proofErr w:type="spellStart"/>
      <w:r w:rsidRPr="00856708">
        <w:t>RStudio</w:t>
      </w:r>
      <w:proofErr w:type="spellEnd"/>
      <w:r w:rsidRPr="00856708">
        <w:t xml:space="preserve"> : Environnement de développement et langage de programmation</w:t>
      </w:r>
    </w:p>
    <w:p w14:paraId="30134990" w14:textId="785C64C9" w:rsidR="00856708" w:rsidRDefault="00856708" w:rsidP="00064067">
      <w:pPr>
        <w:spacing w:line="180" w:lineRule="auto"/>
      </w:pPr>
      <w:r w:rsidRPr="00856708">
        <w:t>S : Rétention maximale potentielle du sol</w:t>
      </w:r>
    </w:p>
    <w:p w14:paraId="21A13C91" w14:textId="77777777" w:rsidR="00A91920" w:rsidRDefault="00A91920" w:rsidP="00064067">
      <w:pPr>
        <w:spacing w:line="180" w:lineRule="auto"/>
      </w:pPr>
      <w:r>
        <w:t>SAFRAN : Système d'Analyse Fournissant des Renseignements Atmosphériques à la Neige</w:t>
      </w:r>
    </w:p>
    <w:p w14:paraId="058D87D9" w14:textId="0B9378C5" w:rsidR="00A91920" w:rsidRDefault="00A91920" w:rsidP="00064067">
      <w:pPr>
        <w:spacing w:line="180" w:lineRule="auto"/>
      </w:pPr>
      <w:r>
        <w:t xml:space="preserve">SCS-CN : </w:t>
      </w:r>
      <w:proofErr w:type="spellStart"/>
      <w:r>
        <w:t>Soil</w:t>
      </w:r>
      <w:proofErr w:type="spellEnd"/>
      <w:r>
        <w:t xml:space="preserve"> Conservation Service </w:t>
      </w:r>
      <w:proofErr w:type="spellStart"/>
      <w:r>
        <w:t>Curve</w:t>
      </w:r>
      <w:proofErr w:type="spellEnd"/>
      <w:r>
        <w:t xml:space="preserve"> </w:t>
      </w:r>
      <w:proofErr w:type="spellStart"/>
      <w:r>
        <w:t>Number</w:t>
      </w:r>
      <w:proofErr w:type="spellEnd"/>
    </w:p>
    <w:p w14:paraId="338CD9E3" w14:textId="6A8D9C90" w:rsidR="00856708" w:rsidRPr="00B91811" w:rsidRDefault="00856708" w:rsidP="00064067">
      <w:pPr>
        <w:spacing w:line="180" w:lineRule="auto"/>
      </w:pPr>
      <w:r w:rsidRPr="00856708">
        <w:t>SIG : Systèmes d'Information Géographique</w:t>
      </w:r>
    </w:p>
    <w:p w14:paraId="10D143B5" w14:textId="2D4E9241" w:rsidR="00B91811" w:rsidRDefault="00B91811" w:rsidP="00064067">
      <w:pPr>
        <w:spacing w:line="180" w:lineRule="auto"/>
      </w:pPr>
      <w:proofErr w:type="spellStart"/>
      <w:r w:rsidRPr="00B91811">
        <w:t>SCot</w:t>
      </w:r>
      <w:proofErr w:type="spellEnd"/>
      <w:r w:rsidRPr="00B91811">
        <w:t xml:space="preserve"> : Schéma de Cohérence Territoriale </w:t>
      </w:r>
    </w:p>
    <w:p w14:paraId="3A4D8607" w14:textId="7DDB90F7" w:rsidR="00A91920" w:rsidRPr="00B91811" w:rsidRDefault="00A91920" w:rsidP="00064067">
      <w:pPr>
        <w:spacing w:line="180" w:lineRule="auto"/>
      </w:pPr>
      <w:r>
        <w:t>SIM : Safran-Isba-</w:t>
      </w:r>
      <w:proofErr w:type="spellStart"/>
      <w:r>
        <w:t>Modcou</w:t>
      </w:r>
      <w:proofErr w:type="spellEnd"/>
    </w:p>
    <w:p w14:paraId="471F24C3" w14:textId="03FFA291" w:rsidR="00B91811" w:rsidRPr="00B91811" w:rsidRDefault="00B91811" w:rsidP="00064067">
      <w:pPr>
        <w:spacing w:line="180" w:lineRule="auto"/>
      </w:pPr>
      <w:r w:rsidRPr="00B91811">
        <w:t xml:space="preserve">SRTC : </w:t>
      </w:r>
      <w:r w:rsidR="00122EB0" w:rsidRPr="00122EB0">
        <w:t>Syndicat des rivières Dombes Chalaronne Bords de Saône</w:t>
      </w:r>
    </w:p>
    <w:p w14:paraId="44C391C2" w14:textId="55BC39C5" w:rsidR="00122EB0" w:rsidRDefault="00B91811" w:rsidP="00064067">
      <w:pPr>
        <w:spacing w:line="180" w:lineRule="auto"/>
      </w:pPr>
      <w:r w:rsidRPr="00B91811">
        <w:t xml:space="preserve">SRVV : </w:t>
      </w:r>
      <w:r w:rsidR="00122EB0" w:rsidRPr="00122EB0">
        <w:t xml:space="preserve">Syndicat Mixte Veyle Vivante </w:t>
      </w:r>
    </w:p>
    <w:p w14:paraId="31012544" w14:textId="0778AA8F" w:rsidR="00856708" w:rsidRDefault="00856708" w:rsidP="00064067">
      <w:pPr>
        <w:spacing w:line="180" w:lineRule="auto"/>
      </w:pPr>
      <w:r w:rsidRPr="00856708">
        <w:t>USDA : Département de l'Agriculture des États-Unis</w:t>
      </w:r>
    </w:p>
    <w:p w14:paraId="53579F5C" w14:textId="62BA5AC9" w:rsidR="00A91920" w:rsidRDefault="00B91811" w:rsidP="00064067">
      <w:pPr>
        <w:spacing w:line="180" w:lineRule="auto"/>
      </w:pPr>
      <w:r w:rsidRPr="00B91811">
        <w:t>WP2 : Work Package n°2 (Groupe de Travail n°2)</w:t>
      </w:r>
    </w:p>
    <w:p w14:paraId="34C95295" w14:textId="77777777" w:rsidR="00856708" w:rsidRDefault="00856708" w:rsidP="00064067">
      <w:pPr>
        <w:spacing w:line="180" w:lineRule="auto"/>
      </w:pPr>
      <w:proofErr w:type="gramStart"/>
      <w:r w:rsidRPr="00856708">
        <w:t>λ</w:t>
      </w:r>
      <w:proofErr w:type="gramEnd"/>
      <w:r w:rsidRPr="00856708">
        <w:t xml:space="preserve"> (Lambda) : Ratio d'abstraction initiale</w:t>
      </w:r>
    </w:p>
    <w:p w14:paraId="2375820B" w14:textId="3D181D3C" w:rsidR="00064067" w:rsidRDefault="00064067" w:rsidP="00064067">
      <w:pPr>
        <w:spacing w:line="180" w:lineRule="auto"/>
        <w:sectPr w:rsidR="00064067" w:rsidSect="00302BE9">
          <w:footerReference w:type="default" r:id="rId10"/>
          <w:pgSz w:w="11906" w:h="16838"/>
          <w:pgMar w:top="1418" w:right="1418" w:bottom="1418" w:left="1418" w:header="709" w:footer="709" w:gutter="0"/>
          <w:pgNumType w:start="1"/>
          <w:cols w:space="708"/>
          <w:docGrid w:linePitch="360"/>
        </w:sectPr>
      </w:pPr>
    </w:p>
    <w:p w14:paraId="3DC0B3AC" w14:textId="76A0480A" w:rsidR="009834C3" w:rsidRPr="009834C3" w:rsidRDefault="009834C3" w:rsidP="00F62683">
      <w:pPr>
        <w:pStyle w:val="Titre1"/>
        <w:numPr>
          <w:ilvl w:val="0"/>
          <w:numId w:val="12"/>
        </w:numPr>
        <w:spacing w:after="240" w:line="360" w:lineRule="auto"/>
      </w:pPr>
      <w:bookmarkStart w:id="1" w:name="_Toc228373026"/>
      <w:r w:rsidRPr="009834C3">
        <w:lastRenderedPageBreak/>
        <w:t>Introduction</w:t>
      </w:r>
      <w:bookmarkEnd w:id="1"/>
    </w:p>
    <w:p w14:paraId="59E028DE" w14:textId="47CF1E6C" w:rsidR="00F62683" w:rsidRDefault="00AB3E83" w:rsidP="00F62683">
      <w:pPr>
        <w:spacing w:after="240" w:line="360" w:lineRule="auto"/>
        <w:jc w:val="both"/>
      </w:pPr>
      <w:r>
        <w:t>La gestion de la ressource en eau constitue aujourd'hui un défi majeur qui remet en question l'ensemble de nos systèmes agricoles</w:t>
      </w:r>
      <w:r w:rsidR="00FE476E">
        <w:t xml:space="preserve"> </w:t>
      </w:r>
      <w:r w:rsidR="00C01B55">
        <w:fldChar w:fldCharType="begin"/>
      </w:r>
      <w:r w:rsidR="00C01B55">
        <w:instrText xml:space="preserve"> ADDIN ZOTERO_ITEM CSL_CITATION {"citationID":"jQZG3cvL","properties":{"formattedCitation":"(Grimonprez, 2020)","plainCitation":"(Grimonprez, 2020)","noteIndex":0},"citationItems":[{"id":418,"uris":["http://zotero.org/users/16716349/items/NNZDBPFC"],"itemData":{"id":418,"type":"article-journal","language":"fr","source":"Zotero","title":"Le stockage agricole de l'eau: l'adaptation idéale au changement climatique?","author":[{"family":"Grimonprez","given":"Benoît"}],"issued":{"date-parts":[["2020",8,13]]}}}],"schema":"https://github.com/citation-style-language/schema/raw/master/csl-citation.json"} </w:instrText>
      </w:r>
      <w:r w:rsidR="00C01B55">
        <w:fldChar w:fldCharType="separate"/>
      </w:r>
      <w:r w:rsidR="00C01B55" w:rsidRPr="00C01B55">
        <w:rPr>
          <w:rFonts w:ascii="Calibri" w:hAnsi="Calibri" w:cs="Calibri"/>
        </w:rPr>
        <w:t>(Grimonprez, 2020)</w:t>
      </w:r>
      <w:r w:rsidR="00C01B55">
        <w:fldChar w:fldCharType="end"/>
      </w:r>
      <w:r w:rsidR="00FE476E">
        <w:t xml:space="preserve">. </w:t>
      </w:r>
      <w:r>
        <w:t>Un questionnement fondamental émerge : disposerons-nous d'assez d'eau dans un futur proche pour maintenir nos modes de vie et nos productions ? Cette problématique est au cœur de nombreux débats sur la scène scientifique</w:t>
      </w:r>
      <w:r w:rsidR="00C62ACC">
        <w:t xml:space="preserve"> et politique </w:t>
      </w:r>
      <w:r w:rsidR="00C01B55">
        <w:fldChar w:fldCharType="begin"/>
      </w:r>
      <w:r w:rsidR="00C01B55">
        <w:instrText xml:space="preserve"> ADDIN ZOTERO_ITEM CSL_CITATION {"citationID":"8cc1DlCk","properties":{"formattedCitation":"(Soubeyroux {\\i{}et al.}, 2011)","plainCitation":"(Soubeyroux et al., 2011)","noteIndex":0},"citationItems":[{"id":420,"uris":["http://zotero.org/users/16716349/items/YNG6YI58"],"itemData":{"id":420,"type":"thesis","abstract":"Le projet CLIMSEC mené par la Direction de la Climatologie de Météo-France avec le soutien de la Fondation MAIF a permis de caractériser la typologie des sécheresses en métropole sur la période 1958-2008 et d'établir un diagnostic sur leurs évolutions attendues au cours du XXIe siècle. L'étude en climat actuel s'est appuyée sur une modélisation rétrospective de l'humidité du sol sur 50 ans avec la chaîne hydrométéorologique Safran-Isba-Modcou (SIM). La réanalyse SIM établie dans le cadre du projet a fait l'objet d'une évaluation particulière pour vérifier son homogénéité temporelle et a permis d'établir une climatologie à haute résolution de l'humidité des sols en métropole. Les différents types de sécheresse (météorologique, agricole, hydrologique) ont été caractérisés à partir d'indicateurs standardisés. Ces indicateurs permettent à la fois de garantir la cohérence spatiale des analyses à différents pas de temps et la détermination des caractéristiques des évènements: début, fin, sévérité, magnitude. Cet outil a été d'abord utilisé à des fins de description comparative des épisodes marquants de sécheresse rencontrés au cours des 50 dernières années (tels que l'été 1976, les années 1989-1990, l'été 2003) en termes de caractéristiques moyennes (durée et surface moyennes, magnitude totale) mais aussi de déficits records sur la période considérée. Une climatologie spatialisée des sécheresses en métropole a ensuite été établie dont la valeur et l'originalité ont été notamment reconnues par l'attribution du prix Norbert Gerbier Mumm de l'OMM en 2010. Elle a mis en évidence les disparités régionales notamment en termes de durée, de sévérité moyenne puis a permis une qualification des événements extrêmes observés sur la période considérée. La deuxième partie de l'étude a été consacrée à l'évaluation des caractéristiques futures des sécheresses sous changement climatique à l'aide des indices standardisés développés dans le projet et en s'appuyant sur les différentes projections climatiques régionalisées disponibles en métropole et issus des travaux de l'AR4 du GIEC. La caractérisation des sécheresses a pris particulièrement en compte les différentes sources d'incertitude, liées aux modèles climatiques globaux, aux scénarios socio-économiques et aux méthodes de régionalisation. La pertinence des jeux de données et des différentes méthodes utilisées, notamment en contexte climatique non stationnaire, a fait l'objet d'une attention particulière. Les incertitudes sur l'évolution des caractéristiques des sécheresses ont été décrites à la fois dans leurs dimensions moyennes mais aussi en terme de variabilité régionale et saisonnière. Au final, les convergences des résultats issus des différentes projections climatiques permettent d'apporter un diagnostic complet sur la compréhension des éléments majeurs de l'aggravation des sécheresses au cours du XXIe siècle et une mise en perspective dans le cadre des démarches pour l'adaptation au changement climatique.","genre":"report","language":"fr","note":"page: 72","publisher":"irstea","source":"hal.inrae.fr","title":"Projet ClimSec. Impact du changement climatique en France sur la sécheresse et l'eau du sol. Rapport final","URL":"https://hal.inrae.fr/hal-02595492","author":[{"family":"Soubeyroux","given":"J. M."},{"family":"Vidal","given":"Jean-Philippe"},{"family":"Najac","given":"J."},{"family":"Kitova","given":"N."},{"family":"Blanchard","given":"M."},{"family":"Dandin","given":"P."},{"family":"Martin","given":"Eric"},{"family":"Pagé","given":"Christian"},{"family":"Habets","given":"F."}],"accessed":{"date-parts":[["2026",3,30]]},"issued":{"date-parts":[["2011"]]}}}],"schema":"https://github.com/citation-style-language/schema/raw/master/csl-citation.json"} </w:instrText>
      </w:r>
      <w:r w:rsidR="00C01B55">
        <w:fldChar w:fldCharType="separate"/>
      </w:r>
      <w:r w:rsidR="00C01B55" w:rsidRPr="00C01B55">
        <w:rPr>
          <w:rFonts w:ascii="Calibri" w:hAnsi="Calibri" w:cs="Calibri"/>
          <w:szCs w:val="24"/>
        </w:rPr>
        <w:t xml:space="preserve">(Soubeyroux </w:t>
      </w:r>
      <w:r w:rsidR="00C01B55" w:rsidRPr="00C01B55">
        <w:rPr>
          <w:rFonts w:ascii="Calibri" w:hAnsi="Calibri" w:cs="Calibri"/>
          <w:i/>
          <w:iCs/>
          <w:szCs w:val="24"/>
        </w:rPr>
        <w:t>et al.</w:t>
      </w:r>
      <w:r w:rsidR="00C01B55" w:rsidRPr="00C01B55">
        <w:rPr>
          <w:rFonts w:ascii="Calibri" w:hAnsi="Calibri" w:cs="Calibri"/>
          <w:szCs w:val="24"/>
        </w:rPr>
        <w:t>, 2011)</w:t>
      </w:r>
      <w:r w:rsidR="00C01B55">
        <w:fldChar w:fldCharType="end"/>
      </w:r>
      <w:r w:rsidR="00C62ACC">
        <w:t>. P</w:t>
      </w:r>
      <w:r>
        <w:t>lusieurs études sont menées à l'échelle mondiale, européenne, et plus particulièrement en France. À titre d'exemple, dès 2015, lors d'un colloque inter-associatif, des collectifs de scientifiques sonnaient l'alarme sur une diminution de près de 30 % de la ressource en eau de surface sur les rives de la Méditerranée d’ici 2050, le tout corrélé à une augmentation constante de la population. Ce contexte pousse à la mise en place de plans de gestion de l'eau pour assurer une distribution équitable de la ressource, tout en visant une réduction des consommations sans pénaliser les filières qui en dépendent</w:t>
      </w:r>
      <w:r w:rsidR="00D1662B">
        <w:t xml:space="preserve"> </w:t>
      </w:r>
      <w:r w:rsidR="008E6356">
        <w:fldChar w:fldCharType="begin"/>
      </w:r>
      <w:r w:rsidR="008E6356">
        <w:instrText xml:space="preserve"> ADDIN ZOTERO_ITEM CSL_CITATION {"citationID":"XClXiyij","properties":{"formattedCitation":"(Verdier, Viollet, 2015)","plainCitation":"(Verdier, Viollet, 2015)","noteIndex":0},"citationItems":[{"id":400,"uris":["http://zotero.org/users/16716349/items/G8K6IH2P"],"itemData":{"id":400,"type":"article-journal","abstract":"Abstract. Climate change will induce a rainfall decrease, especially in the Mediterranean region. There will be also a reduction of snow cover and ice sheet in altitude, causing a runoff decrease on rivers fed by spring and summer snow and ice melting, at the time of freshwater peak demand. Climate change and other global changes (ie demography) combine their effects. Groundwater over</w:instrText>
      </w:r>
      <w:r w:rsidR="008E6356">
        <w:rPr>
          <w:rFonts w:ascii="Cambria Math" w:hAnsi="Cambria Math" w:cs="Cambria Math"/>
        </w:rPr>
        <w:instrText>‑</w:instrText>
      </w:r>
      <w:r w:rsidR="008E6356">
        <w:instrText>exploitation induces a lowering of the water table, and water quality degradation. Important consequences are expected for agriculture, hydro renewable energy generation, water quality, aquatic ecosystems and biodiversity, economy development, and population displacements. Major water crisis can be expected by 2050 or earlier. Between the Northern and Southern banks of the Mediterranean, there are differ</w:instrText>
      </w:r>
      <w:r w:rsidR="008E6356">
        <w:rPr>
          <w:rFonts w:ascii="Cambria Math" w:hAnsi="Cambria Math" w:cs="Cambria Math"/>
        </w:rPr>
        <w:instrText>‑</w:instrText>
      </w:r>
      <w:r w:rsidR="008E6356">
        <w:instrText>ences, but the situation is by many aspects similar, of course much more severe on the South than the North. Adaptation measures do exist : demand management, new agricultural practices, water recycling, reservoir building and desa</w:instrText>
      </w:r>
      <w:r w:rsidR="008E6356">
        <w:rPr>
          <w:rFonts w:ascii="Cambria Math" w:hAnsi="Cambria Math" w:cs="Cambria Math"/>
        </w:rPr>
        <w:instrText>‑</w:instrText>
      </w:r>
      <w:r w:rsidR="008E6356">
        <w:instrText xml:space="preserve">linisation plants as well as the improvement of efficiency and of production, transportation and distribution systems. The implementation of those solutions requires political decisions and economical inputs. Governance adaptation should be developed to improve the water crisis anticipation capacity.","container-title":"La Houille Blanche","DOI":"10.1051/lhb/20150075","ISSN":"0018-6368, 1958-5551","issue":"6","journalAbbreviation":"La Houille Blanche","language":"fr","page":"102-107","source":"DOI.org (Crossref)","title":"Les tensions sur l'eau en Europe et dans le bassin méditerranéen. Des crises de l'eau d'ici 2050","volume":"101","author":[{"family":"Verdier","given":"Jean"},{"family":"Viollet","given":"Pierre-Louis"}],"issued":{"date-parts":[["2015",12,1]]}}}],"schema":"https://github.com/citation-style-language/schema/raw/master/csl-citation.json"} </w:instrText>
      </w:r>
      <w:r w:rsidR="008E6356">
        <w:fldChar w:fldCharType="separate"/>
      </w:r>
      <w:r w:rsidR="008E6356" w:rsidRPr="008E6356">
        <w:rPr>
          <w:rFonts w:ascii="Calibri" w:hAnsi="Calibri" w:cs="Calibri"/>
        </w:rPr>
        <w:t>(Verdier, Viollet, 2015)</w:t>
      </w:r>
      <w:r w:rsidR="008E6356">
        <w:fldChar w:fldCharType="end"/>
      </w:r>
      <w:r w:rsidR="00D1662B">
        <w:t>.</w:t>
      </w:r>
    </w:p>
    <w:p w14:paraId="53A1D426" w14:textId="64B5F095" w:rsidR="00081E79" w:rsidRDefault="00081E79" w:rsidP="00F62683">
      <w:pPr>
        <w:spacing w:after="240" w:line="360" w:lineRule="auto"/>
        <w:jc w:val="both"/>
      </w:pPr>
      <w:r>
        <w:t>Cette vulnérabilité de la ressource est étroitement liée au changement climatique. Selon les derniers rapports du GIEC, une augmentation de la température globale de 3°C d'ici la fin du XXIe siècle entraînerait une intensification des phénomènes extrêmes. Ce réchauffement provoque, d'une part, des vagues de chaleur plus fréquentes et intenses, aggravant les sécheresses agricoles et écologiques. D'autre part, il perturbe le cycle hydrologique : pour chaque degré de réchauffement supplémentaire, l'atmosphère peut contenir environ 7 % d'humidité en plus, ce qui intensifie la violence des précipitations et augmente les risques d'inondations et de dégâts structurels</w:t>
      </w:r>
      <w:r w:rsidR="00D1662B">
        <w:t xml:space="preserve"> </w:t>
      </w:r>
      <w:r w:rsidR="008E6356">
        <w:fldChar w:fldCharType="begin"/>
      </w:r>
      <w:r w:rsidR="008E6356">
        <w:instrText xml:space="preserve"> ADDIN ZOTERO_ITEM CSL_CITATION {"citationID":"tKScelWT","properties":{"formattedCitation":"(GIEC, 2021)","plainCitation":"(GIEC, 2021)","noteIndex":0},"citationItems":[{"id":409,"uris":["http://zotero.org/users/16716349/items/WMZ996PX"],"itemData":{"id":409,"type":"post-weblog","abstract":"Ce rapport fournit un résumé de la compréhension de l'état actuel du climat, y compris la façon dont il change et la rôle de l'influence humaine, l'état des connaissances sur les futurs climatiques possibles, les informations climatiques pertinentes pour les régions et les secteurs, et limiter les changements climatiques induits par l'homme.","container-title":"France Villes et territoires Durables","language":"fr-FR","title-short":"Rapport du groupe de travail n.1 du GIEC - Changement climatique 2021","URL":"https://francevilledurable.fr/outils/rapport-du-groupe-de-travail-n-1-du-giec-changement-climatique-2021-les-bases-des-sciences-physiques/","author":[{"family":"GIEC","given":""}],"accessed":{"date-parts":[["2026",3,20]]},"issued":{"date-parts":[["2021"]]}}}],"schema":"https://github.com/citation-style-language/schema/raw/master/csl-citation.json"} </w:instrText>
      </w:r>
      <w:r w:rsidR="008E6356">
        <w:fldChar w:fldCharType="separate"/>
      </w:r>
      <w:r w:rsidR="008E6356" w:rsidRPr="008E6356">
        <w:rPr>
          <w:rFonts w:ascii="Calibri" w:hAnsi="Calibri" w:cs="Calibri"/>
        </w:rPr>
        <w:t>(GIEC, 2021)</w:t>
      </w:r>
      <w:r w:rsidR="008E6356">
        <w:fldChar w:fldCharType="end"/>
      </w:r>
      <w:r w:rsidR="00D1662B">
        <w:t>.</w:t>
      </w:r>
    </w:p>
    <w:p w14:paraId="178A24B4" w14:textId="32DB6C35" w:rsidR="00BB582A" w:rsidRDefault="00BB582A" w:rsidP="00F62683">
      <w:pPr>
        <w:spacing w:after="240" w:line="360" w:lineRule="auto"/>
        <w:jc w:val="both"/>
      </w:pPr>
      <w:r>
        <w:t xml:space="preserve">En France, cette tendance est déjà marquée par une augmentation de la température moyenne de 2,2°C depuis 1900, avec neuf des dix années les plus chaudes enregistrées après 2010. Ces évolutions font peser une menace directe sur la biodiversité et accentuent les risques d’inondations ou de submersions marines. À l'échelle de l'Hexagone, les projections indiquent une diminution allant jusqu'à 40 % de l'enneigement en moyenne montagne et une disparition quasi totale des glaciers alpins d'ici 2100 </w:t>
      </w:r>
      <w:r w:rsidR="008E6356">
        <w:fldChar w:fldCharType="begin"/>
      </w:r>
      <w:r w:rsidR="008E6356">
        <w:instrText xml:space="preserve"> ADDIN ZOTERO_ITEM CSL_CITATION {"citationID":"wavGqClJ","properties":{"formattedCitation":"(Minist\\uc0\\u232{}res Am\\uc0\\u233{}nagement du territoire Transition \\uc0\\u233{}cologique, 2024)","plainCitation":"(Ministères Aménagement du territoire Transition écologique, 2024)","noteIndex":0},"citationItems":[{"id":413,"uris":["http://zotero.org/users/16716349/items/JTVH8ANP"],"itemData":{"id":413,"type":"webpage","abstract":"Découvrez la nouvelle exposition pédagogique sur le changement climatique intitulée « Changement climatique : comprendre et agir ».","language":"fr","title":"Exposition sur le changement climatique | Ministères Aménagement du territoire Transition écologique","URL":"https://www.ecologie.gouv.fr/politiques-publiques/exposition-changement-climatique","author":[{"family":"Ministères Aménagement du territoire Transition écologique","given":""}],"accessed":{"date-parts":[["2026",3,20]]},"issued":{"date-parts":[["2024"]]}}}],"schema":"https://github.com/citation-style-language/schema/raw/master/csl-citation.json"} </w:instrText>
      </w:r>
      <w:r w:rsidR="008E6356">
        <w:fldChar w:fldCharType="separate"/>
      </w:r>
      <w:r w:rsidR="008E6356" w:rsidRPr="008E6356">
        <w:rPr>
          <w:rFonts w:ascii="Calibri" w:hAnsi="Calibri" w:cs="Calibri"/>
          <w:szCs w:val="24"/>
        </w:rPr>
        <w:t>(Ministères Aménagement du territoire Transition écologique, 2024)</w:t>
      </w:r>
      <w:r w:rsidR="008E6356">
        <w:fldChar w:fldCharType="end"/>
      </w:r>
      <w:r w:rsidR="00D1662B">
        <w:t>.</w:t>
      </w:r>
    </w:p>
    <w:p w14:paraId="3449E61C" w14:textId="1EC33F8E" w:rsidR="008B08A7" w:rsidRDefault="00AE161C" w:rsidP="00F62683">
      <w:pPr>
        <w:spacing w:after="240" w:line="360" w:lineRule="auto"/>
        <w:jc w:val="both"/>
      </w:pPr>
      <w:r>
        <w:t xml:space="preserve">Comme plusieurs études l'ont montré, les zones humides, étangs et rivières figurent parmi les premiers écosystèmes affectés par ces changements climatiques </w:t>
      </w:r>
      <w:r w:rsidR="008E6356">
        <w:fldChar w:fldCharType="begin"/>
      </w:r>
      <w:r w:rsidR="008E6356">
        <w:instrText xml:space="preserve"> ADDIN ZOTERO_ITEM CSL_CITATION {"citationID":"bT3NgeQx","properties":{"formattedCitation":"(Secr\\uc0\\u233{}tariat de la Convention de Ramsar, 2018)","plainCitation":"(Secrétariat de la Convention de Ramsar, 2018)","noteIndex":0},"citationItems":[{"id":428,"uris":["http://zotero.org/users/16716349/items/LJZADCWT"],"itemData":{"id":428,"type":"webpage","container-title":"Global Wetland Outlook","language":"en-GB","title":"GWO 2018","URL":"https://www.global-wetland-outlook.ramsar.org/gwo-2018","author":[{"family":"Secrétariat de la Convention de Ramsar","given":""}],"accessed":{"date-parts":[["2026",4,8]]},"issued":{"date-parts":[["2018"]]}}}],"schema":"https://github.com/citation-style-language/schema/raw/master/csl-citation.json"} </w:instrText>
      </w:r>
      <w:r w:rsidR="008E6356">
        <w:fldChar w:fldCharType="separate"/>
      </w:r>
      <w:r w:rsidR="008E6356" w:rsidRPr="008E6356">
        <w:rPr>
          <w:rFonts w:ascii="Calibri" w:hAnsi="Calibri" w:cs="Calibri"/>
          <w:szCs w:val="24"/>
        </w:rPr>
        <w:t>(Secrétariat de la Convention de Ramsar, 2018)</w:t>
      </w:r>
      <w:r w:rsidR="008E6356">
        <w:fldChar w:fldCharType="end"/>
      </w:r>
      <w:r>
        <w:t>. Leur protection s'est progressivement institutionnalisée à travers plusieurs cadres normatifs</w:t>
      </w:r>
      <w:r w:rsidR="00EF1B4B">
        <w:t xml:space="preserve"> comme</w:t>
      </w:r>
      <w:r>
        <w:t xml:space="preserve"> la Convention de Ramsar (1971)</w:t>
      </w:r>
      <w:r w:rsidR="00EF1B4B">
        <w:t xml:space="preserve"> qui</w:t>
      </w:r>
      <w:r>
        <w:t xml:space="preserve"> reconnaît les zones humides comme d'importance internationale pour la faune aquatique et constitue le fondement du droit environnemental mondial </w:t>
      </w:r>
      <w:r w:rsidR="008E6356">
        <w:fldChar w:fldCharType="begin"/>
      </w:r>
      <w:r w:rsidR="008E6356">
        <w:instrText xml:space="preserve"> ADDIN ZOTERO_ITEM CSL_CITATION {"citationID":"hiJ2Eo19","properties":{"formattedCitation":"(Secr\\uc0\\u233{}tariat de la Convention sur les zones humides, 2024)","plainCitation":"(Secrétariat de la Convention sur les zones humides, 2024)","noteIndex":0},"citationItems":[{"id":430,"uris":["http://zotero.org/users/16716349/items/AS4YKYT6"],"itemData":{"id":430,"type":"webpage","title":"Introducing the Convention on Wetlands | The Convention on Wetlands","URL":"https://www.ramsar.org/document/introducing-convention-wetlands","author":[{"family":"Secrétariat de la Convention sur les zones humides","given":""}],"accessed":{"date-parts":[["2026",4,8]]},"issued":{"date-parts":[["2024"]]}}}],"schema":"https://github.com/citation-style-language/schema/raw/master/csl-citation.json"} </w:instrText>
      </w:r>
      <w:r w:rsidR="008E6356">
        <w:fldChar w:fldCharType="separate"/>
      </w:r>
      <w:r w:rsidR="008E6356" w:rsidRPr="008E6356">
        <w:rPr>
          <w:rFonts w:ascii="Calibri" w:hAnsi="Calibri" w:cs="Calibri"/>
          <w:szCs w:val="24"/>
        </w:rPr>
        <w:t>(Secrétariat de la Convention sur les zones humides, 2024)</w:t>
      </w:r>
      <w:r w:rsidR="008E6356">
        <w:fldChar w:fldCharType="end"/>
      </w:r>
      <w:r>
        <w:t xml:space="preserve">. À l'échelle européenne, la Directive Habitats-Faune-Flore a créé le réseau Natura 2000, couvrant aujourd'hui plus de 18 % du territoire de </w:t>
      </w:r>
      <w:r>
        <w:lastRenderedPageBreak/>
        <w:t>l'Union Européenne et constituant un instrument juridique essentiel pour la conservation de la biodiversité</w:t>
      </w:r>
      <w:r w:rsidR="00DC77ED">
        <w:t xml:space="preserve">. </w:t>
      </w:r>
      <w:r>
        <w:t>En France, cette protection s'incarne par le classement de 233 sites Natura 2000 aquatiques et humides dont plusieurs dans la région Auvergne-Rhône-Alpes où se situe la Dombes.</w:t>
      </w:r>
    </w:p>
    <w:p w14:paraId="113E3CCF" w14:textId="77777777" w:rsidR="00F62683" w:rsidRDefault="006A6EBC" w:rsidP="00F62683">
      <w:pPr>
        <w:spacing w:after="240" w:line="360" w:lineRule="auto"/>
        <w:jc w:val="both"/>
      </w:pPr>
      <w:r>
        <w:t>L’étude mise en place dans ce mémoire de fin d’études</w:t>
      </w:r>
      <w:r w:rsidR="00F04DF2">
        <w:t xml:space="preserve"> (MFE)</w:t>
      </w:r>
      <w:r>
        <w:t xml:space="preserve"> vient en réponse directe à ces </w:t>
      </w:r>
      <w:r w:rsidR="0033448D">
        <w:t>enjeux de</w:t>
      </w:r>
      <w:r>
        <w:t xml:space="preserve"> préservation de la ressource en eau et de maintien des services écosystémiques rendus par les zones humides. Son objectif est de contribuer à l'élaboration d’un plan de gestion durable pour les étangs de la Dombes, tout en soutenant les actions de restauration écologique engagées dans le cadre du projet </w:t>
      </w:r>
      <w:r w:rsidRPr="006A6EBC">
        <w:t>LIFE Dombes.</w:t>
      </w:r>
    </w:p>
    <w:p w14:paraId="13833122" w14:textId="023A4A3A" w:rsidR="009204A4" w:rsidRPr="009204A4" w:rsidRDefault="0033448D" w:rsidP="00F62683">
      <w:pPr>
        <w:spacing w:before="200" w:after="240" w:line="360" w:lineRule="auto"/>
        <w:jc w:val="both"/>
      </w:pPr>
      <w:r>
        <w:t xml:space="preserve">Ce projet </w:t>
      </w:r>
      <w:r w:rsidR="009204A4">
        <w:t>européen</w:t>
      </w:r>
      <w:r>
        <w:t xml:space="preserve"> porte par la </w:t>
      </w:r>
      <w:r w:rsidR="009204A4">
        <w:t>communauté</w:t>
      </w:r>
      <w:r>
        <w:t xml:space="preserve"> de commune de la Dombes (CCD)</w:t>
      </w:r>
      <w:r w:rsidR="009204A4">
        <w:t>, dont l’ambition est de concilier la préservation de la biodiversité et le maintien des activités socio-économiques face au changement climatique. Ce programme vise prioritairement à optimiser la gestion de la ressource en eau et à améliorer la qualité des milieux aquatiques, tout en restaurant les continuités écologiques nécessaires aux habitats et espèces remarquables. Il promeut également des pratiques agricoles et piscicoles durables, tout en luttant contre les espèces exotiques envahissantes pour garantir l'équilibre de cet écosystème lacustre.</w:t>
      </w:r>
    </w:p>
    <w:p w14:paraId="0BDF854D" w14:textId="3F7E2D1B" w:rsidR="009204A4" w:rsidRPr="009204A4" w:rsidRDefault="009204A4" w:rsidP="00F62683">
      <w:pPr>
        <w:spacing w:before="100" w:beforeAutospacing="1" w:after="240" w:line="360" w:lineRule="auto"/>
        <w:jc w:val="both"/>
      </w:pPr>
      <w:r w:rsidRPr="009204A4">
        <w:t>L’efficacité de cette gestion hydraulique est indissociable de la préservation d’une biodiversité exceptionnelle, la Dombes abritant près de 150 espèces d’oiseaux d’eau et servant de refuge à des populations menacées en Europe occidentale. Le projet LIFE Dombes se fixe ainsi des objectifs</w:t>
      </w:r>
      <w:r w:rsidR="00EF1B4B">
        <w:t xml:space="preserve"> </w:t>
      </w:r>
      <w:r w:rsidRPr="009204A4">
        <w:t xml:space="preserve">pour restaurer les habitats de ses espèces-cibles : il prévoit notamment l'augmentation des populations de Guifette </w:t>
      </w:r>
      <w:proofErr w:type="spellStart"/>
      <w:r w:rsidRPr="009204A4">
        <w:t>moustac</w:t>
      </w:r>
      <w:proofErr w:type="spellEnd"/>
      <w:r w:rsidRPr="009204A4">
        <w:t xml:space="preserve"> (de 80 à 200 couples) et de Héron pourpré (de 200 à 300 couples) grâce à la restauration massive de roselières et de vasières. Ce programme de travaux sur sept ans inclut également la plantation de 18 km de haies et la création ou restauration de 120 mares dédiées à la sauvegarde des amphibiens. En agissant sur plus de 190 étangs, ces mesures visent à accroître de 30 à 60 % la surface d'habitats fondamentaux</w:t>
      </w:r>
      <w:r>
        <w:t>.</w:t>
      </w:r>
      <w:r w:rsidR="009834C3" w:rsidRPr="009834C3">
        <w:rPr>
          <w:noProof/>
        </w:rPr>
        <w:t xml:space="preserve"> </w:t>
      </w:r>
    </w:p>
    <w:p w14:paraId="6BA38069" w14:textId="66952D56" w:rsidR="00B96434" w:rsidRDefault="00B96434" w:rsidP="00F62683">
      <w:pPr>
        <w:spacing w:before="100" w:beforeAutospacing="1" w:after="240" w:line="360" w:lineRule="auto"/>
        <w:jc w:val="both"/>
      </w:pPr>
      <w:r w:rsidRPr="00B96434">
        <w:t xml:space="preserve">Le projet LIFE Dombes repose sur une gouvernance multi-partenariale pilotée par la Communauté de Communes de la Dombes (CCD), agissant en tant que chef de file. Cette collaboration mobilise des expertises variées, incluant la LPO et le CEN pour le volet biodiversité, les syndicats de rivière (SRVV et SRTC) pour la gestion des cours d'eau, ainsi que l'APPED pour l'expertise piscicole. L'ISARA intervient en tant que partenaire scientifique pour apporter la rigueur méthodologique et la capacité de modélisation nécessaires au projet. Ce programme dispose d'un budget total de 13 millions d’euros, dont près de 10 millions sont dédiés aux travaux de restauration. Le financement est assuré </w:t>
      </w:r>
      <w:r w:rsidRPr="00B96434">
        <w:lastRenderedPageBreak/>
        <w:t>majoritairement par l'Union Européenne (67 %), complété par le Département de l'Ain (15 %), le Ministère de la Transition Écologique (8 %) et l'autofinancement des partenaires (10 %).</w:t>
      </w:r>
    </w:p>
    <w:p w14:paraId="1786595B" w14:textId="11679CC5" w:rsidR="00DC77ED" w:rsidRDefault="0052648E" w:rsidP="00F62683">
      <w:pPr>
        <w:spacing w:after="240" w:line="360" w:lineRule="auto"/>
        <w:jc w:val="both"/>
      </w:pPr>
      <w:r>
        <w:rPr>
          <w:noProof/>
        </w:rPr>
        <mc:AlternateContent>
          <mc:Choice Requires="wps">
            <w:drawing>
              <wp:anchor distT="0" distB="0" distL="114300" distR="114300" simplePos="0" relativeHeight="251660288" behindDoc="0" locked="0" layoutInCell="1" allowOverlap="1" wp14:anchorId="3E610D15" wp14:editId="742D7254">
                <wp:simplePos x="0" y="0"/>
                <wp:positionH relativeFrom="column">
                  <wp:posOffset>355600</wp:posOffset>
                </wp:positionH>
                <wp:positionV relativeFrom="paragraph">
                  <wp:posOffset>5155565</wp:posOffset>
                </wp:positionV>
                <wp:extent cx="5048250" cy="635"/>
                <wp:effectExtent l="0" t="0" r="0" b="0"/>
                <wp:wrapTopAndBottom/>
                <wp:docPr id="552618533" name="Zone de texte 1"/>
                <wp:cNvGraphicFramePr/>
                <a:graphic xmlns:a="http://schemas.openxmlformats.org/drawingml/2006/main">
                  <a:graphicData uri="http://schemas.microsoft.com/office/word/2010/wordprocessingShape">
                    <wps:wsp>
                      <wps:cNvSpPr txBox="1"/>
                      <wps:spPr>
                        <a:xfrm>
                          <a:off x="0" y="0"/>
                          <a:ext cx="5048250" cy="635"/>
                        </a:xfrm>
                        <a:prstGeom prst="rect">
                          <a:avLst/>
                        </a:prstGeom>
                        <a:solidFill>
                          <a:prstClr val="white"/>
                        </a:solidFill>
                        <a:ln>
                          <a:noFill/>
                        </a:ln>
                      </wps:spPr>
                      <wps:txbx>
                        <w:txbxContent>
                          <w:p w14:paraId="5B360D92" w14:textId="2B0EAA80" w:rsidR="0052648E" w:rsidRPr="00E44683" w:rsidRDefault="0052648E" w:rsidP="0052648E">
                            <w:pPr>
                              <w:pStyle w:val="Lgende"/>
                              <w:rPr>
                                <w:noProof/>
                                <w:sz w:val="22"/>
                                <w:szCs w:val="22"/>
                              </w:rPr>
                            </w:pPr>
                            <w:r>
                              <w:t xml:space="preserve">Figure </w:t>
                            </w:r>
                            <w:r w:rsidR="00415A4E">
                              <w:fldChar w:fldCharType="begin"/>
                            </w:r>
                            <w:r w:rsidR="00415A4E">
                              <w:instrText xml:space="preserve"> SEQ Figure \* ARABIC </w:instrText>
                            </w:r>
                            <w:r w:rsidR="00415A4E">
                              <w:fldChar w:fldCharType="separate"/>
                            </w:r>
                            <w:r w:rsidR="0074233B">
                              <w:rPr>
                                <w:noProof/>
                              </w:rPr>
                              <w:t>1</w:t>
                            </w:r>
                            <w:r w:rsidR="00415A4E">
                              <w:rPr>
                                <w:noProof/>
                              </w:rPr>
                              <w:fldChar w:fldCharType="end"/>
                            </w:r>
                            <w:r>
                              <w:rPr>
                                <w:lang w:val="en-US"/>
                              </w:rPr>
                              <w:t>: Work packages du projet LIFE Dombes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E610D15" id="_x0000_t202" coordsize="21600,21600" o:spt="202" path="m,l,21600r21600,l21600,xe">
                <v:stroke joinstyle="miter"/>
                <v:path gradientshapeok="t" o:connecttype="rect"/>
              </v:shapetype>
              <v:shape id="Zone de texte 1" o:spid="_x0000_s1026" type="#_x0000_t202" style="position:absolute;left:0;text-align:left;margin-left:28pt;margin-top:405.95pt;width:397.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" stroked="f">
                <v:textbox style="mso-fit-shape-to-text:t" inset="0,0,0,0">
                  <w:txbxContent>
                    <w:p w14:paraId="5B360D92" w14:textId="2B0EAA80" w:rsidR="0052648E" w:rsidRPr="00E44683" w:rsidRDefault="0052648E" w:rsidP="0052648E">
                      <w:pPr>
                        <w:pStyle w:val="Lgende"/>
                        <w:rPr>
                          <w:noProof/>
                          <w:sz w:val="22"/>
                          <w:szCs w:val="22"/>
                        </w:rPr>
                      </w:pPr>
                      <w:r>
                        <w:t xml:space="preserve">Figure </w:t>
                      </w:r>
                      <w:r w:rsidR="00415A4E">
                        <w:fldChar w:fldCharType="begin"/>
                      </w:r>
                      <w:r w:rsidR="00415A4E">
                        <w:instrText xml:space="preserve"> SEQ Figure \* ARABIC </w:instrText>
                      </w:r>
                      <w:r w:rsidR="00415A4E">
                        <w:fldChar w:fldCharType="separate"/>
                      </w:r>
                      <w:r w:rsidR="0074233B">
                        <w:rPr>
                          <w:noProof/>
                        </w:rPr>
                        <w:t>1</w:t>
                      </w:r>
                      <w:r w:rsidR="00415A4E">
                        <w:rPr>
                          <w:noProof/>
                        </w:rPr>
                        <w:fldChar w:fldCharType="end"/>
                      </w:r>
                      <w:r>
                        <w:rPr>
                          <w:lang w:val="en-US"/>
                        </w:rPr>
                        <w:t>: Work packages du projet LIFE Dombes</w:t>
                      </w:r>
                    </w:p>
                  </w:txbxContent>
                </v:textbox>
                <w10:wrap type="topAndBottom"/>
              </v:shape>
            </w:pict>
          </mc:Fallback>
        </mc:AlternateContent>
      </w:r>
      <w:r w:rsidRPr="00B96434">
        <w:rPr>
          <w:noProof/>
        </w:rPr>
        <w:drawing>
          <wp:anchor distT="0" distB="0" distL="114300" distR="114300" simplePos="0" relativeHeight="251658240" behindDoc="0" locked="0" layoutInCell="1" allowOverlap="1" wp14:anchorId="5454C672" wp14:editId="6B5B1422">
            <wp:simplePos x="0" y="0"/>
            <wp:positionH relativeFrom="margin">
              <wp:align>center</wp:align>
            </wp:positionH>
            <wp:positionV relativeFrom="paragraph">
              <wp:posOffset>2318385</wp:posOffset>
            </wp:positionV>
            <wp:extent cx="5048250" cy="2780030"/>
            <wp:effectExtent l="0" t="0" r="0" b="1270"/>
            <wp:wrapTopAndBottom/>
            <wp:docPr id="2" name="Image 1">
              <a:extLst xmlns:a="http://schemas.openxmlformats.org/drawingml/2006/main">
                <a:ext uri="{FF2B5EF4-FFF2-40B4-BE49-F238E27FC236}">
                  <a16:creationId xmlns:a16="http://schemas.microsoft.com/office/drawing/2014/main" id="{C3EE883B-5AF0-419A-B919-D9A67D6BD6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
                      <a:extLst>
                        <a:ext uri="{FF2B5EF4-FFF2-40B4-BE49-F238E27FC236}">
                          <a16:creationId xmlns:a16="http://schemas.microsoft.com/office/drawing/2014/main" id="{C3EE883B-5AF0-419A-B919-D9A67D6BD65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048250" cy="2780030"/>
                    </a:xfrm>
                    <a:prstGeom prst="rect">
                      <a:avLst/>
                    </a:prstGeom>
                  </pic:spPr>
                </pic:pic>
              </a:graphicData>
            </a:graphic>
            <wp14:sizeRelH relativeFrom="margin">
              <wp14:pctWidth>0</wp14:pctWidth>
            </wp14:sizeRelH>
            <wp14:sizeRelV relativeFrom="margin">
              <wp14:pctHeight>0</wp14:pctHeight>
            </wp14:sizeRelV>
          </wp:anchor>
        </w:drawing>
      </w:r>
      <w:r w:rsidR="00DC77ED">
        <w:t xml:space="preserve">Cependant, la gestion traditionnelle des zones humides lacustres s'est historiquement concentrée à l'échelle de l'étang, reposant sur une analyse des flux hydrologiques au niveau individuel de chaque retenue. Le projet LIFE Dombes offre une opportunité majeure pour dépasser cette approche : travailler </w:t>
      </w:r>
      <w:r w:rsidR="00F203C5">
        <w:t>à</w:t>
      </w:r>
      <w:r w:rsidR="00DC77ED">
        <w:t xml:space="preserve"> l’échèle des chaînes d'étangs constituent </w:t>
      </w:r>
      <w:r w:rsidR="00DE0A45">
        <w:t>des systèmes couplés</w:t>
      </w:r>
      <w:r w:rsidR="00DC77ED">
        <w:t xml:space="preserve">, où chaque étang dépend des apports amont et contrôle les disponibilités en eau des </w:t>
      </w:r>
      <w:r w:rsidR="00DE0A45">
        <w:t>étangs</w:t>
      </w:r>
      <w:r w:rsidR="00DC77ED">
        <w:t xml:space="preserve"> aval</w:t>
      </w:r>
      <w:r w:rsidR="00DE0A45">
        <w:t xml:space="preserve">. </w:t>
      </w:r>
      <w:r w:rsidR="00DC77ED">
        <w:t>Cette approche intégrée est cruciale pour assurer la fonctionnalité hydrologique du bassin versant</w:t>
      </w:r>
      <w:r w:rsidR="00A8292E">
        <w:t xml:space="preserve"> (BV)</w:t>
      </w:r>
      <w:r w:rsidR="00DC77ED">
        <w:t xml:space="preserve"> et la pérennité des services écosystémiques. C'est pourquoi cette étude transpose pour la première fois en Dombes une gestion et une modélisation à l'échelle de chaîne d'étangs plutôt qu'au seul niveau des plans d'eau individuels, reconnaissant ainsi la nature interconnectée et systémique de ces hydrosystèmes.</w:t>
      </w:r>
    </w:p>
    <w:p w14:paraId="11B0014B" w14:textId="52D5B4D8" w:rsidR="00B96434" w:rsidRDefault="00B96434" w:rsidP="00F62683">
      <w:pPr>
        <w:spacing w:before="100" w:beforeAutospacing="1" w:after="240" w:line="360" w:lineRule="auto"/>
        <w:jc w:val="both"/>
      </w:pPr>
      <w:r w:rsidRPr="00B96434">
        <w:t xml:space="preserve">Ce travail </w:t>
      </w:r>
      <w:r w:rsidR="00B66AA9">
        <w:t>(MFE)</w:t>
      </w:r>
      <w:r w:rsidRPr="00B96434">
        <w:t xml:space="preserve"> s'insère précisément dans le Groupe de Travail n°2 (WP2), intitulé « Plans de gestion des bassins versants de chaînes d’étangs et actions préparatoires ». En tant que première phase opérationnelle du projet, le WP2 vise à réaliser un état des lieux des flux hydrologiques et à mettre en place des outils d'analyse robustes. L'étude se concentre ainsi sur la création d'une base de données fiable et le développement d'un modélisateur de bilan hydrique à l'échelle des chaînes d'étangs. Cet outil est fondamental pour définir des indicateurs de vulnérabilité face au changement climatique, permettant aux gestionnaires de passer de l'analyse scientifique à la mise en œuvre de plans de gestion concertés et pérennes.</w:t>
      </w:r>
    </w:p>
    <w:p w14:paraId="059BFD7E" w14:textId="5864F997" w:rsidR="00B66AA9" w:rsidRDefault="00B66AA9" w:rsidP="00F62683">
      <w:pPr>
        <w:pStyle w:val="Titre1"/>
        <w:numPr>
          <w:ilvl w:val="0"/>
          <w:numId w:val="12"/>
        </w:numPr>
        <w:spacing w:after="240" w:line="360" w:lineRule="auto"/>
      </w:pPr>
      <w:bookmarkStart w:id="2" w:name="_Toc228373027"/>
      <w:r>
        <w:lastRenderedPageBreak/>
        <w:t>Problématique et hypothèse</w:t>
      </w:r>
      <w:bookmarkEnd w:id="2"/>
    </w:p>
    <w:p w14:paraId="766C94F7" w14:textId="4047AC84" w:rsidR="00F62683" w:rsidRDefault="000A29E0" w:rsidP="00F62683">
      <w:pPr>
        <w:spacing w:after="240" w:line="360" w:lineRule="auto"/>
        <w:jc w:val="both"/>
      </w:pPr>
      <w:r>
        <w:t xml:space="preserve">Au regard de l'ensemble de ces éléments, cette étude se concentre sur l'élaboration d'un simulateur de bilan hydrique à l'échelle des bassins versants. L'objectif est d'extraire des indicateurs de performance permettant de </w:t>
      </w:r>
      <w:r w:rsidR="00522E1D">
        <w:t xml:space="preserve">déterminer la vulnérabilité des chaînes d'étangs de la Dombes au </w:t>
      </w:r>
      <w:r>
        <w:t>changement climatique.</w:t>
      </w:r>
    </w:p>
    <w:p w14:paraId="3150968C" w14:textId="739E2DE3" w:rsidR="000A29E0" w:rsidRDefault="000A29E0" w:rsidP="00F62683">
      <w:pPr>
        <w:spacing w:after="240" w:line="360" w:lineRule="auto"/>
        <w:jc w:val="both"/>
      </w:pPr>
      <w:r>
        <w:t xml:space="preserve">Ce travail </w:t>
      </w:r>
      <w:r w:rsidR="005A51C5">
        <w:t>va essayer de répondre</w:t>
      </w:r>
      <w:r>
        <w:t xml:space="preserve"> à la problématique suivante :</w:t>
      </w:r>
    </w:p>
    <w:p w14:paraId="58D3156F" w14:textId="227A3723" w:rsidR="000A29E0" w:rsidRDefault="000A29E0" w:rsidP="00F62683">
      <w:pPr>
        <w:spacing w:after="240" w:line="360" w:lineRule="auto"/>
        <w:jc w:val="center"/>
      </w:pPr>
      <w:r>
        <w:t xml:space="preserve">« Comment évaluer la </w:t>
      </w:r>
      <w:r w:rsidRPr="0004556B">
        <w:t>vulnérabilité</w:t>
      </w:r>
      <w:r>
        <w:t xml:space="preserve"> climatique des chaînes d'étangs de la Dombes ?</w:t>
      </w:r>
      <w:r w:rsidR="00DC17D6">
        <w:t> »</w:t>
      </w:r>
    </w:p>
    <w:p w14:paraId="00EA1AC4" w14:textId="76862DD8" w:rsidR="000A29E0" w:rsidRDefault="00DC17D6" w:rsidP="00F62683">
      <w:pPr>
        <w:spacing w:after="240" w:line="360" w:lineRule="auto"/>
        <w:jc w:val="center"/>
      </w:pPr>
      <w:r w:rsidRPr="003417E9">
        <w:t>Développement</w:t>
      </w:r>
      <w:r w:rsidR="003417E9" w:rsidRPr="003417E9">
        <w:t xml:space="preserve"> </w:t>
      </w:r>
      <w:r w:rsidRPr="003417E9">
        <w:t>d’un</w:t>
      </w:r>
      <w:r w:rsidR="003417E9" w:rsidRPr="003417E9">
        <w:t xml:space="preserve"> </w:t>
      </w:r>
      <w:r w:rsidRPr="003417E9">
        <w:t>outil</w:t>
      </w:r>
      <w:r w:rsidR="003417E9" w:rsidRPr="003417E9">
        <w:t xml:space="preserve"> </w:t>
      </w:r>
      <w:r>
        <w:t>numérique</w:t>
      </w:r>
      <w:r w:rsidR="003417E9">
        <w:t xml:space="preserve"> </w:t>
      </w:r>
      <w:r w:rsidRPr="003417E9">
        <w:t>d’aide</w:t>
      </w:r>
      <w:r w:rsidR="003417E9" w:rsidRPr="003417E9">
        <w:t xml:space="preserve"> </w:t>
      </w:r>
      <w:r>
        <w:t>à</w:t>
      </w:r>
      <w:r w:rsidR="003417E9">
        <w:t xml:space="preserve"> la </w:t>
      </w:r>
      <w:r>
        <w:t>décision</w:t>
      </w:r>
      <w:r w:rsidR="003417E9">
        <w:t xml:space="preserve"> </w:t>
      </w:r>
      <w:r>
        <w:t>pour</w:t>
      </w:r>
      <w:r w:rsidR="003417E9">
        <w:t xml:space="preserve"> la gestion </w:t>
      </w:r>
      <w:r>
        <w:t>quantitative</w:t>
      </w:r>
      <w:r w:rsidR="003417E9">
        <w:t xml:space="preserve"> de </w:t>
      </w:r>
      <w:r>
        <w:t>l’eau</w:t>
      </w:r>
      <w:r w:rsidR="003417E9">
        <w:t>.</w:t>
      </w:r>
    </w:p>
    <w:p w14:paraId="3A959485" w14:textId="1499BB7F" w:rsidR="000A29E0" w:rsidRDefault="000A29E0" w:rsidP="00F62683">
      <w:pPr>
        <w:spacing w:after="240" w:line="360" w:lineRule="auto"/>
        <w:jc w:val="both"/>
      </w:pPr>
      <w:r>
        <w:t xml:space="preserve">Pour répondre à cette question et aboutir à la rédaction de préconisations pour les futurs plans de gestion, la démarche se décline en plusieurs étapes. </w:t>
      </w:r>
      <w:r>
        <w:rPr>
          <w:rStyle w:val="citation-185"/>
        </w:rPr>
        <w:t>Un état de l'art dressera d'abord le bilan des connaissances sur</w:t>
      </w:r>
      <w:r w:rsidR="006D47DE">
        <w:rPr>
          <w:rStyle w:val="citation-185"/>
        </w:rPr>
        <w:t xml:space="preserve"> la zone étudier,</w:t>
      </w:r>
      <w:r>
        <w:rPr>
          <w:rStyle w:val="citation-185"/>
        </w:rPr>
        <w:t xml:space="preserve"> la modélisation environnementale</w:t>
      </w:r>
      <w:r>
        <w:rPr>
          <w:rStyle w:val="citation-184"/>
        </w:rPr>
        <w:t xml:space="preserve">, le fonctionnement hydrologique des étangs </w:t>
      </w:r>
      <w:r>
        <w:rPr>
          <w:rStyle w:val="citation-183"/>
        </w:rPr>
        <w:t>et les méthodes d'évaluation de la vulnérabilité</w:t>
      </w:r>
      <w:r>
        <w:t xml:space="preserve">. </w:t>
      </w:r>
      <w:r>
        <w:rPr>
          <w:rStyle w:val="citation-182"/>
        </w:rPr>
        <w:t>Cette base théorique sera suivie par la section matériels et méthodes détaillant le dispositif expérimental</w:t>
      </w:r>
      <w:r>
        <w:rPr>
          <w:rStyle w:val="citation-181"/>
        </w:rPr>
        <w:t>, les outils de traitement</w:t>
      </w:r>
      <w:r w:rsidRPr="00DC17D6">
        <w:rPr>
          <w:rStyle w:val="citation-180"/>
          <w:b/>
          <w:bCs/>
        </w:rPr>
        <w:t>,</w:t>
      </w:r>
      <w:r>
        <w:rPr>
          <w:rStyle w:val="citation-180"/>
        </w:rPr>
        <w:t xml:space="preserve"> ainsi que la structure du modèle de bilan hydrique développé</w:t>
      </w:r>
      <w:r>
        <w:t xml:space="preserve">. </w:t>
      </w:r>
      <w:r>
        <w:rPr>
          <w:rStyle w:val="citation-179"/>
        </w:rPr>
        <w:t>Enfin, l'analyse des résultats et la discussion permettront d'identifier les situations climatiques critiques et d'évaluer la pertinence des leviers d'adaptation proposés pour le territoire</w:t>
      </w:r>
      <w:r>
        <w:t>.</w:t>
      </w:r>
    </w:p>
    <w:p w14:paraId="2A0AF29D" w14:textId="0BF6930C" w:rsidR="000A29E0" w:rsidRDefault="006D47DE" w:rsidP="00F62683">
      <w:pPr>
        <w:pStyle w:val="Titre1"/>
        <w:numPr>
          <w:ilvl w:val="0"/>
          <w:numId w:val="12"/>
        </w:numPr>
        <w:spacing w:after="240" w:line="360" w:lineRule="auto"/>
      </w:pPr>
      <w:bookmarkStart w:id="3" w:name="_Toc228373028"/>
      <w:r w:rsidRPr="006D47DE">
        <w:t>Etat de l’art</w:t>
      </w:r>
      <w:bookmarkEnd w:id="3"/>
    </w:p>
    <w:p w14:paraId="1CF8D769" w14:textId="4ACE915E" w:rsidR="00762AC2" w:rsidRDefault="00762AC2" w:rsidP="00F62683">
      <w:pPr>
        <w:pStyle w:val="Titre2"/>
        <w:numPr>
          <w:ilvl w:val="1"/>
          <w:numId w:val="12"/>
        </w:numPr>
        <w:spacing w:after="240" w:afterAutospacing="0" w:line="360" w:lineRule="auto"/>
      </w:pPr>
      <w:bookmarkStart w:id="4" w:name="_Toc228373029"/>
      <w:r>
        <w:t>Contexte de la zone d’étude</w:t>
      </w:r>
      <w:bookmarkEnd w:id="4"/>
    </w:p>
    <w:p w14:paraId="4C14359B" w14:textId="57121D85" w:rsidR="007D20FA" w:rsidRDefault="007D20FA" w:rsidP="00F62683">
      <w:pPr>
        <w:spacing w:after="240" w:line="360" w:lineRule="auto"/>
        <w:jc w:val="both"/>
      </w:pPr>
      <w:r w:rsidRPr="007D20FA">
        <w:t>Le plateau de la Dombes, situé dans le département de l'Ain, constitue l'une des zones piscicoles les plus importantes de France et se distingue par une densité exceptionnelle de 1 300 étangs couvrant environ 12 000 hectares. Ce territoire,</w:t>
      </w:r>
      <w:r w:rsidR="00AC3F85">
        <w:t xml:space="preserve"> </w:t>
      </w:r>
      <w:r w:rsidRPr="007D20FA">
        <w:t xml:space="preserve">classés en zone Natura 2000, abrite une biodiversité remarquable et suit un mode de gestion hydraulique et cultural unique. Le fonctionnement de ces milieux repose sur une alternance périodique entre l'évolage, phase de mise en eau dédiée à la production de </w:t>
      </w:r>
      <w:r w:rsidR="00AC3F85">
        <w:t xml:space="preserve">poisson, </w:t>
      </w:r>
      <w:r w:rsidRPr="007D20FA">
        <w:t>et l'assec, phase d'assèchement permettant</w:t>
      </w:r>
      <w:r w:rsidR="005A51C5">
        <w:t xml:space="preserve"> le curage et</w:t>
      </w:r>
      <w:r w:rsidRPr="007D20FA">
        <w:t xml:space="preserve"> la </w:t>
      </w:r>
      <w:r w:rsidR="00E66384">
        <w:t>mise en place d’une culture</w:t>
      </w:r>
      <w:r w:rsidR="005A51C5">
        <w:t xml:space="preserve"> pour entretenir le fond de l’étangs</w:t>
      </w:r>
      <w:r w:rsidRPr="007D20FA">
        <w:t xml:space="preserve">. Les étangs sont organisés en chaînes et communiquent via un réseau dense de fossés, permettant de faire circuler l'eau d'origine pluviale par gravité d'un réservoir à l'autre jusqu'à l'exutoire final. Cette circulation de l'eau, héritée de coutumes historiques entre gestionnaires, définit </w:t>
      </w:r>
      <w:r w:rsidR="00AC3F85">
        <w:t xml:space="preserve">une échelle de travail assez cohérente </w:t>
      </w:r>
      <w:r w:rsidR="00E66384">
        <w:t>« </w:t>
      </w:r>
      <w:r w:rsidR="00AC3F85">
        <w:t>la chaine d’étangs</w:t>
      </w:r>
      <w:r w:rsidR="00E66384">
        <w:t> »</w:t>
      </w:r>
      <w:r w:rsidR="00D1662B">
        <w:t xml:space="preserve"> </w:t>
      </w:r>
      <w:r w:rsidR="008E6356">
        <w:fldChar w:fldCharType="begin"/>
      </w:r>
      <w:r w:rsidR="008E6356">
        <w:instrText xml:space="preserve"> ADDIN ZOTERO_ITEM CSL_CITATION {"citationID":"itW9FJVw","properties":{"formattedCitation":"(B\\uc0\\u233{}rard, Marchenay, 2008)","plainCitation":"(Bérard, Marchenay, 2008)","noteIndex":0},"citationItems":[{"id":427,"uris":["http://zotero.org/users/16716349/items/Y97ZCV5D"],"itemData":{"id":427,"type":"article-journal","container-title":"AGRICULTURES SINGULIÈRES","language":"fr","source":"Zotero","title":"Les étangs de la Dombes (France)","author":[{"family":"Bérard","given":"L"},{"family":"Marchenay","given":"P"}],"issued":{"date-parts":[["2008"]]}}}],"schema":"https://github.com/citation-style-language/schema/raw/master/csl-citation.json"} </w:instrText>
      </w:r>
      <w:r w:rsidR="008E6356">
        <w:fldChar w:fldCharType="separate"/>
      </w:r>
      <w:r w:rsidR="008E6356" w:rsidRPr="008E6356">
        <w:rPr>
          <w:rFonts w:ascii="Calibri" w:hAnsi="Calibri" w:cs="Calibri"/>
          <w:szCs w:val="24"/>
        </w:rPr>
        <w:t>(Bérard, Marchenay, 2008)</w:t>
      </w:r>
      <w:r w:rsidR="008E6356">
        <w:fldChar w:fldCharType="end"/>
      </w:r>
      <w:r w:rsidR="00D1662B">
        <w:t>.</w:t>
      </w:r>
    </w:p>
    <w:p w14:paraId="3461B26A" w14:textId="6E998ABA" w:rsidR="00355AA4" w:rsidRPr="008B08A7" w:rsidRDefault="00AB7ABF" w:rsidP="00F62683">
      <w:pPr>
        <w:pStyle w:val="Titre3"/>
        <w:numPr>
          <w:ilvl w:val="2"/>
          <w:numId w:val="12"/>
        </w:numPr>
        <w:spacing w:after="240" w:line="360" w:lineRule="auto"/>
      </w:pPr>
      <w:bookmarkStart w:id="5" w:name="_Toc228373030"/>
      <w:r w:rsidRPr="008B08A7">
        <w:lastRenderedPageBreak/>
        <w:t>Climat de la Dombes</w:t>
      </w:r>
      <w:bookmarkEnd w:id="5"/>
      <w:r w:rsidRPr="008B08A7">
        <w:t> </w:t>
      </w:r>
    </w:p>
    <w:p w14:paraId="1C061D34" w14:textId="35D12EF9" w:rsidR="00355AA4" w:rsidRDefault="00355AA4" w:rsidP="00F62683">
      <w:pPr>
        <w:spacing w:after="240" w:line="360" w:lineRule="auto"/>
        <w:jc w:val="both"/>
      </w:pPr>
      <w:r>
        <w:t xml:space="preserve">La Dombes </w:t>
      </w:r>
      <w:r w:rsidR="0095525E">
        <w:t xml:space="preserve">a un climat continental avec des hivers assez froid et des été tempéré, </w:t>
      </w:r>
      <w:r w:rsidR="00C86798">
        <w:t xml:space="preserve">en </w:t>
      </w:r>
      <w:r w:rsidR="0095525E">
        <w:t>moyenne annuelle, le plateau enregistre environ 1 100 mm de précipitation, réparties de manière irrégulière au cours de l'année. Les mois les plus humides sont octobre et novembre, avec environ 116-118 mm respectivement, tandis que mars demeure le mois le plus sec, avec environ 62 mm</w:t>
      </w:r>
      <w:r w:rsidR="00615603">
        <w:t xml:space="preserve"> </w:t>
      </w:r>
      <w:r w:rsidR="008E6356">
        <w:fldChar w:fldCharType="begin"/>
      </w:r>
      <w:r w:rsidR="008E6356">
        <w:instrText xml:space="preserve"> ADDIN ZOTERO_ITEM CSL_CITATION {"citationID":"1hDyzscp","properties":{"formattedCitation":"(climate-data, 2026)","plainCitation":"(climate-data, 2026)","noteIndex":0},"citationItems":[{"id":448,"uris":["http://zotero.org/users/16716349/items/ILDRI5KA"],"itemData":{"id":448,"type":"webpage","title":"Ambérieux-en-Dombes climate: Weather Ambérieux-en-Dombes &amp; temperature by month","URL":"https://en.climate-data.org/europe/france/rhone-alpes/amberieux-en-dombes-100639/","author":[{"literal":"climate-data"}],"accessed":{"date-parts":[["2026",4,10]]},"issued":{"date-parts":[["2026"]]}}}],"schema":"https://github.com/citation-style-language/schema/raw/master/csl-citation.json"} </w:instrText>
      </w:r>
      <w:r w:rsidR="008E6356">
        <w:fldChar w:fldCharType="separate"/>
      </w:r>
      <w:r w:rsidR="008E6356" w:rsidRPr="008E6356">
        <w:rPr>
          <w:rFonts w:ascii="Calibri" w:hAnsi="Calibri" w:cs="Calibri"/>
        </w:rPr>
        <w:t>(climate-data, 2026)</w:t>
      </w:r>
      <w:r w:rsidR="008E6356">
        <w:fldChar w:fldCharType="end"/>
      </w:r>
      <w:r w:rsidR="00C86798">
        <w:t xml:space="preserve">. </w:t>
      </w:r>
    </w:p>
    <w:p w14:paraId="4491B889" w14:textId="68BAACB5" w:rsidR="00355AA4" w:rsidRDefault="00C86798" w:rsidP="00F62683">
      <w:pPr>
        <w:spacing w:after="240" w:line="360" w:lineRule="auto"/>
        <w:jc w:val="both"/>
      </w:pPr>
      <w:r>
        <w:t>La température moyenne annuelle s'établit à environ 12 °C, avec un minimum autour de -1 °C en janvier et un maximum approchant 27 °C en juillet, soit une amplitude annuelle de 18 °C. Les hivers sont caractérisés par des températures froides et des gelées récurrentes, tandis que les étés connaissent un réchauffement modéré, typique des régions continentales de plaine</w:t>
      </w:r>
      <w:r w:rsidR="00AB7ABF">
        <w:t xml:space="preserve"> </w:t>
      </w:r>
      <w:r w:rsidR="008E6356">
        <w:fldChar w:fldCharType="begin"/>
      </w:r>
      <w:r w:rsidR="008E6356">
        <w:instrText xml:space="preserve"> ADDIN ZOTERO_ITEM CSL_CITATION {"citationID":"KPWHjomp","properties":{"formattedCitation":"(climate-data, 2026)","plainCitation":"(climate-data, 2026)","noteIndex":0},"citationItems":[{"id":448,"uris":["http://zotero.org/users/16716349/items/ILDRI5KA"],"itemData":{"id":448,"type":"webpage","title":"Ambérieux-en-Dombes climate: Weather Ambérieux-en-Dombes &amp; temperature by month","URL":"https://en.climate-data.org/europe/france/rhone-alpes/amberieux-en-dombes-100639/","author":[{"literal":"climate-data"}],"accessed":{"date-parts":[["2026",4,10]]},"issued":{"date-parts":[["2026"]]}}}],"schema":"https://github.com/citation-style-language/schema/raw/master/csl-citation.json"} </w:instrText>
      </w:r>
      <w:r w:rsidR="008E6356">
        <w:fldChar w:fldCharType="separate"/>
      </w:r>
      <w:r w:rsidR="008E6356" w:rsidRPr="008E6356">
        <w:rPr>
          <w:rFonts w:ascii="Calibri" w:hAnsi="Calibri" w:cs="Calibri"/>
        </w:rPr>
        <w:t>(climate-data, 2026)</w:t>
      </w:r>
      <w:r w:rsidR="008E6356">
        <w:fldChar w:fldCharType="end"/>
      </w:r>
      <w:r>
        <w:t>.</w:t>
      </w:r>
    </w:p>
    <w:p w14:paraId="214DED2F" w14:textId="4ACF1A55" w:rsidR="00AB7ABF" w:rsidRPr="00AB7ABF" w:rsidRDefault="00AB7ABF" w:rsidP="00F62683">
      <w:pPr>
        <w:pStyle w:val="Titre3"/>
        <w:numPr>
          <w:ilvl w:val="2"/>
          <w:numId w:val="12"/>
        </w:numPr>
        <w:spacing w:after="240" w:line="360" w:lineRule="auto"/>
      </w:pPr>
      <w:bookmarkStart w:id="6" w:name="_Toc228373031"/>
      <w:r w:rsidRPr="00AB7ABF">
        <w:t>Sol de la Dombes</w:t>
      </w:r>
      <w:bookmarkEnd w:id="6"/>
      <w:r w:rsidRPr="00AB7ABF">
        <w:t> </w:t>
      </w:r>
    </w:p>
    <w:p w14:paraId="294E3EB3" w14:textId="37531DA9" w:rsidR="00355AA4" w:rsidRDefault="00355AA4" w:rsidP="00F62683">
      <w:pPr>
        <w:spacing w:after="240" w:line="360" w:lineRule="auto"/>
        <w:jc w:val="both"/>
      </w:pPr>
      <w:r w:rsidRPr="00783136">
        <w:t>Ce territoire présente</w:t>
      </w:r>
      <w:r w:rsidR="00AB7ABF">
        <w:t xml:space="preserve"> aussi</w:t>
      </w:r>
      <w:r w:rsidRPr="00783136">
        <w:t xml:space="preserve"> un contexte hydrologique particulier, fortement influencé par la nature de ses sols. La Dombes repose majoritairement sur un substrat limono-argileux profond </w:t>
      </w:r>
      <w:r w:rsidR="008E6356">
        <w:fldChar w:fldCharType="begin"/>
      </w:r>
      <w:r w:rsidR="008E6356">
        <w:instrText xml:space="preserve"> ADDIN ZOTERO_ITEM CSL_CITATION {"citationID":"9pJqJXCs","properties":{"formattedCitation":"(G\\uc0\\u233{}oportail, 2026)","plainCitation":"(Géoportail, 2026)","noteIndex":0},"citationItems":[{"id":432,"uris":["http://zotero.org/users/16716349/items/F72SZ4HS"],"itemData":{"id":432,"type":"webpage","abstract":"Accédez à l'information géographique de référence : cartes, photographies aériennes, données géographiques","language":"fr","title":"Géoportail","URL":"https://www.geoportail.gouv.fr/","author":[{"literal":"Géoportail"}],"accessed":{"date-parts":[["2026",4,8]]},"issued":{"date-parts":[["2026"]]}}}],"schema":"https://github.com/citation-style-language/schema/raw/master/csl-citation.json"} </w:instrText>
      </w:r>
      <w:r w:rsidR="008E6356">
        <w:fldChar w:fldCharType="separate"/>
      </w:r>
      <w:r w:rsidR="008E6356" w:rsidRPr="008E6356">
        <w:rPr>
          <w:rFonts w:ascii="Calibri" w:hAnsi="Calibri" w:cs="Calibri"/>
          <w:szCs w:val="24"/>
        </w:rPr>
        <w:t>(Géoportail, 2026)</w:t>
      </w:r>
      <w:r w:rsidR="008E6356">
        <w:fldChar w:fldCharType="end"/>
      </w:r>
      <w:r w:rsidRPr="00783136">
        <w:t xml:space="preserve">. Ces sols présentent une forte sensibilité à la battance en raison de leur fraction limoneuse, ce qui entraîne la formation d'une croûte superficielle imperméable favorisant le ruissellement vers les étangs au détriment de l'infiltration. Parallèlement, la présence d'argile permet au sol de se gorger d'eau et d'atteindre rapidement un seuil de saturation </w:t>
      </w:r>
      <w:r w:rsidR="008E6356">
        <w:fldChar w:fldCharType="begin"/>
      </w:r>
      <w:r w:rsidR="008E6356">
        <w:instrText xml:space="preserve"> ADDIN ZOTERO_ITEM CSL_CITATION {"citationID":"pMDF9vON","properties":{"formattedCitation":"(SCot, 2020)","plainCitation":"(SCot, 2020)","noteIndex":0},"citationItems":[{"id":433,"uris":["http://zotero.org/users/16716349/items/SE8DA4ZE"],"itemData":{"id":433,"type":"post-weblog","container-title":"Communauté de Communes de la Dombes","language":"fr-FR","title":"L’annexe 2 : le diagnostic agricole","URL":"https://www.ccdombes.fr/vivre/amenagement-du-territoire/schema-de-coherence-territoriale-scot/","author":[{"literal":"SCot"}],"accessed":{"date-parts":[["2026",4,8]]},"issued":{"date-parts":[["2020"]]}}}],"schema":"https://github.com/citation-style-language/schema/raw/master/csl-citation.json"} </w:instrText>
      </w:r>
      <w:r w:rsidR="008E6356">
        <w:fldChar w:fldCharType="separate"/>
      </w:r>
      <w:r w:rsidR="008E6356" w:rsidRPr="008E6356">
        <w:rPr>
          <w:rFonts w:ascii="Calibri" w:hAnsi="Calibri" w:cs="Calibri"/>
        </w:rPr>
        <w:t>(SCot, 2020)</w:t>
      </w:r>
      <w:r w:rsidR="008E6356">
        <w:fldChar w:fldCharType="end"/>
      </w:r>
      <w:r w:rsidR="008E6356">
        <w:t xml:space="preserve">. </w:t>
      </w:r>
      <w:r w:rsidRPr="00783136">
        <w:t>L'ensemble des sols de la région constitue une déclinaison de ce type dominant, variant selon les secteurs entre des profils plus caillouteux, limoneux ou argileux, mais conservant globalement cette faible perméabilité qui structure le réseau hydrographique dombiste</w:t>
      </w:r>
      <w:r w:rsidR="005A51C5">
        <w:t xml:space="preserve"> </w:t>
      </w:r>
      <w:r w:rsidR="005A51C5">
        <w:fldChar w:fldCharType="begin"/>
      </w:r>
      <w:r w:rsidR="005A51C5">
        <w:instrText xml:space="preserve"> ADDIN ZOTERO_ITEM CSL_CITATION {"citationID":"Rhko7UHF","properties":{"formattedCitation":"(SCot, 2020)","plainCitation":"(SCot, 2020)","noteIndex":0},"citationItems":[{"id":433,"uris":["http://zotero.org/users/16716349/items/SE8DA4ZE"],"itemData":{"id":433,"type":"post-weblog","container-title":"Communauté de Communes de la Dombes","language":"fr-FR","title":"L’annexe 2 : le diagnostic agricole","URL":"https://www.ccdombes.fr/vivre/amenagement-du-territoire/schema-de-coherence-territoriale-scot/","author":[{"literal":"SCot"}],"accessed":{"date-parts":[["2026",4,8]]},"issued":{"date-parts":[["2020"]]}}}],"schema":"https://github.com/citation-style-language/schema/raw/master/csl-citation.json"} </w:instrText>
      </w:r>
      <w:r w:rsidR="005A51C5">
        <w:fldChar w:fldCharType="separate"/>
      </w:r>
      <w:r w:rsidR="005A51C5" w:rsidRPr="005A51C5">
        <w:rPr>
          <w:rFonts w:ascii="Calibri" w:hAnsi="Calibri" w:cs="Calibri"/>
        </w:rPr>
        <w:t>(SCot, 2020)</w:t>
      </w:r>
      <w:r w:rsidR="005A51C5">
        <w:fldChar w:fldCharType="end"/>
      </w:r>
      <w:r w:rsidRPr="00783136">
        <w:t>.</w:t>
      </w:r>
    </w:p>
    <w:p w14:paraId="4E6F0AFB" w14:textId="63B9AD41" w:rsidR="00AC3F85" w:rsidRPr="00AB7ABF" w:rsidRDefault="00AB7ABF" w:rsidP="00F62683">
      <w:pPr>
        <w:pStyle w:val="Titre2"/>
        <w:numPr>
          <w:ilvl w:val="1"/>
          <w:numId w:val="12"/>
        </w:numPr>
        <w:spacing w:after="240" w:afterAutospacing="0" w:line="360" w:lineRule="auto"/>
      </w:pPr>
      <w:bookmarkStart w:id="7" w:name="_Toc228373032"/>
      <w:r w:rsidRPr="00AB7ABF">
        <w:t>Fonctionnement</w:t>
      </w:r>
      <w:r w:rsidR="000A3033">
        <w:t xml:space="preserve"> et gestion</w:t>
      </w:r>
      <w:r w:rsidRPr="00AB7ABF">
        <w:t xml:space="preserve"> des étangs de la Dombes</w:t>
      </w:r>
      <w:bookmarkEnd w:id="7"/>
      <w:r w:rsidRPr="00AB7ABF">
        <w:t> </w:t>
      </w:r>
    </w:p>
    <w:p w14:paraId="0A1C0586" w14:textId="18812CFA" w:rsidR="000E1AC8" w:rsidRDefault="00CA138F" w:rsidP="00F62683">
      <w:pPr>
        <w:spacing w:after="240" w:line="360" w:lineRule="auto"/>
        <w:jc w:val="both"/>
      </w:pPr>
      <w:r>
        <w:t xml:space="preserve">Les étangs de </w:t>
      </w:r>
      <w:r w:rsidR="005A51C5">
        <w:t xml:space="preserve">la </w:t>
      </w:r>
      <w:r>
        <w:t xml:space="preserve">Dombes se remplissent par trois sources principales : les précipitations directes, le ruissellement de surface provenant du bassin versant, et l'apport en provenance des étangs situés en amont par débordement ou vidange volontaire. </w:t>
      </w:r>
      <w:r w:rsidR="000E1AC8">
        <w:t xml:space="preserve">La structure de l'étang s'appuie sur la chaussée, une digue en terre retenant l'eau au point bas du terrain. Pour la gestion des flux, deux ouvrages sont essentiels : le </w:t>
      </w:r>
      <w:proofErr w:type="spellStart"/>
      <w:r w:rsidR="000E1AC8">
        <w:t>thou</w:t>
      </w:r>
      <w:proofErr w:type="spellEnd"/>
      <w:r w:rsidR="000E1AC8">
        <w:t>, dispositif de vidange intégré à la chaussée pour lâcher l'eau lors de la pêche, et l'</w:t>
      </w:r>
      <w:proofErr w:type="spellStart"/>
      <w:r w:rsidR="000E1AC8">
        <w:t>ébie</w:t>
      </w:r>
      <w:proofErr w:type="spellEnd"/>
      <w:r w:rsidR="000E1AC8">
        <w:t xml:space="preserve"> (ou trop plein), qui évacue en permanence le surplus vers l'aval pour éviter les débordements.</w:t>
      </w:r>
    </w:p>
    <w:p w14:paraId="7C7DED37" w14:textId="6A82ADA4" w:rsidR="000E1AC8" w:rsidRDefault="000E1AC8" w:rsidP="00F62683">
      <w:pPr>
        <w:spacing w:after="240" w:line="360" w:lineRule="auto"/>
        <w:jc w:val="both"/>
      </w:pPr>
      <w:r>
        <w:t xml:space="preserve">À l'intérieur de l'étang, le bief suit la ligne de plus basses eaux pour diriger l'eau et les poissons vers la pêcherie, une cuvette située juste avant le </w:t>
      </w:r>
      <w:proofErr w:type="spellStart"/>
      <w:r>
        <w:t>thou</w:t>
      </w:r>
      <w:proofErr w:type="spellEnd"/>
      <w:r>
        <w:t xml:space="preserve"> où se rassemble </w:t>
      </w:r>
      <w:r w:rsidR="005A51C5">
        <w:t xml:space="preserve">tous les poissons </w:t>
      </w:r>
      <w:r>
        <w:t xml:space="preserve">lors de la vidange. </w:t>
      </w:r>
      <w:r>
        <w:lastRenderedPageBreak/>
        <w:t>L'entrée d'eau est contrôlée par une prise d'eau, tandis que les berges en pente douce forment des vasières, ces zones s'exondent progressivement sous l'effet de l'évapotranspiration, offrant des habitats dégagés indispensables à la biodiversité. Le réseau de fossés (de ceinture ou de drainage) complète ce système en régulant ou en collectant les écoulements vers l'étang ou ses voisins</w:t>
      </w:r>
      <w:r w:rsidR="0085023E" w:rsidRPr="0085023E">
        <w:t xml:space="preserve"> </w:t>
      </w:r>
      <w:r w:rsidR="008E6356">
        <w:fldChar w:fldCharType="begin"/>
      </w:r>
      <w:r w:rsidR="008E6356">
        <w:instrText xml:space="preserve"> ADDIN ZOTERO_ITEM CSL_CITATION {"citationID":"Ft7gjpZc","properties":{"formattedCitation":"(Laurent, 2005)","plainCitation":"(Laurent, 2005)","noteIndex":0},"citationItems":[{"id":434,"uris":["http://zotero.org/users/16716349/items/WBE98SQW"],"itemData":{"id":434,"type":"book","abstract":"Mémoire présenté en vue d'obtenir le diplôme d'ingénieur ESGT. L'exploitation des étangs est basée sur la rotation de périodes de mise en eau et de cultures successives. Un étang est composé de plusieurs parties qui sont indispensables à son bon fonctionnement. Elles remplissent chacune leur rôle durant les phases d'exploitation. Les étangs sont aujourd'hui régis par le régime des installations classées. Toutefois les usages locaux sont toujours utilisés pour organiser la vie des étangs. La Dombes participe au réseau Natura 2000 pour maintenir la diversité biologique de ses nombreux milieux naturels et des espèces d'intérêts européens qui y vivent.&lt;br/&gt;&lt;br/&gt;","language":"français","number-of-pages":"Papier, 73","publisher":"Ministère de l'Education Nationale de l'Enseignement Supérieur et de la Recherche. 72000 LE MANS","source":"COinS","title":"Coutumes et usages des étangs de la Dombes","URL":"https://side.developpement-durable.gouv.fr/Default/doc/SYRACUSE/139999/coutumes-et-usages-des-etangs-de-la-dombes","author":[{"family":"Laurent","given":"RAYNAL"}],"accessed":{"date-parts":[["2026",4,8]]},"issued":{"date-parts":[["2005"]]}}}],"schema":"https://github.com/citation-style-language/schema/raw/master/csl-citation.json"} </w:instrText>
      </w:r>
      <w:r w:rsidR="008E6356">
        <w:fldChar w:fldCharType="separate"/>
      </w:r>
      <w:r w:rsidR="008E6356" w:rsidRPr="008E6356">
        <w:rPr>
          <w:rFonts w:ascii="Calibri" w:hAnsi="Calibri" w:cs="Calibri"/>
        </w:rPr>
        <w:t>(Laurent, 2005)</w:t>
      </w:r>
      <w:r w:rsidR="008E6356">
        <w:fldChar w:fldCharType="end"/>
      </w:r>
      <w:r w:rsidR="00D1662B">
        <w:t>.</w:t>
      </w:r>
    </w:p>
    <w:p w14:paraId="1760D8FF" w14:textId="3C7DF3BC" w:rsidR="00974BCD" w:rsidRDefault="00F62683" w:rsidP="00F62683">
      <w:pPr>
        <w:spacing w:after="240" w:line="360" w:lineRule="auto"/>
        <w:jc w:val="both"/>
      </w:pPr>
      <w:r>
        <w:rPr>
          <w:noProof/>
        </w:rPr>
        <mc:AlternateContent>
          <mc:Choice Requires="wps">
            <w:drawing>
              <wp:anchor distT="0" distB="0" distL="114300" distR="114300" simplePos="0" relativeHeight="251663360" behindDoc="0" locked="0" layoutInCell="1" allowOverlap="1" wp14:anchorId="633BA8F9" wp14:editId="46FC55C1">
                <wp:simplePos x="0" y="0"/>
                <wp:positionH relativeFrom="margin">
                  <wp:align>center</wp:align>
                </wp:positionH>
                <wp:positionV relativeFrom="paragraph">
                  <wp:posOffset>4904848</wp:posOffset>
                </wp:positionV>
                <wp:extent cx="4655820" cy="635"/>
                <wp:effectExtent l="0" t="0" r="0" b="0"/>
                <wp:wrapTopAndBottom/>
                <wp:docPr id="1312819774" name="Zone de texte 1"/>
                <wp:cNvGraphicFramePr/>
                <a:graphic xmlns:a="http://schemas.openxmlformats.org/drawingml/2006/main">
                  <a:graphicData uri="http://schemas.microsoft.com/office/word/2010/wordprocessingShape">
                    <wps:wsp>
                      <wps:cNvSpPr txBox="1"/>
                      <wps:spPr>
                        <a:xfrm>
                          <a:off x="0" y="0"/>
                          <a:ext cx="4655820" cy="635"/>
                        </a:xfrm>
                        <a:prstGeom prst="rect">
                          <a:avLst/>
                        </a:prstGeom>
                        <a:solidFill>
                          <a:prstClr val="white"/>
                        </a:solidFill>
                        <a:ln>
                          <a:noFill/>
                        </a:ln>
                      </wps:spPr>
                      <wps:txbx>
                        <w:txbxContent>
                          <w:p w14:paraId="4714E2A7" w14:textId="59B80B2B" w:rsidR="00974BCD" w:rsidRPr="00974BCD" w:rsidRDefault="00974BCD" w:rsidP="00974BCD">
                            <w:pPr>
                              <w:pStyle w:val="Lgende"/>
                              <w:rPr>
                                <w:sz w:val="22"/>
                                <w:szCs w:val="22"/>
                              </w:rPr>
                            </w:pPr>
                            <w:r>
                              <w:t xml:space="preserve">Figure </w:t>
                            </w:r>
                            <w:r w:rsidR="00415A4E">
                              <w:fldChar w:fldCharType="begin"/>
                            </w:r>
                            <w:r w:rsidR="00415A4E">
                              <w:instrText xml:space="preserve"> SEQ Figure \* ARABIC </w:instrText>
                            </w:r>
                            <w:r w:rsidR="00415A4E">
                              <w:fldChar w:fldCharType="separate"/>
                            </w:r>
                            <w:r w:rsidR="0074233B">
                              <w:rPr>
                                <w:noProof/>
                              </w:rPr>
                              <w:t>2</w:t>
                            </w:r>
                            <w:r w:rsidR="00415A4E">
                              <w:rPr>
                                <w:noProof/>
                              </w:rPr>
                              <w:fldChar w:fldCharType="end"/>
                            </w:r>
                            <w:r w:rsidRPr="00974BCD">
                              <w:t xml:space="preserve">: Schéma de présentation </w:t>
                            </w:r>
                            <w:r w:rsidR="00446376" w:rsidRPr="00974BCD">
                              <w:t>d’un étang</w:t>
                            </w:r>
                            <w:r>
                              <w:t xml:space="preserve"> </w:t>
                            </w:r>
                            <w:r w:rsidRPr="0085023E">
                              <w:t>(Laurent, 2005)</w:t>
                            </w:r>
                            <w:r>
                              <w:t xml:space="preserve"> p 14.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3BA8F9" id="_x0000_s1027" type="#_x0000_t202" style="position:absolute;left:0;text-align:left;margin-left:0;margin-top:386.2pt;width:366.6pt;height:.05pt;z-index:25166336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" stroked="f">
                <v:textbox style="mso-fit-shape-to-text:t" inset="0,0,0,0">
                  <w:txbxContent>
                    <w:p w14:paraId="4714E2A7" w14:textId="59B80B2B" w:rsidR="00974BCD" w:rsidRPr="00974BCD" w:rsidRDefault="00974BCD" w:rsidP="00974BCD">
                      <w:pPr>
                        <w:pStyle w:val="Lgende"/>
                        <w:rPr>
                          <w:sz w:val="22"/>
                          <w:szCs w:val="22"/>
                        </w:rPr>
                      </w:pPr>
                      <w:r>
                        <w:t xml:space="preserve">Figure </w:t>
                      </w:r>
                      <w:r w:rsidR="00415A4E">
                        <w:fldChar w:fldCharType="begin"/>
                      </w:r>
                      <w:r w:rsidR="00415A4E">
                        <w:instrText xml:space="preserve"> SEQ Figure \* ARABIC </w:instrText>
                      </w:r>
                      <w:r w:rsidR="00415A4E">
                        <w:fldChar w:fldCharType="separate"/>
                      </w:r>
                      <w:r w:rsidR="0074233B">
                        <w:rPr>
                          <w:noProof/>
                        </w:rPr>
                        <w:t>2</w:t>
                      </w:r>
                      <w:r w:rsidR="00415A4E">
                        <w:rPr>
                          <w:noProof/>
                        </w:rPr>
                        <w:fldChar w:fldCharType="end"/>
                      </w:r>
                      <w:r w:rsidRPr="00974BCD">
                        <w:t xml:space="preserve">: Schéma de présentation </w:t>
                      </w:r>
                      <w:r w:rsidR="00446376" w:rsidRPr="00974BCD">
                        <w:t>d’un étang</w:t>
                      </w:r>
                      <w:r>
                        <w:t xml:space="preserve"> </w:t>
                      </w:r>
                      <w:r w:rsidRPr="0085023E">
                        <w:t>(Laurent, 2005)</w:t>
                      </w:r>
                      <w:r>
                        <w:t xml:space="preserve"> p 14.</w:t>
                      </w:r>
                    </w:p>
                  </w:txbxContent>
                </v:textbox>
                <w10:wrap type="topAndBottom" anchorx="margin"/>
              </v:shape>
            </w:pict>
          </mc:Fallback>
        </mc:AlternateContent>
      </w:r>
      <w:r w:rsidRPr="00974BCD">
        <w:rPr>
          <w:noProof/>
        </w:rPr>
        <w:drawing>
          <wp:anchor distT="0" distB="0" distL="114300" distR="114300" simplePos="0" relativeHeight="251661312" behindDoc="0" locked="0" layoutInCell="1" allowOverlap="1" wp14:anchorId="2FF522D2" wp14:editId="3D6823B7">
            <wp:simplePos x="0" y="0"/>
            <wp:positionH relativeFrom="margin">
              <wp:align>center</wp:align>
            </wp:positionH>
            <wp:positionV relativeFrom="paragraph">
              <wp:posOffset>248285</wp:posOffset>
            </wp:positionV>
            <wp:extent cx="4655820" cy="4631055"/>
            <wp:effectExtent l="0" t="0" r="0" b="0"/>
            <wp:wrapTopAndBottom/>
            <wp:docPr id="3443979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397949" name=""/>
                    <pic:cNvPicPr/>
                  </pic:nvPicPr>
                  <pic:blipFill>
                    <a:blip r:embed="rId12">
                      <a:extLst>
                        <a:ext uri="{28A0092B-C50C-407E-A947-70E740481C1C}">
                          <a14:useLocalDpi xmlns:a14="http://schemas.microsoft.com/office/drawing/2010/main" val="0"/>
                        </a:ext>
                      </a:extLst>
                    </a:blip>
                    <a:stretch>
                      <a:fillRect/>
                    </a:stretch>
                  </pic:blipFill>
                  <pic:spPr>
                    <a:xfrm>
                      <a:off x="0" y="0"/>
                      <a:ext cx="4657704" cy="4633250"/>
                    </a:xfrm>
                    <a:prstGeom prst="rect">
                      <a:avLst/>
                    </a:prstGeom>
                  </pic:spPr>
                </pic:pic>
              </a:graphicData>
            </a:graphic>
            <wp14:sizeRelV relativeFrom="margin">
              <wp14:pctHeight>0</wp14:pctHeight>
            </wp14:sizeRelV>
          </wp:anchor>
        </w:drawing>
      </w:r>
    </w:p>
    <w:p w14:paraId="086F4E94" w14:textId="7435416B" w:rsidR="00CA138F" w:rsidRDefault="00CA138F" w:rsidP="00F62683">
      <w:pPr>
        <w:spacing w:after="240" w:line="360" w:lineRule="auto"/>
        <w:jc w:val="both"/>
      </w:pPr>
      <w:r>
        <w:t xml:space="preserve">L'alimentation hydrique de chaque étang provient d'une ou plusieurs arrivées d'eau depuis l'amont. De même, plusieurs </w:t>
      </w:r>
      <w:proofErr w:type="spellStart"/>
      <w:r>
        <w:t>thou</w:t>
      </w:r>
      <w:proofErr w:type="spellEnd"/>
      <w:r>
        <w:t xml:space="preserve"> peuvent être présents sur un étang, bien que le </w:t>
      </w:r>
      <w:proofErr w:type="spellStart"/>
      <w:r>
        <w:t>thou</w:t>
      </w:r>
      <w:proofErr w:type="spellEnd"/>
      <w:r>
        <w:t xml:space="preserve"> principal, situé au niveau de la pêcherie et le plus déterminant pour la gestion de la vidange lors des opérations de pêche.</w:t>
      </w:r>
    </w:p>
    <w:p w14:paraId="0EDCFE59" w14:textId="77777777" w:rsidR="00F62683" w:rsidRDefault="00CA138F" w:rsidP="00F62683">
      <w:pPr>
        <w:spacing w:after="240" w:line="360" w:lineRule="auto"/>
        <w:jc w:val="both"/>
      </w:pPr>
      <w:r>
        <w:t xml:space="preserve">Le réseau de fossés associé aux étangs remplit plusieurs fonctions hydrologiques. Les fossés principaux assurent le remplissage et la vidange des étangs via les arrivées et sorties d'eau. Les fossés de ceinture permettent aux apports amont de contourner l'étang plutôt que de le traverser, régulant ainsi l'entrée d'eau. Enfin, les fossés de drainage collectent les écoulements souterrains et superficiels des parcelles environnantes avant de les rediriger vers les étangs. </w:t>
      </w:r>
    </w:p>
    <w:p w14:paraId="0C2FF005" w14:textId="265C85BC" w:rsidR="00AB7ABF" w:rsidRDefault="00016F3F" w:rsidP="00F62683">
      <w:pPr>
        <w:spacing w:after="240" w:line="360" w:lineRule="auto"/>
        <w:jc w:val="both"/>
      </w:pPr>
      <w:r>
        <w:lastRenderedPageBreak/>
        <w:t xml:space="preserve">Plusieurs activités sont pratiquées sur les étangs de la Dombes : la pêche, la chasse et diverses activités touristiques. La pisciculture demeure l'activité dominante, structurant le cycle annuel des étangs. Chaque année, </w:t>
      </w:r>
      <w:r w:rsidR="00B25CD7">
        <w:t>les étangs</w:t>
      </w:r>
      <w:r>
        <w:t xml:space="preserve"> sont empoissonnés, vidangés puis pêchés, avec une mise en assec</w:t>
      </w:r>
      <w:r w:rsidR="00B25CD7">
        <w:t xml:space="preserve"> sur </w:t>
      </w:r>
      <w:r w:rsidR="00E66384">
        <w:t>un an</w:t>
      </w:r>
      <w:r>
        <w:t xml:space="preserve"> selon les pratiques locales tous les quatre à cinq ans.</w:t>
      </w:r>
    </w:p>
    <w:p w14:paraId="03E637FD" w14:textId="1E2B4CB9" w:rsidR="00E66384" w:rsidRDefault="00016F3F" w:rsidP="00F62683">
      <w:pPr>
        <w:spacing w:after="240" w:line="360" w:lineRule="auto"/>
        <w:jc w:val="both"/>
      </w:pPr>
      <w:r>
        <w:t>La vidange suit un ordre précis afin de respecter l'enchaînement logique de la chaîne d'étangs et de minimiser les pertes d'eau. Les étangs en aval sont ainsi pêchés en premier, tandis que ceux en amont sont vidangés en dernier</w:t>
      </w:r>
      <w:r w:rsidR="00D1662B">
        <w:t xml:space="preserve"> </w:t>
      </w:r>
      <w:r w:rsidR="008E6356">
        <w:fldChar w:fldCharType="begin"/>
      </w:r>
      <w:r w:rsidR="008E6356">
        <w:instrText xml:space="preserve"> ADDIN ZOTERO_ITEM CSL_CITATION {"citationID":"MYJDYsN9","properties":{"formattedCitation":"(B\\uc0\\u233{}rard, Marchenay, 2008)","plainCitation":"(Bérard, Marchenay, 2008)","noteIndex":0},"citationItems":[{"id":427,"uris":["http://zotero.org/users/16716349/items/Y97ZCV5D"],"itemData":{"id":427,"type":"article-journal","container-title":"AGRICULTURES SINGULIÈRES","language":"fr","source":"Zotero","title":"Les étangs de la Dombes (France)","author":[{"family":"Bérard","given":"L"},{"family":"Marchenay","given":"P"}],"issued":{"date-parts":[["2008"]]}}}],"schema":"https://github.com/citation-style-language/schema/raw/master/csl-citation.json"} </w:instrText>
      </w:r>
      <w:r w:rsidR="008E6356">
        <w:fldChar w:fldCharType="separate"/>
      </w:r>
      <w:r w:rsidR="008E6356" w:rsidRPr="008E6356">
        <w:rPr>
          <w:rFonts w:ascii="Calibri" w:hAnsi="Calibri" w:cs="Calibri"/>
          <w:szCs w:val="24"/>
        </w:rPr>
        <w:t>(Bérard, Marchenay, 2008)</w:t>
      </w:r>
      <w:r w:rsidR="008E6356">
        <w:fldChar w:fldCharType="end"/>
      </w:r>
      <w:r w:rsidR="00D1662B">
        <w:t>.</w:t>
      </w:r>
    </w:p>
    <w:p w14:paraId="3E0EC85C" w14:textId="699549A8" w:rsidR="00A42366" w:rsidRDefault="00016F3F" w:rsidP="00F62683">
      <w:pPr>
        <w:spacing w:after="240" w:line="360" w:lineRule="auto"/>
        <w:jc w:val="both"/>
      </w:pPr>
      <w:r>
        <w:t xml:space="preserve">Des exceptions existent toutefois selon les gestionnaires, notamment pour les étangs mis en assec, qui sont pêchés en dernier. La vitesse de vidange est de l'ordre d'un hectare par jour selon les différents experts et gestionnaires travaillant dans la région. </w:t>
      </w:r>
    </w:p>
    <w:p w14:paraId="05F5068D" w14:textId="177E4A57" w:rsidR="0096621E" w:rsidRDefault="0096621E" w:rsidP="00F62683">
      <w:pPr>
        <w:spacing w:after="240" w:line="360" w:lineRule="auto"/>
        <w:jc w:val="both"/>
      </w:pPr>
      <w:r>
        <w:t>La gestion des chaînes d'étangs repose sur une interdépendance fonctionnelle stricte qui impose une concertation permanente entre les différents gestionnaires. Historiquement, le droit coutumier établit une logique d’écoulement impliquant qu'un étang supérieur ne peut se vidanger que si l'ouvrage inférieur est en mesure de recevoir ses eaux, ce qui nécessite une synchronisation rigoureuse des calendriers d'assec et d'évolage. Cependant, cette coordination ancestrale est aujourd'hui mise à l'épreuve par la divergence des intérêts économiques, notamment lorsque la priorité donnée à la chasse ou au tourisme encourage un maintien en eau prolongé au détriment des cycles de vidange nécessaires à la pisciculture</w:t>
      </w:r>
      <w:r w:rsidR="00D1662B">
        <w:t xml:space="preserve"> </w:t>
      </w:r>
      <w:r w:rsidR="008E6356">
        <w:fldChar w:fldCharType="begin"/>
      </w:r>
      <w:r w:rsidR="008E6356">
        <w:instrText xml:space="preserve"> ADDIN ZOTERO_ITEM CSL_CITATION {"citationID":"oDMyXyks","properties":{"formattedCitation":"(Laurent, 2005)","plainCitation":"(Laurent, 2005)","noteIndex":0},"citationItems":[{"id":434,"uris":["http://zotero.org/users/16716349/items/WBE98SQW"],"itemData":{"id":434,"type":"book","abstract":"Mémoire présenté en vue d'obtenir le diplôme d'ingénieur ESGT. L'exploitation des étangs est basée sur la rotation de périodes de mise en eau et de cultures successives. Un étang est composé de plusieurs parties qui sont indispensables à son bon fonctionnement. Elles remplissent chacune leur rôle durant les phases d'exploitation. Les étangs sont aujourd'hui régis par le régime des installations classées. Toutefois les usages locaux sont toujours utilisés pour organiser la vie des étangs. La Dombes participe au réseau Natura 2000 pour maintenir la diversité biologique de ses nombreux milieux naturels et des espèces d'intérêts européens qui y vivent.&lt;br/&gt;&lt;br/&gt;","language":"français","number-of-pages":"Papier, 73","publisher":"Ministère de l'Education Nationale de l'Enseignement Supérieur et de la Recherche. 72000 LE MANS","source":"COinS","title":"Coutumes et usages des étangs de la Dombes","URL":"https://side.developpement-durable.gouv.fr/Default/doc/SYRACUSE/139999/coutumes-et-usages-des-etangs-de-la-dombes","author":[{"family":"Laurent","given":"RAYNAL"}],"accessed":{"date-parts":[["2026",4,8]]},"issued":{"date-parts":[["2005"]]}}}],"schema":"https://github.com/citation-style-language/schema/raw/master/csl-citation.json"} </w:instrText>
      </w:r>
      <w:r w:rsidR="008E6356">
        <w:fldChar w:fldCharType="separate"/>
      </w:r>
      <w:r w:rsidR="008E6356" w:rsidRPr="008E6356">
        <w:rPr>
          <w:rFonts w:ascii="Calibri" w:hAnsi="Calibri" w:cs="Calibri"/>
        </w:rPr>
        <w:t>(Laurent, 2005)</w:t>
      </w:r>
      <w:r w:rsidR="008E6356">
        <w:fldChar w:fldCharType="end"/>
      </w:r>
      <w:r w:rsidR="00D1662B">
        <w:t>.</w:t>
      </w:r>
    </w:p>
    <w:p w14:paraId="6D14D47D" w14:textId="27576176" w:rsidR="0004556B" w:rsidRDefault="0096621E" w:rsidP="00F62683">
      <w:pPr>
        <w:spacing w:after="240" w:line="360" w:lineRule="auto"/>
        <w:jc w:val="both"/>
      </w:pPr>
      <w:r>
        <w:t>Cette situation engendre des tensions croissantes entre les différents acteurs du territoire. Malgré les initiatives mises en place pour instaurer des calendriers de gestion communs, les difficultés liées à cette gestion collective de l'eau persistent. Ce phénomène tend à s'accentuer avec l'évolution préoccupante de l'état de la ressource en France et dans la région, où l'eau est désormais perçue comme une ressource rare et stratégique</w:t>
      </w:r>
      <w:r w:rsidR="000A3033">
        <w:t xml:space="preserve"> </w:t>
      </w:r>
      <w:r w:rsidR="008E6356">
        <w:fldChar w:fldCharType="begin"/>
      </w:r>
      <w:r w:rsidR="008E6356">
        <w:instrText xml:space="preserve"> ADDIN ZOTERO_ITEM CSL_CITATION {"citationID":"oX8gj8gR","properties":{"formattedCitation":"(SCot, 2020)","plainCitation":"(SCot, 2020)","noteIndex":0},"citationItems":[{"id":433,"uris":["http://zotero.org/users/16716349/items/SE8DA4ZE"],"itemData":{"id":433,"type":"post-weblog","container-title":"Communauté de Communes de la Dombes","language":"fr-FR","title":"L’annexe 2 : le diagnostic agricole","URL":"https://www.ccdombes.fr/vivre/amenagement-du-territoire/schema-de-coherence-territoriale-scot/","author":[{"literal":"SCot"}],"accessed":{"date-parts":[["2026",4,8]]},"issued":{"date-parts":[["2020"]]}}}],"schema":"https://github.com/citation-style-language/schema/raw/master/csl-citation.json"} </w:instrText>
      </w:r>
      <w:r w:rsidR="008E6356">
        <w:fldChar w:fldCharType="separate"/>
      </w:r>
      <w:r w:rsidR="008E6356" w:rsidRPr="008E6356">
        <w:rPr>
          <w:rFonts w:ascii="Calibri" w:hAnsi="Calibri" w:cs="Calibri"/>
        </w:rPr>
        <w:t>(SCot, 2020)</w:t>
      </w:r>
      <w:r w:rsidR="008E6356">
        <w:fldChar w:fldCharType="end"/>
      </w:r>
      <w:r>
        <w:t>. Dans ce contexte de raréfaction, l'arbitrage entre les différents usages devient un point de friction majeur, rendant la prise de décision de plus en plus complexe pour les gestionnaires de chaînes</w:t>
      </w:r>
      <w:r w:rsidR="0085023E" w:rsidRPr="0085023E">
        <w:t xml:space="preserve"> </w:t>
      </w:r>
      <w:r w:rsidR="008E6356">
        <w:fldChar w:fldCharType="begin"/>
      </w:r>
      <w:r w:rsidR="008E6356">
        <w:instrText xml:space="preserve"> ADDIN ZOTERO_ITEM CSL_CITATION {"citationID":"TTK2BDpg","properties":{"formattedCitation":"(Laurent, 2005)","plainCitation":"(Laurent, 2005)","noteIndex":0},"citationItems":[{"id":434,"uris":["http://zotero.org/users/16716349/items/WBE98SQW"],"itemData":{"id":434,"type":"book","abstract":"Mémoire présenté en vue d'obtenir le diplôme d'ingénieur ESGT. L'exploitation des étangs est basée sur la rotation de périodes de mise en eau et de cultures successives. Un étang est composé de plusieurs parties qui sont indispensables à son bon fonctionnement. Elles remplissent chacune leur rôle durant les phases d'exploitation. Les étangs sont aujourd'hui régis par le régime des installations classées. Toutefois les usages locaux sont toujours utilisés pour organiser la vie des étangs. La Dombes participe au réseau Natura 2000 pour maintenir la diversité biologique de ses nombreux milieux naturels et des espèces d'intérêts européens qui y vivent.&lt;br/&gt;&lt;br/&gt;","language":"français","number-of-pages":"Papier, 73","publisher":"Ministère de l'Education Nationale de l'Enseignement Supérieur et de la Recherche. 72000 LE MANS","source":"COinS","title":"Coutumes et usages des étangs de la Dombes","URL":"https://side.developpement-durable.gouv.fr/Default/doc/SYRACUSE/139999/coutumes-et-usages-des-etangs-de-la-dombes","author":[{"family":"Laurent","given":"RAYNAL"}],"accessed":{"date-parts":[["2026",4,8]]},"issued":{"date-parts":[["2005"]]}}}],"schema":"https://github.com/citation-style-language/schema/raw/master/csl-citation.json"} </w:instrText>
      </w:r>
      <w:r w:rsidR="008E6356">
        <w:fldChar w:fldCharType="separate"/>
      </w:r>
      <w:r w:rsidR="008E6356" w:rsidRPr="008E6356">
        <w:rPr>
          <w:rFonts w:ascii="Calibri" w:hAnsi="Calibri" w:cs="Calibri"/>
        </w:rPr>
        <w:t>(Laurent, 2005)</w:t>
      </w:r>
      <w:r w:rsidR="008E6356">
        <w:fldChar w:fldCharType="end"/>
      </w:r>
      <w:r w:rsidR="00D1662B">
        <w:t>.</w:t>
      </w:r>
    </w:p>
    <w:p w14:paraId="6B055D9A" w14:textId="2F6E03F7" w:rsidR="00360C71" w:rsidRDefault="004B1702" w:rsidP="00F62683">
      <w:pPr>
        <w:pStyle w:val="Titre2"/>
        <w:numPr>
          <w:ilvl w:val="1"/>
          <w:numId w:val="12"/>
        </w:numPr>
        <w:spacing w:after="240" w:afterAutospacing="0" w:line="360" w:lineRule="auto"/>
      </w:pPr>
      <w:bookmarkStart w:id="8" w:name="_Toc228373033"/>
      <w:r w:rsidRPr="00360C71">
        <w:t>La vulnérabilité</w:t>
      </w:r>
      <w:r w:rsidR="000A3033">
        <w:t xml:space="preserve"> </w:t>
      </w:r>
      <w:r w:rsidR="006E7991">
        <w:t>pilier indispensable de l’étude</w:t>
      </w:r>
      <w:bookmarkEnd w:id="8"/>
      <w:r w:rsidRPr="00360C71">
        <w:t> </w:t>
      </w:r>
    </w:p>
    <w:p w14:paraId="0ECECFFD" w14:textId="545872CB" w:rsidR="00360C71" w:rsidRDefault="00360C71" w:rsidP="00F62683">
      <w:pPr>
        <w:spacing w:after="240" w:line="360" w:lineRule="auto"/>
        <w:jc w:val="both"/>
        <w:rPr>
          <w:b/>
          <w:bCs/>
        </w:rPr>
      </w:pPr>
      <w:r>
        <w:t>Ce système hydraulique, bien qu'historiquement stable, fonctionne sur un équilibre fragile entre apports (pluie, ruissellement) et sorties (évapotranspiration, vidange). Face aux projections climatiques évoquées en introduction (diminution des précipitations, intensification des extrêmes), il est important</w:t>
      </w:r>
      <w:r w:rsidR="004B1702">
        <w:t xml:space="preserve"> d’essayer</w:t>
      </w:r>
      <w:r>
        <w:t xml:space="preserve"> de comprendre comment cette interdépendance des chaînes d'étangs réagira. Cela nécessite de définir précisément ce qu'on entend par vulnérabilité climatique d'un tel système.</w:t>
      </w:r>
    </w:p>
    <w:p w14:paraId="0D227AD9" w14:textId="77777777" w:rsidR="00063484" w:rsidRDefault="00063484" w:rsidP="00F62683">
      <w:pPr>
        <w:spacing w:after="240" w:line="360" w:lineRule="auto"/>
        <w:jc w:val="both"/>
        <w:rPr>
          <w:b/>
          <w:bCs/>
        </w:rPr>
      </w:pPr>
    </w:p>
    <w:p w14:paraId="29504844" w14:textId="6B96D77B" w:rsidR="00BC6E00" w:rsidRDefault="00BC6E00" w:rsidP="00F62683">
      <w:pPr>
        <w:spacing w:after="240" w:line="360" w:lineRule="auto"/>
        <w:jc w:val="both"/>
      </w:pPr>
      <w:r>
        <w:t xml:space="preserve">La définition la plus largement reconnue pour la vulnérabilité est celle du GIEC </w:t>
      </w:r>
      <w:r w:rsidR="008E6356">
        <w:fldChar w:fldCharType="begin"/>
      </w:r>
      <w:r w:rsidR="008E6356">
        <w:instrText xml:space="preserve"> ADDIN ZOTERO_ITEM CSL_CITATION {"citationID":"Dq5TIDNu","properties":{"formattedCitation":"(IPCC, 2014)","plainCitation":"(IPCC, 2014)","noteIndex":0},"citationItems":[{"id":444,"uris":["http://zotero.org/users/16716349/items/VBVTGFW9"],"itemData":{"id":444,"type":"post-weblog","title":"AR5 Synthesis Report: Climate Change 2014 — IPCC","title-short":"AR5 Synthesis Report","URL":"https://www.ipcc.ch/report/ar5/syr/","author":[{"family":"IPCC","given":""}],"accessed":{"date-parts":[["2026",4,9]]},"issued":{"date-parts":[["2014"]]}}}],"schema":"https://github.com/citation-style-language/schema/raw/master/csl-citation.json"} </w:instrText>
      </w:r>
      <w:r w:rsidR="008E6356">
        <w:fldChar w:fldCharType="separate"/>
      </w:r>
      <w:r w:rsidR="008E6356" w:rsidRPr="008E6356">
        <w:rPr>
          <w:rFonts w:ascii="Calibri" w:hAnsi="Calibri" w:cs="Calibri"/>
        </w:rPr>
        <w:t>(IPCC, 2014)</w:t>
      </w:r>
      <w:r w:rsidR="008E6356">
        <w:fldChar w:fldCharType="end"/>
      </w:r>
      <w:r w:rsidR="008E6356">
        <w:t xml:space="preserve">, </w:t>
      </w:r>
      <w:r>
        <w:t>qui la décrit comme « la propension ou la prédisposition à être affectée de manière négative par les changements climatiques ». Ce concept s'articule autour de trois dimensions fondamentales qui structurent la littérature scientifique, bien qu’elles soient parfois abordées sous différents cadres méthodologiques :</w:t>
      </w:r>
    </w:p>
    <w:p w14:paraId="47167F3E" w14:textId="59BA793C" w:rsidR="00BC6E00" w:rsidRDefault="00BC6E00" w:rsidP="00F62683">
      <w:pPr>
        <w:pStyle w:val="Paragraphedeliste"/>
        <w:numPr>
          <w:ilvl w:val="0"/>
          <w:numId w:val="5"/>
        </w:numPr>
        <w:spacing w:after="240" w:line="360" w:lineRule="auto"/>
        <w:jc w:val="both"/>
      </w:pPr>
      <w:r w:rsidRPr="00BC6E00">
        <w:rPr>
          <w:b/>
          <w:bCs/>
        </w:rPr>
        <w:t>L'exposition :</w:t>
      </w:r>
      <w:r>
        <w:t xml:space="preserve"> elle concerne la nature, l'ampleur et le rythme des changements climatiques subis par le système.</w:t>
      </w:r>
    </w:p>
    <w:p w14:paraId="696EC681" w14:textId="666EBBD1" w:rsidR="00BC6E00" w:rsidRDefault="00BC6E00" w:rsidP="00F62683">
      <w:pPr>
        <w:pStyle w:val="Paragraphedeliste"/>
        <w:numPr>
          <w:ilvl w:val="0"/>
          <w:numId w:val="5"/>
        </w:numPr>
        <w:spacing w:after="240" w:line="360" w:lineRule="auto"/>
        <w:jc w:val="both"/>
      </w:pPr>
      <w:r w:rsidRPr="00BC6E00">
        <w:rPr>
          <w:b/>
          <w:bCs/>
        </w:rPr>
        <w:t>La sensibilité :</w:t>
      </w:r>
      <w:r>
        <w:t xml:space="preserve"> elle représente le degré de réaction du milieu et les conséquences potentielles de ces changements sur la ressource.</w:t>
      </w:r>
    </w:p>
    <w:p w14:paraId="0CD8B1BF" w14:textId="32F10B88" w:rsidR="00BC6E00" w:rsidRDefault="00BC6E00" w:rsidP="00F62683">
      <w:pPr>
        <w:pStyle w:val="Paragraphedeliste"/>
        <w:numPr>
          <w:ilvl w:val="0"/>
          <w:numId w:val="5"/>
        </w:numPr>
        <w:spacing w:after="240" w:line="360" w:lineRule="auto"/>
        <w:jc w:val="both"/>
      </w:pPr>
      <w:r w:rsidRPr="00BC6E00">
        <w:rPr>
          <w:b/>
          <w:bCs/>
        </w:rPr>
        <w:t>La capacité d’adaptation :</w:t>
      </w:r>
      <w:r>
        <w:t xml:space="preserve"> elle évalue la faculté du système et de ses gestionnaires à s'ajuster pour limiter les impacts négatifs.</w:t>
      </w:r>
    </w:p>
    <w:p w14:paraId="39A1F2A8" w14:textId="4E817834" w:rsidR="004422DE" w:rsidRDefault="00BC6E00" w:rsidP="00F62683">
      <w:pPr>
        <w:spacing w:after="240" w:line="360" w:lineRule="auto"/>
        <w:jc w:val="both"/>
      </w:pPr>
      <w:r>
        <w:t>L'évaluation de la vulnérabilité d'un territoire à l'évolution de la ressource en eau repose sur l'interaction de ces trois piliers</w:t>
      </w:r>
      <w:r w:rsidR="008E6356">
        <w:t xml:space="preserve"> </w:t>
      </w:r>
      <w:r w:rsidR="008E6356">
        <w:fldChar w:fldCharType="begin"/>
      </w:r>
      <w:r w:rsidR="008E6356">
        <w:instrText xml:space="preserve"> ADDIN ZOTERO_ITEM CSL_CITATION {"citationID":"vgJOzt65","properties":{"formattedCitation":"(Panthi {\\i{}et al.}, 2015; F\\uc0\\u252{}ssel, Klein, 2006; Unks {\\i{}et al.}, 2019)","plainCitation":"(Panthi et al., 2015; Füssel, Klein, 2006; Unks et al., 2019)","noteIndex":0},"citationItems":[{"id":440,"uris":["http://zotero.org/users/16716349/items/VGLXY6SB"],"itemData":{"id":440,"type":"article-journal","abstract":"Climate change vulnerability depends upon various factors and differs between places, sectors and communities. People in developing countries whose subsistence livelihood depends mainly upon agriculture and livestock production are identified as particularly vulnerable. Nepal, where the majority of people are in a mixed agro-livestock system, is identified as the world’s fourth most vulnerable country to climate change. However, there is limited knowledge on how vulnerable mixed agro-livestock smallholders are and how their vulnerability differs across different ecological regions in Nepal. This study aims to test two vulnerability assessment indices, livelihood vulnerability index and IPCC vulnerability index, around the Gandaki River Basin of central Nepal. A total of 543 households practicing mixed agro-livestock were surveyed from three districts, namely Dhading, Syangja and Kapilvastu representing three major ecological zones: mountain, mid-hill and Terai (lowland). Data on socio-demographics, livelihood determinants, social networks, health, food and water security, natural disasters and climate variability were collected and combined into the indices. Both indices differed for mixed agro-livestock smallholders across the three districts, with Dhading scoring as the most vulnerable and Syangja the least. Substantial variation across the districts was observed in components, sub-components and three dimensions (exposure, sensitivity and adaptive capacity) of vulnerability. The findings help in designing site-specific intervention strategies to reduce vulnerability of mixed agro-livestock smallholders to climate change.","container-title":"Regional Environmental Change","DOI":"10.1007/s10113-015-0833-y","journalAbbreviation":"Regional Environmental Change","source":"ResearchGate","title":"Livelihood vulnerability approach to assessing climate change impacts on mixed agro-livestock smallholders around the Gandaki River Basin in Nepal","volume":"16","author":[{"family":"Panthi","given":"Jeeban"},{"family":"Aryal","given":"Suman"},{"family":"Dahal","given":"Piyush"},{"family":"Bhandari","given":"Parashuram"},{"family":"Krakauer","given":"Nir"},{"family":"Pandey","given":"Vishnu"}],"issued":{"date-parts":[["2015",7,5]]}}},{"id":442,"uris":["http://zotero.org/users/16716349/items/TJT5QIQ2"],"itemData":{"id":442,"type":"article-journal","abstract":"Vulnerability is an emerging concept for climate science and policy. Over the past decade, efforts to assess vulnerability to climate change triggered a process of theory development and assessment practice, which is reflected in the reports of the Intergovernmental Panel on Climate Change (IPCC). This paper reviews the historical development of the conceptual ideas underpinning assessments of vulnerability to climate change. We distinguish climate impact assessment, first- and second-generation vulnerability assessment, and adaptation policy assessment. The different generations of assessments are described by means of a conceptual framework that defines key concepts of the assessment and their analytical relationships. The purpose of this conceptual framework is two-fold: first, to present a consistent visual glossary of the main concepts underlying the IPCC approach to vulnerability and its assessment; second, to show the evolution of vulnerability assessments. This evolution is characterized by the progressive inclusion of non-climatic determinants of vulnerability to climate change, including adaptive capacity, and the shift from estimating expected damages to attempting to reduce them. We hope that this paper improves the understanding of the main approaches to climate change vulnerability assessment and their evolution, not only within the climate change community but also among researchers from other scientific communities, who are sometimes puzzled by the unfamiliar use of technical terms in the context of climate change.","container-title":"Climatic Change","DOI":"10.1007/s10584-006-0329-3","ISSN":"1573-1480","issue":"3","journalAbbreviation":"Climatic Change","language":"en","page":"301-329","source":"Springer Link","title":"Climate Change Vulnerability Assessments: An Evolution of Conceptual Thinking","title-short":"Climate Change Vulnerability Assessments","volume":"75","author":[{"family":"Füssel","given":"Hans-Martin"},{"family":"Klein","given":"Richard J. T."}],"issued":{"date-parts":[["2006",4,1]]}}},{"id":438,"uris":["http://zotero.org/users/16716349/items/T22TWBRR"],"itemData":{"id":438,"type":"article-journal","abstract":"The focus of this study is on how changes in formal and informal institutions have differential impacts across populations in terms of vulnerability of livelihoods to drought, and the unequal processes that shape adaptation to new conditions. Drought vulnerability occurs as a result of exposure and sensitivity to interrelated economic, social, political, and ecological dynamics. There is a need for approaches that can evaluate how the ability to reduce these exposures and sensitivities becomes socially stratified. Building on our understanding of institutional and biophysical constraints in one pastoralist group ranch, we use an approach that draws on quantitative and qualitative data to combine analyses of entitlements, access, and adaptive capacity. We asked how, in a context of changing herding institutions, the ability to adapt to drought and other stressors, is differentiated among actors. We found that herders with higher livestock wealth are more likely to have entitlement sets that include factors that enable access to secure cattle grazing on private wildlife conservation lands, and access to more distant areas with herds of sheep and cattle – two key means of reducing exposure to drought vulnerability, leading to greater coping ability during drought. Those with lower livestock wealth rely disproportionately on illicit, precarious access to external grazing resources. Higher livestock wealth families experienced disproportionately lower sensitivity to drought with smaller losses of cattle, and likely have decreased sensitivity to drought-related market fluctuations, while others are primarily reliant on small stock and/or precarious access pathways. However, rather than naturalize this differential ability as merely increased adaptive capacity for some that are better able to adapt to novel, local conditions, we argue this instead reflects the unequal footing that households find themselves on, in a shifting institutional landscape of structural and relational access constraints and reconfigurations of reciprocity, that are intertwined with interventions by state and non-state actors.","container-title":"Global Environmental Change","DOI":"10.1016/j.gloenvcha.2018.11.013","journalAbbreviation":"Global Environmental Change","page":"124-134","source":"ResearchGate","title":"Constraints, multiple stressors, and stratified adaptation: Pastoralist livelihood vulnerability in a semi-arid wildlife conservation context in Central Kenya","title-short":"Constraints, multiple stressors, and stratified adaptation","volume":"54","author":[{"family":"Unks","given":"Ryan"},{"family":"King","given":"Elizabeth"},{"family":"Nelson","given":"Don"},{"family":"Wachira","given":"Naiputari"},{"family":"German","given":"Laura"}],"issued":{"date-parts":[["2019",1,1]]}}}],"schema":"https://github.com/citation-style-language/schema/raw/master/csl-citation.json"} </w:instrText>
      </w:r>
      <w:r w:rsidR="008E6356">
        <w:fldChar w:fldCharType="separate"/>
      </w:r>
      <w:r w:rsidR="008E6356" w:rsidRPr="008E6356">
        <w:rPr>
          <w:rFonts w:ascii="Calibri" w:hAnsi="Calibri" w:cs="Calibri"/>
          <w:szCs w:val="24"/>
        </w:rPr>
        <w:t xml:space="preserve">(Panthi </w:t>
      </w:r>
      <w:r w:rsidR="008E6356" w:rsidRPr="008E6356">
        <w:rPr>
          <w:rFonts w:ascii="Calibri" w:hAnsi="Calibri" w:cs="Calibri"/>
          <w:i/>
          <w:iCs/>
          <w:szCs w:val="24"/>
        </w:rPr>
        <w:t>et al.</w:t>
      </w:r>
      <w:r w:rsidR="008E6356" w:rsidRPr="008E6356">
        <w:rPr>
          <w:rFonts w:ascii="Calibri" w:hAnsi="Calibri" w:cs="Calibri"/>
          <w:szCs w:val="24"/>
        </w:rPr>
        <w:t xml:space="preserve">, 2015; Füssel, Klein, 2006; Unks </w:t>
      </w:r>
      <w:r w:rsidR="008E6356" w:rsidRPr="008E6356">
        <w:rPr>
          <w:rFonts w:ascii="Calibri" w:hAnsi="Calibri" w:cs="Calibri"/>
          <w:i/>
          <w:iCs/>
          <w:szCs w:val="24"/>
        </w:rPr>
        <w:t>et al.</w:t>
      </w:r>
      <w:r w:rsidR="008E6356" w:rsidRPr="008E6356">
        <w:rPr>
          <w:rFonts w:ascii="Calibri" w:hAnsi="Calibri" w:cs="Calibri"/>
          <w:szCs w:val="24"/>
        </w:rPr>
        <w:t>, 2019)</w:t>
      </w:r>
      <w:r w:rsidR="008E6356">
        <w:fldChar w:fldCharType="end"/>
      </w:r>
      <w:r w:rsidR="008E6356">
        <w:t>.</w:t>
      </w:r>
    </w:p>
    <w:p w14:paraId="1005068A" w14:textId="6B19259D" w:rsidR="009E3AC6" w:rsidRDefault="009E3AC6" w:rsidP="00F62683">
      <w:pPr>
        <w:spacing w:after="240" w:line="360" w:lineRule="auto"/>
        <w:jc w:val="both"/>
      </w:pPr>
      <w:r>
        <w:t>Cependant, la conceptualisation de cette vulnérabilité a considérablement évolué dans la littérature scientifique au cours des dernières décennies. Historiquement centrées sur l'évaluation directe des impacts biophysiques (ce que l'on nomme les évaluations de première génération), les approches méthodologiques se sont élargies pour intégrer pleinement les déterminants socio-économiques et politiques</w:t>
      </w:r>
      <w:r w:rsidR="0048493E">
        <w:t xml:space="preserve"> </w:t>
      </w:r>
      <w:r w:rsidR="008E6356">
        <w:fldChar w:fldCharType="begin"/>
      </w:r>
      <w:r w:rsidR="008E6356">
        <w:instrText xml:space="preserve"> ADDIN ZOTERO_ITEM CSL_CITATION {"citationID":"66WLzgP6","properties":{"formattedCitation":"(F\\uc0\\u252{}ssel, Klein, 2006)","plainCitation":"(Füssel, Klein, 2006)","noteIndex":0},"citationItems":[{"id":442,"uris":["http://zotero.org/users/16716349/items/TJT5QIQ2"],"itemData":{"id":442,"type":"article-journal","abstract":"Vulnerability is an emerging concept for climate science and policy. Over the past decade, efforts to assess vulnerability to climate change triggered a process of theory development and assessment practice, which is reflected in the reports of the Intergovernmental Panel on Climate Change (IPCC). This paper reviews the historical development of the conceptual ideas underpinning assessments of vulnerability to climate change. We distinguish climate impact assessment, first- and second-generation vulnerability assessment, and adaptation policy assessment. The different generations of assessments are described by means of a conceptual framework that defines key concepts of the assessment and their analytical relationships. The purpose of this conceptual framework is two-fold: first, to present a consistent visual glossary of the main concepts underlying the IPCC approach to vulnerability and its assessment; second, to show the evolution of vulnerability assessments. This evolution is characterized by the progressive inclusion of non-climatic determinants of vulnerability to climate change, including adaptive capacity, and the shift from estimating expected damages to attempting to reduce them. We hope that this paper improves the understanding of the main approaches to climate change vulnerability assessment and their evolution, not only within the climate change community but also among researchers from other scientific communities, who are sometimes puzzled by the unfamiliar use of technical terms in the context of climate change.","container-title":"Climatic Change","DOI":"10.1007/s10584-006-0329-3","ISSN":"1573-1480","issue":"3","journalAbbreviation":"Climatic Change","language":"en","page":"301-329","source":"Springer Link","title":"Climate Change Vulnerability Assessments: An Evolution of Conceptual Thinking","title-short":"Climate Change Vulnerability Assessments","volume":"75","author":[{"family":"Füssel","given":"Hans-Martin"},{"family":"Klein","given":"Richard J. T."}],"issued":{"date-parts":[["2006",4,1]]}}}],"schema":"https://github.com/citation-style-language/schema/raw/master/csl-citation.json"} </w:instrText>
      </w:r>
      <w:r w:rsidR="008E6356">
        <w:fldChar w:fldCharType="separate"/>
      </w:r>
      <w:r w:rsidR="008E6356" w:rsidRPr="008E6356">
        <w:rPr>
          <w:rFonts w:ascii="Calibri" w:hAnsi="Calibri" w:cs="Calibri"/>
          <w:szCs w:val="24"/>
        </w:rPr>
        <w:t>(Füssel, Klein, 2006)</w:t>
      </w:r>
      <w:r w:rsidR="008E6356">
        <w:fldChar w:fldCharType="end"/>
      </w:r>
      <w:r w:rsidR="008E6356">
        <w:t xml:space="preserve">. </w:t>
      </w:r>
      <w:r>
        <w:t>En effet, la vulnérabilité ne se résume pas à une simple équation statique</w:t>
      </w:r>
      <w:r w:rsidR="006E7991">
        <w:t>,</w:t>
      </w:r>
      <w:r>
        <w:t xml:space="preserve"> elle constitue une dynamique complexe </w:t>
      </w:r>
      <w:r w:rsidR="00BD0CD3">
        <w:t>avec un mélange</w:t>
      </w:r>
      <w:r>
        <w:t xml:space="preserve"> de processus biophysiques et sociaux</w:t>
      </w:r>
      <w:r w:rsidR="008E6356">
        <w:t xml:space="preserve"> </w:t>
      </w:r>
      <w:r w:rsidR="008E6356">
        <w:fldChar w:fldCharType="begin"/>
      </w:r>
      <w:r w:rsidR="008E6356">
        <w:instrText xml:space="preserve"> ADDIN ZOTERO_ITEM CSL_CITATION {"citationID":"HGDPfZzi","properties":{"formattedCitation":"(Panthi {\\i{}et al.}, 2015; IPCC, 2014)","plainCitation":"(Panthi et al., 2015; IPCC, 2014)","noteIndex":0},"citationItems":[{"id":440,"uris":["http://zotero.org/users/16716349/items/VGLXY6SB"],"itemData":{"id":440,"type":"article-journal","abstract":"Climate change vulnerability depends upon various factors and differs between places, sectors and communities. People in developing countries whose subsistence livelihood depends mainly upon agriculture and livestock production are identified as particularly vulnerable. Nepal, where the majority of people are in a mixed agro-livestock system, is identified as the world’s fourth most vulnerable country to climate change. However, there is limited knowledge on how vulnerable mixed agro-livestock smallholders are and how their vulnerability differs across different ecological regions in Nepal. This study aims to test two vulnerability assessment indices, livelihood vulnerability index and IPCC vulnerability index, around the Gandaki River Basin of central Nepal. A total of 543 households practicing mixed agro-livestock were surveyed from three districts, namely Dhading, Syangja and Kapilvastu representing three major ecological zones: mountain, mid-hill and Terai (lowland). Data on socio-demographics, livelihood determinants, social networks, health, food and water security, natural disasters and climate variability were collected and combined into the indices. Both indices differed for mixed agro-livestock smallholders across the three districts, with Dhading scoring as the most vulnerable and Syangja the least. Substantial variation across the districts was observed in components, sub-components and three dimensions (exposure, sensitivity and adaptive capacity) of vulnerability. The findings help in designing site-specific intervention strategies to reduce vulnerability of mixed agro-livestock smallholders to climate change.","container-title":"Regional Environmental Change","DOI":"10.1007/s10113-015-0833-y","journalAbbreviation":"Regional Environmental Change","source":"ResearchGate","title":"Livelihood vulnerability approach to assessing climate change impacts on mixed agro-livestock smallholders around the Gandaki River Basin in Nepal","volume":"16","author":[{"family":"Panthi","given":"Jeeban"},{"family":"Aryal","given":"Suman"},{"family":"Dahal","given":"Piyush"},{"family":"Bhandari","given":"Parashuram"},{"family":"Krakauer","given":"Nir"},{"family":"Pandey","given":"Vishnu"}],"issued":{"date-parts":[["2015",7,5]]}}},{"id":444,"uris":["http://zotero.org/users/16716349/items/VBVTGFW9"],"itemData":{"id":444,"type":"post-weblog","title":"AR5 Synthesis Report: Climate Change 2014 — IPCC","title-short":"AR5 Synthesis Report","URL":"https://www.ipcc.ch/report/ar5/syr/","author":[{"family":"IPCC","given":""}],"accessed":{"date-parts":[["2026",4,9]]},"issued":{"date-parts":[["2014"]]}}}],"schema":"https://github.com/citation-style-language/schema/raw/master/csl-citation.json"} </w:instrText>
      </w:r>
      <w:r w:rsidR="008E6356">
        <w:fldChar w:fldCharType="separate"/>
      </w:r>
      <w:r w:rsidR="008E6356" w:rsidRPr="008E6356">
        <w:rPr>
          <w:rFonts w:ascii="Calibri" w:hAnsi="Calibri" w:cs="Calibri"/>
          <w:szCs w:val="24"/>
        </w:rPr>
        <w:t xml:space="preserve">(Panthi </w:t>
      </w:r>
      <w:r w:rsidR="008E6356" w:rsidRPr="008E6356">
        <w:rPr>
          <w:rFonts w:ascii="Calibri" w:hAnsi="Calibri" w:cs="Calibri"/>
          <w:i/>
          <w:iCs/>
          <w:szCs w:val="24"/>
        </w:rPr>
        <w:t>et al.</w:t>
      </w:r>
      <w:r w:rsidR="008E6356" w:rsidRPr="008E6356">
        <w:rPr>
          <w:rFonts w:ascii="Calibri" w:hAnsi="Calibri" w:cs="Calibri"/>
          <w:szCs w:val="24"/>
        </w:rPr>
        <w:t>, 2015; IPCC, 2014)</w:t>
      </w:r>
      <w:r w:rsidR="008E6356">
        <w:fldChar w:fldCharType="end"/>
      </w:r>
      <w:r w:rsidR="008E6356">
        <w:t>.</w:t>
      </w:r>
    </w:p>
    <w:p w14:paraId="2BD8832C" w14:textId="15D0AFCC" w:rsidR="009E3AC6" w:rsidRDefault="009E3AC6" w:rsidP="00F62683">
      <w:pPr>
        <w:spacing w:after="240" w:line="360" w:lineRule="auto"/>
        <w:jc w:val="both"/>
      </w:pPr>
      <w:r>
        <w:t>Dans ce contexte, l'exposition et la sensibilité d'un système face aux aléas climatiques (comme la fréquence des sécheresses ou la baisse globale des apports en eau) dépassent la seule dimension environnementale</w:t>
      </w:r>
      <w:r w:rsidR="00CB605C">
        <w:t xml:space="preserve"> </w:t>
      </w:r>
      <w:r w:rsidR="008E6356">
        <w:fldChar w:fldCharType="begin"/>
      </w:r>
      <w:r w:rsidR="008E6356">
        <w:instrText xml:space="preserve"> ADDIN ZOTERO_ITEM CSL_CITATION {"citationID":"pnRL56Vg","properties":{"formattedCitation":"(Zaatra {\\i{}et al.}, 2025)","plainCitation":"(Zaatra et al., 2025)","noteIndex":0},"citationItems":[{"id":446,"uris":["http://zotero.org/users/16716349/items/3LPPKKWR"],"itemData":{"id":446,"type":"article-journal","abstract":"Climate change (CC) is a major threat to agriculture, the sector that supports the territorial economy in the Pays Haut Languedoc et Vignoble (PHLV) region (south France). In this region, farms have been facing the negative effects of CC for several decades. The implementation of agriculture adaptation policies requires a coherent and integrated tool that mobilizes approaches for territorial development, vulnerability assessments, and feasibility. The purpose of this research is to provide a multi-criteria assessment of farm vulnerability to CC in the PHLV region. An index of farm vulnerability was developed based on the classic model of vulnerability, which is the product of exposure and sensitivity divided by adaptive capacity. This assessment was conducted at the farm level, by combining biophysical variables (such as soil type and irrigation) and socioeconomic variables (such as agricultural experience and crop insurance), selected based on a literature review and interviews with local stakeholders and local experts. To solve the weighting problem, we differentiated between a \"calculated vulnerability\", without any specific weighting of the vulnerability variables, and a \"declared vulnerability\" that integrates the scores assigned to the importance of each variable for each farmer surveyed, based on their awareness. Afterward, a discriminant analysis was used to identify the factors that determine the vulnerability classes. Our results show that (i) the majority of the surveyed farms have a relatively high vulnerability index, but wine farms and cereal farms are the most vulnerable; (ii) for all farms the \"declared vulnerability\" is lower than the \"calculated vulnerability\", showing that farmers underestimate their vulnerability; (iii) there is an interesting link between the low level of vulnerability and the adaptation efforts already made over the past ten years by certain farms that have changed or introduced crops and improved their agricultural practices.","container-title":"Land","DOI":"10.3390/land14071388","issue":"7","language":"en","page":"1388","source":"hal-lirmm.ccsd.cnrs.fr","title":"Assessment of farm vulnerability to climate change in Southern France","volume":"14","author":[{"family":"Zaatra","given":"Abderraouf"},{"family":"Requier-Desjardins","given":"Mélanie"},{"family":"Rey-Valette","given":"Hélène"},{"family":"Blayac","given":"Thierry"},{"family":"Belhouchette","given":"Hatem"}],"issued":{"date-parts":[["2025",7,1]]}}}],"schema":"https://github.com/citation-style-language/schema/raw/master/csl-citation.json"} </w:instrText>
      </w:r>
      <w:r w:rsidR="008E6356">
        <w:fldChar w:fldCharType="separate"/>
      </w:r>
      <w:r w:rsidR="008E6356" w:rsidRPr="008E6356">
        <w:rPr>
          <w:rFonts w:ascii="Calibri" w:hAnsi="Calibri" w:cs="Calibri"/>
          <w:szCs w:val="24"/>
        </w:rPr>
        <w:t xml:space="preserve">(Zaatra </w:t>
      </w:r>
      <w:r w:rsidR="008E6356" w:rsidRPr="008E6356">
        <w:rPr>
          <w:rFonts w:ascii="Calibri" w:hAnsi="Calibri" w:cs="Calibri"/>
          <w:i/>
          <w:iCs/>
          <w:szCs w:val="24"/>
        </w:rPr>
        <w:t>et al.</w:t>
      </w:r>
      <w:r w:rsidR="008E6356" w:rsidRPr="008E6356">
        <w:rPr>
          <w:rFonts w:ascii="Calibri" w:hAnsi="Calibri" w:cs="Calibri"/>
          <w:szCs w:val="24"/>
        </w:rPr>
        <w:t>, 2025)</w:t>
      </w:r>
      <w:r w:rsidR="008E6356">
        <w:fldChar w:fldCharType="end"/>
      </w:r>
      <w:r>
        <w:t>. Elles sont profondément modulées par les institutions formelles et informelles, ainsi que par les droits d'accès aux ressources qui régissent un territoire donné</w:t>
      </w:r>
      <w:r w:rsidR="00E32723">
        <w:t xml:space="preserve"> </w:t>
      </w:r>
      <w:r w:rsidR="008E6356">
        <w:fldChar w:fldCharType="begin"/>
      </w:r>
      <w:r w:rsidR="008E6356">
        <w:instrText xml:space="preserve"> ADDIN ZOTERO_ITEM CSL_CITATION {"citationID":"j6boWFpS","properties":{"formattedCitation":"(Unks {\\i{}et al.}, 2019)","plainCitation":"(Unks et al., 2019)","noteIndex":0},"citationItems":[{"id":438,"uris":["http://zotero.org/users/16716349/items/T22TWBRR"],"itemData":{"id":438,"type":"article-journal","abstract":"The focus of this study is on how changes in formal and informal institutions have differential impacts across populations in terms of vulnerability of livelihoods to drought, and the unequal processes that shape adaptation to new conditions. Drought vulnerability occurs as a result of exposure and sensitivity to interrelated economic, social, political, and ecological dynamics. There is a need for approaches that can evaluate how the ability to reduce these exposures and sensitivities becomes socially stratified. Building on our understanding of institutional and biophysical constraints in one pastoralist group ranch, we use an approach that draws on quantitative and qualitative data to combine analyses of entitlements, access, and adaptive capacity. We asked how, in a context of changing herding institutions, the ability to adapt to drought and other stressors, is differentiated among actors. We found that herders with higher livestock wealth are more likely to have entitlement sets that include factors that enable access to secure cattle grazing on private wildlife conservation lands, and access to more distant areas with herds of sheep and cattle – two key means of reducing exposure to drought vulnerability, leading to greater coping ability during drought. Those with lower livestock wealth rely disproportionately on illicit, precarious access to external grazing resources. Higher livestock wealth families experienced disproportionately lower sensitivity to drought with smaller losses of cattle, and likely have decreased sensitivity to drought-related market fluctuations, while others are primarily reliant on small stock and/or precarious access pathways. However, rather than naturalize this differential ability as merely increased adaptive capacity for some that are better able to adapt to novel, local conditions, we argue this instead reflects the unequal footing that households find themselves on, in a shifting institutional landscape of structural and relational access constraints and reconfigurations of reciprocity, that are intertwined with interventions by state and non-state actors.","container-title":"Global Environmental Change","DOI":"10.1016/j.gloenvcha.2018.11.013","journalAbbreviation":"Global Environmental Change","page":"124-134","source":"ResearchGate","title":"Constraints, multiple stressors, and stratified adaptation: Pastoralist livelihood vulnerability in a semi-arid wildlife conservation context in Central Kenya","title-short":"Constraints, multiple stressors, and stratified adaptation","volume":"54","author":[{"family":"Unks","given":"Ryan"},{"family":"King","given":"Elizabeth"},{"family":"Nelson","given":"Don"},{"family":"Wachira","given":"Naiputari"},{"family":"German","given":"Laura"}],"issued":{"date-parts":[["2019",1,1]]}}}],"schema":"https://github.com/citation-style-language/schema/raw/master/csl-citation.json"} </w:instrText>
      </w:r>
      <w:r w:rsidR="008E6356">
        <w:fldChar w:fldCharType="separate"/>
      </w:r>
      <w:r w:rsidR="008E6356" w:rsidRPr="008E6356">
        <w:rPr>
          <w:rFonts w:ascii="Calibri" w:hAnsi="Calibri" w:cs="Calibri"/>
          <w:szCs w:val="24"/>
        </w:rPr>
        <w:t xml:space="preserve">(Unks </w:t>
      </w:r>
      <w:r w:rsidR="008E6356" w:rsidRPr="008E6356">
        <w:rPr>
          <w:rFonts w:ascii="Calibri" w:hAnsi="Calibri" w:cs="Calibri"/>
          <w:i/>
          <w:iCs/>
          <w:szCs w:val="24"/>
        </w:rPr>
        <w:t>et al.</w:t>
      </w:r>
      <w:r w:rsidR="008E6356" w:rsidRPr="008E6356">
        <w:rPr>
          <w:rFonts w:ascii="Calibri" w:hAnsi="Calibri" w:cs="Calibri"/>
          <w:szCs w:val="24"/>
        </w:rPr>
        <w:t>, 2019)</w:t>
      </w:r>
      <w:r w:rsidR="008E6356">
        <w:fldChar w:fldCharType="end"/>
      </w:r>
      <w:r>
        <w:t>. La capacité d'adaptation, troisième pilier fondamental, ne désigne donc pas uniquement la disponibilité d'infrastructures ou de solutions techniques, mais englobe la faculté réelle des gestionnaires à mobiliser des ressources économiques, des réseaux sociaux et des savoirs locaux pour ajuster leurs pratiques face à la contrainte climatique</w:t>
      </w:r>
      <w:r w:rsidR="008E6356">
        <w:fldChar w:fldCharType="begin"/>
      </w:r>
      <w:r w:rsidR="008E6356">
        <w:instrText xml:space="preserve"> ADDIN ZOTERO_ITEM CSL_CITATION {"citationID":"tZL7MwmC","properties":{"formattedCitation":"(Unks {\\i{}et al.}, 2019; F\\uc0\\u252{}ssel, Klein, 2006)","plainCitation":"(Unks et al., 2019; Füssel, Klein, 2006)","noteIndex":0},"citationItems":[{"id":438,"uris":["http://zotero.org/users/16716349/items/T22TWBRR"],"itemData":{"id":438,"type":"article-journal","abstract":"The focus of this study is on how changes in formal and informal institutions have differential impacts across populations in terms of vulnerability of livelihoods to drought, and the unequal processes that shape adaptation to new conditions. Drought vulnerability occurs as a result of exposure and sensitivity to interrelated economic, social, political, and ecological dynamics. There is a need for approaches that can evaluate how the ability to reduce these exposures and sensitivities becomes socially stratified. Building on our understanding of institutional and biophysical constraints in one pastoralist group ranch, we use an approach that draws on quantitative and qualitative data to combine analyses of entitlements, access, and adaptive capacity. We asked how, in a context of changing herding institutions, the ability to adapt to drought and other stressors, is differentiated among actors. We found that herders with higher livestock wealth are more likely to have entitlement sets that include factors that enable access to secure cattle grazing on private wildlife conservation lands, and access to more distant areas with herds of sheep and cattle – two key means of reducing exposure to drought vulnerability, leading to greater coping ability during drought. Those with lower livestock wealth rely disproportionately on illicit, precarious access to external grazing resources. Higher livestock wealth families experienced disproportionately lower sensitivity to drought with smaller losses of cattle, and likely have decreased sensitivity to drought-related market fluctuations, while others are primarily reliant on small stock and/or precarious access pathways. However, rather than naturalize this differential ability as merely increased adaptive capacity for some that are better able to adapt to novel, local conditions, we argue this instead reflects the unequal footing that households find themselves on, in a shifting institutional landscape of structural and relational access constraints and reconfigurations of reciprocity, that are intertwined with interventions by state and non-state actors.","container-title":"Global Environmental Change","DOI":"10.1016/j.gloenvcha.2018.11.013","journalAbbreviation":"Global Environmental Change","page":"124-134","source":"ResearchGate","title":"Constraints, multiple stressors, and stratified adaptation: Pastoralist livelihood vulnerability in a semi-arid wildlife conservation context in Central Kenya","title-short":"Constraints, multiple stressors, and stratified adaptation","volume":"54","author":[{"family":"Unks","given":"Ryan"},{"family":"King","given":"Elizabeth"},{"family":"Nelson","given":"Don"},{"family":"Wachira","given":"Naiputari"},{"family":"German","given":"Laura"}],"issued":{"date-parts":[["2019",1,1]]}}},{"id":442,"uris":["http://zotero.org/users/16716349/items/TJT5QIQ2"],"itemData":{"id":442,"type":"article-journal","abstract":"Vulnerability is an emerging concept for climate science and policy. Over the past decade, efforts to assess vulnerability to climate change triggered a process of theory development and assessment practice, which is reflected in the reports of the Intergovernmental Panel on Climate Change (IPCC). This paper reviews the historical development of the conceptual ideas underpinning assessments of vulnerability to climate change. We distinguish climate impact assessment, first- and second-generation vulnerability assessment, and adaptation policy assessment. The different generations of assessments are described by means of a conceptual framework that defines key concepts of the assessment and their analytical relationships. The purpose of this conceptual framework is two-fold: first, to present a consistent visual glossary of the main concepts underlying the IPCC approach to vulnerability and its assessment; second, to show the evolution of vulnerability assessments. This evolution is characterized by the progressive inclusion of non-climatic determinants of vulnerability to climate change, including adaptive capacity, and the shift from estimating expected damages to attempting to reduce them. We hope that this paper improves the understanding of the main approaches to climate change vulnerability assessment and their evolution, not only within the climate change community but also among researchers from other scientific communities, who are sometimes puzzled by the unfamiliar use of technical terms in the context of climate change.","container-title":"Climatic Change","DOI":"10.1007/s10584-006-0329-3","ISSN":"1573-1480","issue":"3","journalAbbreviation":"Climatic Change","language":"en","page":"301-329","source":"Springer Link","title":"Climate Change Vulnerability Assessments: An Evolution of Conceptual Thinking","title-short":"Climate Change Vulnerability Assessments","volume":"75","author":[{"family":"Füssel","given":"Hans-Martin"},{"family":"Klein","given":"Richard J. T."}],"issued":{"date-parts":[["2006",4,1]]}}}],"schema":"https://github.com/citation-style-language/schema/raw/master/csl-citation.json"} </w:instrText>
      </w:r>
      <w:r w:rsidR="008E6356">
        <w:fldChar w:fldCharType="separate"/>
      </w:r>
      <w:r w:rsidR="008E6356" w:rsidRPr="008E6356">
        <w:rPr>
          <w:rFonts w:ascii="Calibri" w:hAnsi="Calibri" w:cs="Calibri"/>
          <w:szCs w:val="24"/>
        </w:rPr>
        <w:t xml:space="preserve">(Unks </w:t>
      </w:r>
      <w:r w:rsidR="008E6356" w:rsidRPr="008E6356">
        <w:rPr>
          <w:rFonts w:ascii="Calibri" w:hAnsi="Calibri" w:cs="Calibri"/>
          <w:i/>
          <w:iCs/>
          <w:szCs w:val="24"/>
        </w:rPr>
        <w:t>et al.</w:t>
      </w:r>
      <w:r w:rsidR="008E6356" w:rsidRPr="008E6356">
        <w:rPr>
          <w:rFonts w:ascii="Calibri" w:hAnsi="Calibri" w:cs="Calibri"/>
          <w:szCs w:val="24"/>
        </w:rPr>
        <w:t>, 2019; Füssel, Klein, 2006)</w:t>
      </w:r>
      <w:r w:rsidR="008E6356">
        <w:fldChar w:fldCharType="end"/>
      </w:r>
      <w:r w:rsidR="008E6356">
        <w:t xml:space="preserve">. </w:t>
      </w:r>
      <w:r>
        <w:t>Cela implique qu'au sein d'un même système ou territoire, l'aptitude à faire face aux déficits hydriques et à s'adapter aux nouvelles conditions peut être fortement inégale et socialement stratifiée selon les acteurs</w:t>
      </w:r>
      <w:r w:rsidR="00E32723">
        <w:t xml:space="preserve"> </w:t>
      </w:r>
      <w:r w:rsidR="008E6356">
        <w:fldChar w:fldCharType="begin"/>
      </w:r>
      <w:r w:rsidR="008E6356">
        <w:instrText xml:space="preserve"> ADDIN ZOTERO_ITEM CSL_CITATION {"citationID":"LZo1sd1Q","properties":{"formattedCitation":"(Unks {\\i{}et al.}, 2019)","plainCitation":"(Unks et al., 2019)","noteIndex":0},"citationItems":[{"id":438,"uris":["http://zotero.org/users/16716349/items/T22TWBRR"],"itemData":{"id":438,"type":"article-journal","abstract":"The focus of this study is on how changes in formal and informal institutions have differential impacts across populations in terms of vulnerability of livelihoods to drought, and the unequal processes that shape adaptation to new conditions. Drought vulnerability occurs as a result of exposure and sensitivity to interrelated economic, social, political, and ecological dynamics. There is a need for approaches that can evaluate how the ability to reduce these exposures and sensitivities becomes socially stratified. Building on our understanding of institutional and biophysical constraints in one pastoralist group ranch, we use an approach that draws on quantitative and qualitative data to combine analyses of entitlements, access, and adaptive capacity. We asked how, in a context of changing herding institutions, the ability to adapt to drought and other stressors, is differentiated among actors. We found that herders with higher livestock wealth are more likely to have entitlement sets that include factors that enable access to secure cattle grazing on private wildlife conservation lands, and access to more distant areas with herds of sheep and cattle – two key means of reducing exposure to drought vulnerability, leading to greater coping ability during drought. Those with lower livestock wealth rely disproportionately on illicit, precarious access to external grazing resources. Higher livestock wealth families experienced disproportionately lower sensitivity to drought with smaller losses of cattle, and likely have decreased sensitivity to drought-related market fluctuations, while others are primarily reliant on small stock and/or precarious access pathways. However, rather than naturalize this differential ability as merely increased adaptive capacity for some that are better able to adapt to novel, local conditions, we argue this instead reflects the unequal footing that households find themselves on, in a shifting institutional landscape of structural and relational access constraints and reconfigurations of reciprocity, that are intertwined with interventions by state and non-state actors.","container-title":"Global Environmental Change","DOI":"10.1016/j.gloenvcha.2018.11.013","journalAbbreviation":"Global Environmental Change","page":"124-134","source":"ResearchGate","title":"Constraints, multiple stressors, and stratified adaptation: Pastoralist livelihood vulnerability in a semi-arid wildlife conservation context in Central Kenya","title-short":"Constraints, multiple stressors, and stratified adaptation","volume":"54","author":[{"family":"Unks","given":"Ryan"},{"family":"King","given":"Elizabeth"},{"family":"Nelson","given":"Don"},{"family":"Wachira","given":"Naiputari"},{"family":"German","given":"Laura"}],"issued":{"date-parts":[["2019",1,1]]}}}],"schema":"https://github.com/citation-style-language/schema/raw/master/csl-citation.json"} </w:instrText>
      </w:r>
      <w:r w:rsidR="008E6356">
        <w:fldChar w:fldCharType="separate"/>
      </w:r>
      <w:r w:rsidR="008E6356" w:rsidRPr="008E6356">
        <w:rPr>
          <w:rFonts w:ascii="Calibri" w:hAnsi="Calibri" w:cs="Calibri"/>
          <w:szCs w:val="24"/>
        </w:rPr>
        <w:t xml:space="preserve">(Unks </w:t>
      </w:r>
      <w:r w:rsidR="008E6356" w:rsidRPr="008E6356">
        <w:rPr>
          <w:rFonts w:ascii="Calibri" w:hAnsi="Calibri" w:cs="Calibri"/>
          <w:i/>
          <w:iCs/>
          <w:szCs w:val="24"/>
        </w:rPr>
        <w:t>et al.</w:t>
      </w:r>
      <w:r w:rsidR="008E6356" w:rsidRPr="008E6356">
        <w:rPr>
          <w:rFonts w:ascii="Calibri" w:hAnsi="Calibri" w:cs="Calibri"/>
          <w:szCs w:val="24"/>
        </w:rPr>
        <w:t>, 2019)</w:t>
      </w:r>
      <w:r w:rsidR="008E6356">
        <w:fldChar w:fldCharType="end"/>
      </w:r>
      <w:r w:rsidR="008E6356">
        <w:t>.</w:t>
      </w:r>
    </w:p>
    <w:p w14:paraId="2C2CFAD0" w14:textId="31446A9D" w:rsidR="009E3AC6" w:rsidRDefault="009E3AC6" w:rsidP="00F62683">
      <w:pPr>
        <w:spacing w:after="240" w:line="360" w:lineRule="auto"/>
        <w:jc w:val="both"/>
      </w:pPr>
      <w:r>
        <w:lastRenderedPageBreak/>
        <w:t>Par ailleurs, les cadres d'évaluation les plus récents (notamment à partir du 5e Rapport d'évaluation du GIEC) tendent à repositionner la vulnérabilité au sein d'une approche plus globale axée sur la notion de risque. Dans ce</w:t>
      </w:r>
      <w:r w:rsidR="00BD0CD3">
        <w:t>tte nouvelle approche</w:t>
      </w:r>
      <w:r>
        <w:t>, le risque climatique est appréhendé comme l'intersection entre l'aléa physique externe (le danger), l'exposition des composantes du système, et la vulnérabilité intrinsèque de ce dernier (qui regroupe alors uniquement sa sensibilité et sa capacité à faire face)</w:t>
      </w:r>
      <w:r w:rsidR="00742DDE">
        <w:t xml:space="preserve"> </w:t>
      </w:r>
      <w:r w:rsidR="008E6356">
        <w:fldChar w:fldCharType="begin"/>
      </w:r>
      <w:r w:rsidR="008E6356">
        <w:instrText xml:space="preserve"> ADDIN ZOTERO_ITEM CSL_CITATION {"citationID":"BxIMpyAF","properties":{"formattedCitation":"(Zaatra {\\i{}et al.}, 2025)","plainCitation":"(Zaatra et al., 2025)","noteIndex":0},"citationItems":[{"id":446,"uris":["http://zotero.org/users/16716349/items/3LPPKKWR"],"itemData":{"id":446,"type":"article-journal","abstract":"Climate change (CC) is a major threat to agriculture, the sector that supports the territorial economy in the Pays Haut Languedoc et Vignoble (PHLV) region (south France). In this region, farms have been facing the negative effects of CC for several decades. The implementation of agriculture adaptation policies requires a coherent and integrated tool that mobilizes approaches for territorial development, vulnerability assessments, and feasibility. The purpose of this research is to provide a multi-criteria assessment of farm vulnerability to CC in the PHLV region. An index of farm vulnerability was developed based on the classic model of vulnerability, which is the product of exposure and sensitivity divided by adaptive capacity. This assessment was conducted at the farm level, by combining biophysical variables (such as soil type and irrigation) and socioeconomic variables (such as agricultural experience and crop insurance), selected based on a literature review and interviews with local stakeholders and local experts. To solve the weighting problem, we differentiated between a \"calculated vulnerability\", without any specific weighting of the vulnerability variables, and a \"declared vulnerability\" that integrates the scores assigned to the importance of each variable for each farmer surveyed, based on their awareness. Afterward, a discriminant analysis was used to identify the factors that determine the vulnerability classes. Our results show that (i) the majority of the surveyed farms have a relatively high vulnerability index, but wine farms and cereal farms are the most vulnerable; (ii) for all farms the \"declared vulnerability\" is lower than the \"calculated vulnerability\", showing that farmers underestimate their vulnerability; (iii) there is an interesting link between the low level of vulnerability and the adaptation efforts already made over the past ten years by certain farms that have changed or introduced crops and improved their agricultural practices.","container-title":"Land","DOI":"10.3390/land14071388","issue":"7","language":"en","page":"1388","source":"hal-lirmm.ccsd.cnrs.fr","title":"Assessment of farm vulnerability to climate change in Southern France","volume":"14","author":[{"family":"Zaatra","given":"Abderraouf"},{"family":"Requier-Desjardins","given":"Mélanie"},{"family":"Rey-Valette","given":"Hélène"},{"family":"Blayac","given":"Thierry"},{"family":"Belhouchette","given":"Hatem"}],"issued":{"date-parts":[["2025",7,1]]}}}],"schema":"https://github.com/citation-style-language/schema/raw/master/csl-citation.json"} </w:instrText>
      </w:r>
      <w:r w:rsidR="008E6356">
        <w:fldChar w:fldCharType="separate"/>
      </w:r>
      <w:r w:rsidR="008E6356" w:rsidRPr="008E6356">
        <w:rPr>
          <w:rFonts w:ascii="Calibri" w:hAnsi="Calibri" w:cs="Calibri"/>
          <w:szCs w:val="24"/>
        </w:rPr>
        <w:t xml:space="preserve">(Zaatra </w:t>
      </w:r>
      <w:r w:rsidR="008E6356" w:rsidRPr="008E6356">
        <w:rPr>
          <w:rFonts w:ascii="Calibri" w:hAnsi="Calibri" w:cs="Calibri"/>
          <w:i/>
          <w:iCs/>
          <w:szCs w:val="24"/>
        </w:rPr>
        <w:t>et al.</w:t>
      </w:r>
      <w:r w:rsidR="008E6356" w:rsidRPr="008E6356">
        <w:rPr>
          <w:rFonts w:ascii="Calibri" w:hAnsi="Calibri" w:cs="Calibri"/>
          <w:szCs w:val="24"/>
        </w:rPr>
        <w:t>, 2025)</w:t>
      </w:r>
      <w:r w:rsidR="008E6356">
        <w:fldChar w:fldCharType="end"/>
      </w:r>
      <w:r w:rsidR="008E6356">
        <w:t>.</w:t>
      </w:r>
    </w:p>
    <w:p w14:paraId="01774189" w14:textId="3DE5B66E" w:rsidR="00355AA4" w:rsidRDefault="009E3AC6" w:rsidP="00F62683">
      <w:pPr>
        <w:spacing w:after="240" w:line="360" w:lineRule="auto"/>
        <w:jc w:val="both"/>
      </w:pPr>
      <w:r>
        <w:t>Ainsi, pour comprendre et anticiper les réactions de l'interdépendance des chaînes d'étangs, il convient d'adopter une grille de lecture intégrée. Il ne s'agit plus seulement de modéliser les futurs déficits d'apports hydriques, mais d'analyser conjointement les caractéristiques physiques du milieu et les comportements de gestion qui, ensemble, déterminent la résilience globale du système face aux perturbations climatiques extrêmes</w:t>
      </w:r>
      <w:r w:rsidR="00742DDE">
        <w:t xml:space="preserve"> </w:t>
      </w:r>
      <w:r w:rsidR="008E6356">
        <w:fldChar w:fldCharType="begin"/>
      </w:r>
      <w:r w:rsidR="008E6356">
        <w:instrText xml:space="preserve"> ADDIN ZOTERO_ITEM CSL_CITATION {"citationID":"6oSr4lvf","properties":{"formattedCitation":"(Zaatra {\\i{}et al.}, 2025)","plainCitation":"(Zaatra et al., 2025)","noteIndex":0},"citationItems":[{"id":446,"uris":["http://zotero.org/users/16716349/items/3LPPKKWR"],"itemData":{"id":446,"type":"article-journal","abstract":"Climate change (CC) is a major threat to agriculture, the sector that supports the territorial economy in the Pays Haut Languedoc et Vignoble (PHLV) region (south France). In this region, farms have been facing the negative effects of CC for several decades. The implementation of agriculture adaptation policies requires a coherent and integrated tool that mobilizes approaches for territorial development, vulnerability assessments, and feasibility. The purpose of this research is to provide a multi-criteria assessment of farm vulnerability to CC in the PHLV region. An index of farm vulnerability was developed based on the classic model of vulnerability, which is the product of exposure and sensitivity divided by adaptive capacity. This assessment was conducted at the farm level, by combining biophysical variables (such as soil type and irrigation) and socioeconomic variables (such as agricultural experience and crop insurance), selected based on a literature review and interviews with local stakeholders and local experts. To solve the weighting problem, we differentiated between a \"calculated vulnerability\", without any specific weighting of the vulnerability variables, and a \"declared vulnerability\" that integrates the scores assigned to the importance of each variable for each farmer surveyed, based on their awareness. Afterward, a discriminant analysis was used to identify the factors that determine the vulnerability classes. Our results show that (i) the majority of the surveyed farms have a relatively high vulnerability index, but wine farms and cereal farms are the most vulnerable; (ii) for all farms the \"declared vulnerability\" is lower than the \"calculated vulnerability\", showing that farmers underestimate their vulnerability; (iii) there is an interesting link between the low level of vulnerability and the adaptation efforts already made over the past ten years by certain farms that have changed or introduced crops and improved their agricultural practices.","container-title":"Land","DOI":"10.3390/land14071388","issue":"7","language":"en","page":"1388","source":"hal-lirmm.ccsd.cnrs.fr","title":"Assessment of farm vulnerability to climate change in Southern France","volume":"14","author":[{"family":"Zaatra","given":"Abderraouf"},{"family":"Requier-Desjardins","given":"Mélanie"},{"family":"Rey-Valette","given":"Hélène"},{"family":"Blayac","given":"Thierry"},{"family":"Belhouchette","given":"Hatem"}],"issued":{"date-parts":[["2025",7,1]]}}}],"schema":"https://github.com/citation-style-language/schema/raw/master/csl-citation.json"} </w:instrText>
      </w:r>
      <w:r w:rsidR="008E6356">
        <w:fldChar w:fldCharType="separate"/>
      </w:r>
      <w:r w:rsidR="008E6356" w:rsidRPr="008E6356">
        <w:rPr>
          <w:rFonts w:ascii="Calibri" w:hAnsi="Calibri" w:cs="Calibri"/>
          <w:szCs w:val="24"/>
        </w:rPr>
        <w:t xml:space="preserve">(Zaatra </w:t>
      </w:r>
      <w:r w:rsidR="008E6356" w:rsidRPr="008E6356">
        <w:rPr>
          <w:rFonts w:ascii="Calibri" w:hAnsi="Calibri" w:cs="Calibri"/>
          <w:i/>
          <w:iCs/>
          <w:szCs w:val="24"/>
        </w:rPr>
        <w:t>et al.</w:t>
      </w:r>
      <w:r w:rsidR="008E6356" w:rsidRPr="008E6356">
        <w:rPr>
          <w:rFonts w:ascii="Calibri" w:hAnsi="Calibri" w:cs="Calibri"/>
          <w:szCs w:val="24"/>
        </w:rPr>
        <w:t>, 2025)</w:t>
      </w:r>
      <w:r w:rsidR="008E6356">
        <w:fldChar w:fldCharType="end"/>
      </w:r>
      <w:r w:rsidR="00092867">
        <w:t>.</w:t>
      </w:r>
    </w:p>
    <w:p w14:paraId="4FD200BB" w14:textId="31E4FBB2" w:rsidR="00C86798" w:rsidRDefault="00C86798" w:rsidP="00F62683">
      <w:pPr>
        <w:spacing w:after="240" w:line="360" w:lineRule="auto"/>
        <w:jc w:val="both"/>
      </w:pPr>
      <w:r>
        <w:t>Selon les projections climatiques du portail DRIAS pour l'horizon 2021-2050, les modèles climatiques simulent une augmentation des températures moyennes comprise entre 0,6°C et 1,3°C par rapport à la référence 1976-2005. Concernant les précipitations, les modèles projettent une diminution d'environ 10 % du cumul de pluie en été, et les sécheresses estivales sont plus longues, s'étendant de 5 à 10 jours supplémentaires par rapport à la période actuelle</w:t>
      </w:r>
      <w:r w:rsidR="00D1662B">
        <w:t xml:space="preserve"> </w:t>
      </w:r>
      <w:r w:rsidR="008E6356">
        <w:fldChar w:fldCharType="begin"/>
      </w:r>
      <w:r w:rsidR="008E6356">
        <w:instrText xml:space="preserve"> ADDIN ZOTERO_ITEM CSL_CITATION {"citationID":"vUhU0OUm","properties":{"formattedCitation":"(DRIAS, 2014; M\\uc0\\u233{}t\\uc0\\u233{}o-France, 2020)","plainCitation":"(DRIAS, 2014; Météo-France, 2020)","noteIndex":0},"citationItems":[{"id":450,"uris":["http://zotero.org/users/16716349/items/FBS8BFQK"],"itemData":{"id":450,"type":"webpage","title":"DRIAS, Les futurs du climat - Accompagnement","URL":"https://www.drias-climat.fr/accompagnement/sections/182","author":[{"family":"DRIAS","given":""}],"accessed":{"date-parts":[["2026",4,10]]},"issued":{"date-parts":[["2014"]]}}},{"id":452,"uris":["http://zotero.org/users/16716349/items/DMFBVMXY"],"itemData":{"id":452,"type":"webpage","abstract":"Le climat a déjà changé en France. La hausse des températures a atteint 1,7 °C depuis 1900 et s’est accélérée ces dernières décennies, et les conséquences sur notre territoire s’accentueront inévitablement d’ici 2050. Si nous ne renforçons pas assez nos actions de lutte contre le changement climatique, le réchauffement pourrait être encore plus fort en seconde moitié de siècle.","language":"fr","title":"Météo-France éclaire le climat en France jusqu’en 2100","URL":"https://www.adaptation-changement-climatique.gouv.fr/agir/espace-documentaire/meteo-france-eclaire-climat-en-france-jusquen-2100","author":[{"family":"Météo-France","given":""}],"accessed":{"date-parts":[["2026",4,10]]},"issued":{"date-parts":[["2020",1,1]]}}}],"schema":"https://github.com/citation-style-language/schema/raw/master/csl-citation.json"} </w:instrText>
      </w:r>
      <w:r w:rsidR="008E6356">
        <w:fldChar w:fldCharType="separate"/>
      </w:r>
      <w:r w:rsidR="008E6356" w:rsidRPr="008E6356">
        <w:rPr>
          <w:rFonts w:ascii="Calibri" w:hAnsi="Calibri" w:cs="Calibri"/>
          <w:szCs w:val="24"/>
        </w:rPr>
        <w:t>(DRIAS, 2014; Météo-France, 2020)</w:t>
      </w:r>
      <w:r w:rsidR="008E6356">
        <w:fldChar w:fldCharType="end"/>
      </w:r>
      <w:r w:rsidR="00D1662B">
        <w:t>.</w:t>
      </w:r>
    </w:p>
    <w:p w14:paraId="516C9DFA" w14:textId="5119B9D8" w:rsidR="00C86798" w:rsidRDefault="00C86798" w:rsidP="00F62683">
      <w:pPr>
        <w:spacing w:after="240" w:line="360" w:lineRule="auto"/>
        <w:jc w:val="both"/>
      </w:pPr>
      <w:r>
        <w:t>L'évapotranspiration potentielle devrait augmenter de l'ordre de 10 à 15 % pour le scénario médian à horizon 2050. Cette conjonction de moins d'apports et de sorties accrues crée un bilan hydrique déficitaire structurel, particulièrement critique pour des systèmes comme les chaînes d'étangs qui ne peuvent pas compenser par un apport souterrain significatif</w:t>
      </w:r>
      <w:r w:rsidR="00952DD6" w:rsidRPr="00952DD6">
        <w:t xml:space="preserve"> </w:t>
      </w:r>
      <w:r w:rsidR="00622010">
        <w:fldChar w:fldCharType="begin"/>
      </w:r>
      <w:r w:rsidR="00622010">
        <w:instrText xml:space="preserve"> ADDIN ZOTERO_ITEM CSL_CITATION {"citationID":"9xiVNR5M","properties":{"formattedCitation":"(DRIAS, 2014)","plainCitation":"(DRIAS, 2014)","noteIndex":0},"citationItems":[{"id":450,"uris":["http://zotero.org/users/16716349/items/FBS8BFQK"],"itemData":{"id":450,"type":"webpage","title":"DRIAS, Les futurs du climat - Accompagnement","URL":"https://www.drias-climat.fr/accompagnement/sections/182","author":[{"family":"DRIAS","given":""}],"accessed":{"date-parts":[["2026",4,10]]},"issued":{"date-parts":[["2014"]]}}}],"schema":"https://github.com/citation-style-language/schema/raw/master/csl-citation.json"} </w:instrText>
      </w:r>
      <w:r w:rsidR="00622010">
        <w:fldChar w:fldCharType="separate"/>
      </w:r>
      <w:r w:rsidR="00622010" w:rsidRPr="00622010">
        <w:rPr>
          <w:rFonts w:ascii="Calibri" w:hAnsi="Calibri" w:cs="Calibri"/>
        </w:rPr>
        <w:t>(DRIAS, 2014)</w:t>
      </w:r>
      <w:r w:rsidR="00622010">
        <w:fldChar w:fldCharType="end"/>
      </w:r>
      <w:r w:rsidR="00D1662B">
        <w:t>.</w:t>
      </w:r>
    </w:p>
    <w:p w14:paraId="70C91407" w14:textId="64B227E4" w:rsidR="00355AA4" w:rsidRDefault="004465E0" w:rsidP="00F62683">
      <w:pPr>
        <w:spacing w:after="240" w:line="360" w:lineRule="auto"/>
        <w:jc w:val="both"/>
      </w:pPr>
      <w:r w:rsidRPr="00CA0C83">
        <w:t xml:space="preserve">Cette conjonction d'apports décroissants et de sorties accrues engendre un </w:t>
      </w:r>
      <w:r w:rsidRPr="00CA0C83">
        <w:rPr>
          <w:rStyle w:val="lev"/>
          <w:b w:val="0"/>
          <w:bCs w:val="0"/>
        </w:rPr>
        <w:t>bilan hydrique déficitaire structurel</w:t>
      </w:r>
      <w:r w:rsidRPr="00CA0C83">
        <w:t>. Pour les chaînes d'étangs de la Dombes, ce déficit est particulièrement problématique : les sols limono-argileux peu perméables, décrits précédemment, ne permettent pas une compensation par recharge souterraine significative. L'eau disponible pour remplir les étangs dépend donc quasi-intégralement des précipitations directes et du ruissellement de surface, tous deux en diminution.</w:t>
      </w:r>
    </w:p>
    <w:p w14:paraId="6CFAFC6E" w14:textId="369AA197" w:rsidR="00F62683" w:rsidRDefault="00CA0C83" w:rsidP="00F62683">
      <w:pPr>
        <w:spacing w:after="240" w:line="360" w:lineRule="auto"/>
        <w:jc w:val="both"/>
      </w:pPr>
      <w:r>
        <w:t>La vulnérabilité des chaînes d'étangs résulte de l'amplification de cette exposition climatique par des facteurs biophysiques et organisationnels propres au système. Trois mécanismes renforcent cette fragilité :</w:t>
      </w:r>
    </w:p>
    <w:p w14:paraId="773C45E5" w14:textId="2D82036D" w:rsidR="00CA0C83" w:rsidRPr="00CA0C83" w:rsidRDefault="00CA0C83" w:rsidP="00F62683">
      <w:pPr>
        <w:pStyle w:val="Paragraphedeliste"/>
        <w:numPr>
          <w:ilvl w:val="0"/>
          <w:numId w:val="6"/>
        </w:numPr>
        <w:spacing w:after="240" w:line="360" w:lineRule="auto"/>
        <w:jc w:val="both"/>
        <w:rPr>
          <w:b/>
          <w:bCs/>
        </w:rPr>
      </w:pPr>
      <w:r w:rsidRPr="00CA0C83">
        <w:rPr>
          <w:b/>
          <w:bCs/>
        </w:rPr>
        <w:t>Propagation en cascade</w:t>
      </w:r>
    </w:p>
    <w:p w14:paraId="5E526008" w14:textId="77777777" w:rsidR="00CA0C83" w:rsidRDefault="00CA0C83" w:rsidP="00F62683">
      <w:pPr>
        <w:spacing w:after="240" w:line="360" w:lineRule="auto"/>
        <w:jc w:val="both"/>
      </w:pPr>
      <w:r>
        <w:lastRenderedPageBreak/>
        <w:t>L'interdépendance topologique stricte des chaînes implique qu'un déficit hydrologique en amont se répercute immédiatement vers l'aval. Un étang en situation critique de remplissage compromet non seulement son propre fonctionnement (pêche, biodiversité) mais aussi celui de toute la chaîne suivante. Ce mécanisme amplifie l'impact régional du déficit climatique : il transforme un stress hydrique diffus en une succession de crises localisées.</w:t>
      </w:r>
    </w:p>
    <w:p w14:paraId="193B027A" w14:textId="7ECCFA49" w:rsidR="00CA0C83" w:rsidRPr="00CA0C83" w:rsidRDefault="00CA0C83" w:rsidP="00F62683">
      <w:pPr>
        <w:pStyle w:val="Paragraphedeliste"/>
        <w:numPr>
          <w:ilvl w:val="0"/>
          <w:numId w:val="6"/>
        </w:numPr>
        <w:spacing w:after="240" w:line="360" w:lineRule="auto"/>
        <w:jc w:val="both"/>
        <w:rPr>
          <w:b/>
          <w:bCs/>
        </w:rPr>
      </w:pPr>
      <w:r w:rsidRPr="00CA0C83">
        <w:rPr>
          <w:b/>
          <w:bCs/>
        </w:rPr>
        <w:t>Incompatibilité des cycles de gestion</w:t>
      </w:r>
    </w:p>
    <w:p w14:paraId="07DAC78F" w14:textId="77777777" w:rsidR="00CA0C83" w:rsidRDefault="00CA0C83" w:rsidP="00F62683">
      <w:pPr>
        <w:spacing w:after="240" w:line="360" w:lineRule="auto"/>
        <w:jc w:val="both"/>
      </w:pPr>
      <w:r>
        <w:t>Les cycles d'assec quinquennaux, historiquement structurés sur un climat stable avec apports réguliers, présument une fréquence de déficit hydrique faible. Face à des sécheresses prolongées ou pluriannuelles, ces calendriers deviennent rigides et inadaptés. Un gestionnaire d'étang ne peut ni accélérer l'assec programmé (insuffisance d'eau) ni le repousser indéfiniment (impératif biologique de mise en culture et rotation des parcelles).</w:t>
      </w:r>
    </w:p>
    <w:p w14:paraId="6F266621" w14:textId="591005E8" w:rsidR="00CA0C83" w:rsidRPr="00CA0C83" w:rsidRDefault="00CA0C83" w:rsidP="00F62683">
      <w:pPr>
        <w:pStyle w:val="Paragraphedeliste"/>
        <w:numPr>
          <w:ilvl w:val="0"/>
          <w:numId w:val="6"/>
        </w:numPr>
        <w:spacing w:after="240" w:line="360" w:lineRule="auto"/>
        <w:jc w:val="both"/>
        <w:rPr>
          <w:b/>
          <w:bCs/>
        </w:rPr>
      </w:pPr>
      <w:r w:rsidRPr="00CA0C83">
        <w:rPr>
          <w:b/>
          <w:bCs/>
        </w:rPr>
        <w:t>Hétérogénéité des capacités d'adaptation</w:t>
      </w:r>
    </w:p>
    <w:p w14:paraId="6DF9A1DA" w14:textId="3C40217A" w:rsidR="00CA0C83" w:rsidRPr="00CA0C83" w:rsidRDefault="00CA0C83" w:rsidP="00F62683">
      <w:pPr>
        <w:spacing w:after="240" w:line="360" w:lineRule="auto"/>
        <w:jc w:val="both"/>
      </w:pPr>
      <w:r>
        <w:t>Comme souligné dans le cadre conceptuel de la vulnérabilité, la capacité d'adaptation n'est pas uniformément distribuée. Petits pisciculteurs, chasseurs et gestionnaires touristiques disposent de ressources économiques et de pouvoir de négociation très inégaux. En situation de rareté hydrique croissante, ces divergences d'intérêts s'aiguisent : la concertation historique entre gestionnaires, basée sur l'abondance relative, devient source de friction majeure</w:t>
      </w:r>
      <w:r w:rsidR="00D1662B">
        <w:t xml:space="preserve"> </w:t>
      </w:r>
      <w:r w:rsidR="00622010">
        <w:fldChar w:fldCharType="begin"/>
      </w:r>
      <w:r w:rsidR="00622010">
        <w:instrText xml:space="preserve"> ADDIN ZOTERO_ITEM CSL_CITATION {"citationID":"z82RduZf","properties":{"formattedCitation":"(Laurent, 2005; Unks {\\i{}et al.}, 2019)","plainCitation":"(Laurent, 2005; Unks et al., 2019)","noteIndex":0},"citationItems":[{"id":434,"uris":["http://zotero.org/users/16716349/items/WBE98SQW"],"itemData":{"id":434,"type":"book","abstract":"Mémoire présenté en vue d'obtenir le diplôme d'ingénieur ESGT. L'exploitation des étangs est basée sur la rotation de périodes de mise en eau et de cultures successives. Un étang est composé de plusieurs parties qui sont indispensables à son bon fonctionnement. Elles remplissent chacune leur rôle durant les phases d'exploitation. Les étangs sont aujourd'hui régis par le régime des installations classées. Toutefois les usages locaux sont toujours utilisés pour organiser la vie des étangs. La Dombes participe au réseau Natura 2000 pour maintenir la diversité biologique de ses nombreux milieux naturels et des espèces d'intérêts européens qui y vivent.&lt;br/&gt;&lt;br/&gt;","language":"français","number-of-pages":"Papier, 73","publisher":"Ministère de l'Education Nationale de l'Enseignement Supérieur et de la Recherche. 72000 LE MANS","source":"COinS","title":"Coutumes et usages des étangs de la Dombes","URL":"https://side.developpement-durable.gouv.fr/Default/doc/SYRACUSE/139999/coutumes-et-usages-des-etangs-de-la-dombes","author":[{"family":"Laurent","given":"RAYNAL"}],"accessed":{"date-parts":[["2026",4,8]]},"issued":{"date-parts":[["2005"]]}}},{"id":438,"uris":["http://zotero.org/users/16716349/items/T22TWBRR"],"itemData":{"id":438,"type":"article-journal","abstract":"The focus of this study is on how changes in formal and informal institutions have differential impacts across populations in terms of vulnerability of livelihoods to drought, and the unequal processes that shape adaptation to new conditions. Drought vulnerability occurs as a result of exposure and sensitivity to interrelated economic, social, political, and ecological dynamics. There is a need for approaches that can evaluate how the ability to reduce these exposures and sensitivities becomes socially stratified. Building on our understanding of institutional and biophysical constraints in one pastoralist group ranch, we use an approach that draws on quantitative and qualitative data to combine analyses of entitlements, access, and adaptive capacity. We asked how, in a context of changing herding institutions, the ability to adapt to drought and other stressors, is differentiated among actors. We found that herders with higher livestock wealth are more likely to have entitlement sets that include factors that enable access to secure cattle grazing on private wildlife conservation lands, and access to more distant areas with herds of sheep and cattle – two key means of reducing exposure to drought vulnerability, leading to greater coping ability during drought. Those with lower livestock wealth rely disproportionately on illicit, precarious access to external grazing resources. Higher livestock wealth families experienced disproportionately lower sensitivity to drought with smaller losses of cattle, and likely have decreased sensitivity to drought-related market fluctuations, while others are primarily reliant on small stock and/or precarious access pathways. However, rather than naturalize this differential ability as merely increased adaptive capacity for some that are better able to adapt to novel, local conditions, we argue this instead reflects the unequal footing that households find themselves on, in a shifting institutional landscape of structural and relational access constraints and reconfigurations of reciprocity, that are intertwined with interventions by state and non-state actors.","container-title":"Global Environmental Change","DOI":"10.1016/j.gloenvcha.2018.11.013","journalAbbreviation":"Global Environmental Change","page":"124-134","source":"ResearchGate","title":"Constraints, multiple stressors, and stratified adaptation: Pastoralist livelihood vulnerability in a semi-arid wildlife conservation context in Central Kenya","title-short":"Constraints, multiple stressors, and stratified adaptation","volume":"54","author":[{"family":"Unks","given":"Ryan"},{"family":"King","given":"Elizabeth"},{"family":"Nelson","given":"Don"},{"family":"Wachira","given":"Naiputari"},{"family":"German","given":"Laura"}],"issued":{"date-parts":[["2019",1,1]]}}}],"schema":"https://github.com/citation-style-language/schema/raw/master/csl-citation.json"} </w:instrText>
      </w:r>
      <w:r w:rsidR="00622010">
        <w:fldChar w:fldCharType="separate"/>
      </w:r>
      <w:r w:rsidR="00622010" w:rsidRPr="00622010">
        <w:rPr>
          <w:rFonts w:ascii="Calibri" w:hAnsi="Calibri" w:cs="Calibri"/>
          <w:szCs w:val="24"/>
        </w:rPr>
        <w:t xml:space="preserve">(Laurent, 2005; Unks </w:t>
      </w:r>
      <w:r w:rsidR="00622010" w:rsidRPr="00622010">
        <w:rPr>
          <w:rFonts w:ascii="Calibri" w:hAnsi="Calibri" w:cs="Calibri"/>
          <w:i/>
          <w:iCs/>
          <w:szCs w:val="24"/>
        </w:rPr>
        <w:t>et al.</w:t>
      </w:r>
      <w:r w:rsidR="00622010" w:rsidRPr="00622010">
        <w:rPr>
          <w:rFonts w:ascii="Calibri" w:hAnsi="Calibri" w:cs="Calibri"/>
          <w:szCs w:val="24"/>
        </w:rPr>
        <w:t>, 2019)</w:t>
      </w:r>
      <w:r w:rsidR="00622010">
        <w:fldChar w:fldCharType="end"/>
      </w:r>
      <w:r w:rsidR="00D1662B">
        <w:t>.</w:t>
      </w:r>
    </w:p>
    <w:p w14:paraId="1307FA87" w14:textId="50E291F9" w:rsidR="00BC6E00" w:rsidRDefault="00355AA4" w:rsidP="00F62683">
      <w:pPr>
        <w:spacing w:after="240" w:line="360" w:lineRule="auto"/>
        <w:jc w:val="both"/>
      </w:pPr>
      <w:r w:rsidRPr="00C86798">
        <w:t xml:space="preserve">Face à cette complexité, une approche purement qualitative ou rétrospective est insuffisante. Il est nécessaire de développer un outil permettant de quantifier précisément ces déficits hydrologiques futurs et d'explorer la capacité d'adaptation du système via des leviers de gestion (modification des calendriers, stockage </w:t>
      </w:r>
      <w:proofErr w:type="gramStart"/>
      <w:r w:rsidRPr="00C86798">
        <w:t>tampon,</w:t>
      </w:r>
      <w:r w:rsidR="00C86798" w:rsidRPr="00C86798">
        <w:t>…</w:t>
      </w:r>
      <w:proofErr w:type="gramEnd"/>
      <w:r w:rsidRPr="00C86798">
        <w:t>).</w:t>
      </w:r>
    </w:p>
    <w:p w14:paraId="7C99E75E" w14:textId="366AD026" w:rsidR="00F025FB" w:rsidRDefault="003B2C17" w:rsidP="00F62683">
      <w:pPr>
        <w:spacing w:after="240" w:line="360" w:lineRule="auto"/>
        <w:jc w:val="both"/>
      </w:pPr>
      <w:r>
        <w:t xml:space="preserve">C'est dans cette optique qu'a été développé un simulateur de bilan hydrique pour les chaînes d'étangs de la Dombes. Ce modèle quantifie les flux d'eau entrants et sortants à l'échelle du bassin versant et de chaque étang, intègre les règles de gestion opérationnelle (cycles d'assec, débordements, vidanges), et permet de projeter l'état du système sous différents scénarios climatiques futurs. Les sections suivantes détaillent le cadre théorique de cette modélisation, ses composantes, et l'interprétation </w:t>
      </w:r>
      <w:r w:rsidR="001B0162">
        <w:t>des différentes variables</w:t>
      </w:r>
      <w:r>
        <w:t xml:space="preserve"> et calcule empirique utiliser.</w:t>
      </w:r>
    </w:p>
    <w:p w14:paraId="2BA87577" w14:textId="6D0C2C50" w:rsidR="00990C87" w:rsidRPr="00F025FB" w:rsidRDefault="00CB6C0E" w:rsidP="00F62683">
      <w:pPr>
        <w:pStyle w:val="Titre2"/>
        <w:numPr>
          <w:ilvl w:val="1"/>
          <w:numId w:val="12"/>
        </w:numPr>
        <w:spacing w:after="240" w:afterAutospacing="0" w:line="360" w:lineRule="auto"/>
      </w:pPr>
      <w:bookmarkStart w:id="9" w:name="_Toc228373034"/>
      <w:r>
        <w:t>La modélisation</w:t>
      </w:r>
      <w:r w:rsidR="0004556B">
        <w:t>,</w:t>
      </w:r>
      <w:r>
        <w:t xml:space="preserve"> la base de l’étude</w:t>
      </w:r>
      <w:bookmarkEnd w:id="9"/>
      <w:r>
        <w:t> </w:t>
      </w:r>
    </w:p>
    <w:p w14:paraId="7A2AE1EA" w14:textId="12137982" w:rsidR="002D2498" w:rsidRDefault="00497192" w:rsidP="00F62683">
      <w:pPr>
        <w:spacing w:after="240" w:line="360" w:lineRule="auto"/>
        <w:jc w:val="both"/>
      </w:pPr>
      <w:r w:rsidRPr="00497192">
        <w:lastRenderedPageBreak/>
        <w:t xml:space="preserve">Avant d’approfondir l’explication du modèle et des méthodes de calcul utilisées pour </w:t>
      </w:r>
      <w:r w:rsidR="00CB6C0E">
        <w:t>étudier la vulnérabilité d</w:t>
      </w:r>
      <w:r w:rsidR="00CB6C0E" w:rsidRPr="00497192">
        <w:t>’étangs</w:t>
      </w:r>
      <w:r w:rsidRPr="00497192">
        <w:t xml:space="preserve"> de la Dombes</w:t>
      </w:r>
      <w:r w:rsidR="00CB6C0E">
        <w:t xml:space="preserve"> faces au changement climatique</w:t>
      </w:r>
      <w:r w:rsidRPr="00497192">
        <w:t>, une prise de recul sur la démarche</w:t>
      </w:r>
      <w:r w:rsidR="00A77433">
        <w:t xml:space="preserve"> à prendre pour la</w:t>
      </w:r>
      <w:r w:rsidRPr="00497192">
        <w:t xml:space="preserve"> construction du simulateur est nécessaire. Comme le soulignent </w:t>
      </w:r>
      <w:proofErr w:type="spellStart"/>
      <w:r w:rsidRPr="00497192">
        <w:t>Jakeman</w:t>
      </w:r>
      <w:proofErr w:type="spellEnd"/>
      <w:r w:rsidRPr="00497192">
        <w:t xml:space="preserve"> et al. </w:t>
      </w:r>
      <w:r w:rsidR="00622010">
        <w:fldChar w:fldCharType="begin"/>
      </w:r>
      <w:r w:rsidR="00D1662B">
        <w:instrText xml:space="preserve"> ADDIN ZOTERO_ITEM CSL_CITATION {"citationID":"CEeJHVQm","properties":{"formattedCitation":"(2006)","plainCitation":"(2006)","noteIndex":0},"citationItems":[{"id":403,"uris":["http://zotero.org/users/16716349/items/BAM38ENW"],"itemData":{"id":403,"type":"article-journal","abstract":"Models are increasingly being relied upon to inform and support natural resource management. They are incorporating an ever broader range of disciplines and now often confront people without strong quantitative or model-building backgrounds. These trends imply a need for wider awareness of what constitutes good model-development practice, including reporting of models to users and sceptical review of models by users. To this end the paper outlines ten basic steps of good, disciplined model practice. The aim is to develop purposeful, credible models from data and prior knowledge, in consort with end-users, with every stage open to critical review and revision. Best practice entails identifying clearly the clients and objectives of the modelling exercise; documenting the nature (quantity, quality, limitations) of the data used to construct and test the model; providing a strong rationale for the choice of model family and features (encompassing review of alternative approaches); justifying the techniques used to calibrate the model; serious analysis, testing and discussion of model performance; and making a resultant statement of model assumptions, utility, accuracy, limitations, and scope for improvement. In natural resource management applications, these steps will be a learning process, even a partnership, between model developers, clients and other interested parties.","container-title":"Environmental Modelling &amp; Software","DOI":"10.1016/j.envsoft.2006.01.004","ISSN":"13648152","issue":"5","journalAbbreviation":"Environmental Modelling &amp; Software","language":"en","license":"https://www.elsevier.com/tdm/userlicense/1.0/","page":"602-614","source":"DOI.org (Crossref)","title":"Ten iterative steps in development and evaluation of environmental models","volume":"21","author":[{"family":"Jakeman","given":"A.J."},{"family":"Letcher","given":"R.A."},{"family":"Norton","given":"J.P."}],"issued":{"date-parts":[["2006",5]]}},"suppress-author":true}],"schema":"https://github.com/citation-style-language/schema/raw/master/csl-citation.json"} </w:instrText>
      </w:r>
      <w:r w:rsidR="00622010">
        <w:fldChar w:fldCharType="separate"/>
      </w:r>
      <w:r w:rsidR="00D1662B" w:rsidRPr="00D1662B">
        <w:rPr>
          <w:rFonts w:ascii="Calibri" w:hAnsi="Calibri" w:cs="Calibri"/>
        </w:rPr>
        <w:t>(2006)</w:t>
      </w:r>
      <w:r w:rsidR="00622010">
        <w:fldChar w:fldCharType="end"/>
      </w:r>
      <w:r w:rsidR="00D21224">
        <w:t xml:space="preserve"> dans l’article parue lors du congrès international sur la modélisation environnementale. Que</w:t>
      </w:r>
      <w:r w:rsidRPr="00497192">
        <w:t xml:space="preserve"> le développement d’un modèle d’évaluation doit suivre de « bonnes pratiques ». Cette approche est indispensable pour garantir la parcimonie du modèle, assurer sa crédibilité et permettre une exploitation fiable des nouvelles informations générées pour la science et la prise de décision.</w:t>
      </w:r>
      <w:r>
        <w:t xml:space="preserve"> </w:t>
      </w:r>
      <w:r w:rsidR="00A77433" w:rsidRPr="00A77433">
        <w:t>Les auteurs expliquent également que la création d'un outil de modélisation nécessite une prise de conscience collective de l'ensemble des acteurs, du modélisateur au gestionnaire, ainsi qu'une définition rigoureuse de la portée et des objectifs du modèle. Cette compréhension commune du processus est indispensable pour assurer une interprétation correcte des résultats. Une communication transparente entre le modélisateur et le gestionnaire est donc primordiale : elle permet de définir clairement le cadre de l'étude et d'éviter de surévaluer certaines variables au détriment de la réalité du système local.</w:t>
      </w:r>
      <w:r w:rsidR="00A77433">
        <w:rPr>
          <w:rStyle w:val="citation-131"/>
        </w:rPr>
        <w:t xml:space="preserve"> Cette collaboration permet de sécuriser la faisabilité du projet</w:t>
      </w:r>
      <w:r w:rsidR="00A77433">
        <w:t xml:space="preserve">. </w:t>
      </w:r>
      <w:r w:rsidR="00A77433">
        <w:rPr>
          <w:rStyle w:val="citation-130"/>
        </w:rPr>
        <w:t>Elle empêche de s'engager sur des délais irréalistes, d'étendre la portée de l'étude au-delà du nécessaire ou encore d'ignorer les connaissances et expériences déjà existantes sur le territoire</w:t>
      </w:r>
      <w:r w:rsidR="00A77433">
        <w:t>.</w:t>
      </w:r>
    </w:p>
    <w:p w14:paraId="3C07B72C" w14:textId="68C9B110" w:rsidR="009E10FA" w:rsidRDefault="009E10FA" w:rsidP="00F62683">
      <w:pPr>
        <w:spacing w:after="240" w:line="360" w:lineRule="auto"/>
        <w:jc w:val="both"/>
      </w:pPr>
      <w:r>
        <w:t xml:space="preserve">En plus de ces aspects méthodologiques, </w:t>
      </w:r>
      <w:proofErr w:type="spellStart"/>
      <w:r>
        <w:t>Jakeman</w:t>
      </w:r>
      <w:proofErr w:type="spellEnd"/>
      <w:r>
        <w:t xml:space="preserve"> et al. </w:t>
      </w:r>
      <w:r w:rsidR="00622010">
        <w:fldChar w:fldCharType="begin"/>
      </w:r>
      <w:r w:rsidR="00D1662B">
        <w:instrText xml:space="preserve"> ADDIN ZOTERO_ITEM CSL_CITATION {"citationID":"jDvQCB7y","properties":{"formattedCitation":"(2006)","plainCitation":"(2006)","noteIndex":0},"citationItems":[{"id":403,"uris":["http://zotero.org/users/16716349/items/BAM38ENW"],"itemData":{"id":403,"type":"article-journal","abstract":"Models are increasingly being relied upon to inform and support natural resource management. They are incorporating an ever broader range of disciplines and now often confront people without strong quantitative or model-building backgrounds. These trends imply a need for wider awareness of what constitutes good model-development practice, including reporting of models to users and sceptical review of models by users. To this end the paper outlines ten basic steps of good, disciplined model practice. The aim is to develop purposeful, credible models from data and prior knowledge, in consort with end-users, with every stage open to critical review and revision. Best practice entails identifying clearly the clients and objectives of the modelling exercise; documenting the nature (quantity, quality, limitations) of the data used to construct and test the model; providing a strong rationale for the choice of model family and features (encompassing review of alternative approaches); justifying the techniques used to calibrate the model; serious analysis, testing and discussion of model performance; and making a resultant statement of model assumptions, utility, accuracy, limitations, and scope for improvement. In natural resource management applications, these steps will be a learning process, even a partnership, between model developers, clients and other interested parties.","container-title":"Environmental Modelling &amp; Software","DOI":"10.1016/j.envsoft.2006.01.004","ISSN":"13648152","issue":"5","journalAbbreviation":"Environmental Modelling &amp; Software","language":"en","license":"https://www.elsevier.com/tdm/userlicense/1.0/","page":"602-614","source":"DOI.org (Crossref)","title":"Ten iterative steps in development and evaluation of environmental models","volume":"21","author":[{"family":"Jakeman","given":"A.J."},{"family":"Letcher","given":"R.A."},{"family":"Norton","given":"J.P."}],"issued":{"date-parts":[["2006",5]]}},"suppress-author":true}],"schema":"https://github.com/citation-style-language/schema/raw/master/csl-citation.json"} </w:instrText>
      </w:r>
      <w:r w:rsidR="00622010">
        <w:fldChar w:fldCharType="separate"/>
      </w:r>
      <w:r w:rsidR="00D1662B" w:rsidRPr="00D1662B">
        <w:rPr>
          <w:rFonts w:ascii="Calibri" w:hAnsi="Calibri" w:cs="Calibri"/>
        </w:rPr>
        <w:t>(2006)</w:t>
      </w:r>
      <w:r w:rsidR="00622010">
        <w:fldChar w:fldCharType="end"/>
      </w:r>
      <w:r w:rsidR="00622010">
        <w:t xml:space="preserve"> </w:t>
      </w:r>
      <w:r>
        <w:t>soulignent que le concept même de « validation » peut être remis en question. Pour de nombreux chercheurs, cette approche est trop binaire (acceptation ou rejet) et peut pousser à des conclusions hâtives, alors que les modèles environnementaux sont, par nature, complexes et soumis à une multiplicité de facteurs influençant les résultats.</w:t>
      </w:r>
    </w:p>
    <w:p w14:paraId="3EF65B48" w14:textId="6D47D2DA" w:rsidR="009E10FA" w:rsidRDefault="009E10FA" w:rsidP="00F62683">
      <w:pPr>
        <w:spacing w:after="240" w:line="360" w:lineRule="auto"/>
        <w:jc w:val="both"/>
      </w:pPr>
      <w:r>
        <w:t xml:space="preserve">Dans le domaine de l’hydrologie, </w:t>
      </w:r>
      <w:proofErr w:type="spellStart"/>
      <w:r>
        <w:t>Konikow</w:t>
      </w:r>
      <w:proofErr w:type="spellEnd"/>
      <w:r>
        <w:t xml:space="preserve"> et </w:t>
      </w:r>
      <w:proofErr w:type="spellStart"/>
      <w:r>
        <w:t>Bredehoeft</w:t>
      </w:r>
      <w:proofErr w:type="spellEnd"/>
      <w:r>
        <w:t xml:space="preserve"> </w:t>
      </w:r>
      <w:r w:rsidR="00622010">
        <w:fldChar w:fldCharType="begin"/>
      </w:r>
      <w:r w:rsidR="00D1662B">
        <w:instrText xml:space="preserve"> ADDIN ZOTERO_ITEM CSL_CITATION {"citationID":"w1JE3jXi","properties":{"formattedCitation":"(1992)","plainCitation":"(1992)","noteIndex":0},"citationItems":[{"id":404,"uris":["http://zotero.org/users/16716349/items/MRC9Z534"],"itemData":{"id":404,"type":"article-journal","abstract":"Ground-water models are embodiments of scientific hypotheses. As such, the models cannot be proven or validated, but only tested and invalidated. However, model testing and the evaluation of predictive errors lead to improved models and a better understanding of the problem at hand. In applying ground-water models to field problems, errors arise from conceptual deficiencies, numerical errors, and inadequate parameter estimation. Case histories of model applications to the Dakota Aquifer, South Dakota, to bedded salts in New Mexico, and to the upper Coachella Valley, California, illustrate that calibration produces a nonunique solution and that validation, per se, is a futile objective. Although models are definitely valuable tools for analyzing ground-water systems, their predictive accuracy is limited. The terms validation and verification are misleading and their use in ground-water science should be abandoned in favor of more meaningful model-assessment descriptors.","collection-title":"Validation of Geo-hydrological Models Part 1","container-title":"Advances in Water Resources","DOI":"10.1016/0309-1708(92)90033-X","ISSN":"0309-1708","issue":"1","journalAbbreviation":"Advances in Water Resources","page":"75-83","source":"ScienceDirect","title":"Ground-water models cannot be validated","volume":"15","author":[{"family":"Konikow","given":"Leonard F."},{"family":"Bredehoeft","given":"John D."}],"issued":{"date-parts":[["1992",1,1]]}},"suppress-author":true}],"schema":"https://github.com/citation-style-language/schema/raw/master/csl-citation.json"} </w:instrText>
      </w:r>
      <w:r w:rsidR="00622010">
        <w:fldChar w:fldCharType="separate"/>
      </w:r>
      <w:r w:rsidR="00D1662B" w:rsidRPr="00D1662B">
        <w:rPr>
          <w:rFonts w:ascii="Calibri" w:hAnsi="Calibri" w:cs="Calibri"/>
        </w:rPr>
        <w:t>(1992)</w:t>
      </w:r>
      <w:r w:rsidR="00622010">
        <w:fldChar w:fldCharType="end"/>
      </w:r>
      <w:r>
        <w:t xml:space="preserve"> affirment que le terme « validation » n'est pas adéquat : selon eux, on ne peut jamais prouver qu'un modèle est "juste", on peut seulement tenter de l'invalider. Cette vision s'inscrit dans la réflexion de Hawking (1988), citée par </w:t>
      </w:r>
      <w:proofErr w:type="spellStart"/>
      <w:r>
        <w:t>Jakeman</w:t>
      </w:r>
      <w:proofErr w:type="spellEnd"/>
      <w:r>
        <w:t xml:space="preserve"> et al. </w:t>
      </w:r>
      <w:r w:rsidR="00622010">
        <w:fldChar w:fldCharType="begin"/>
      </w:r>
      <w:r w:rsidR="00396EF9">
        <w:instrText xml:space="preserve"> ADDIN ZOTERO_ITEM CSL_CITATION {"citationID":"ap67WfHv","properties":{"formattedCitation":"(2006)","plainCitation":"(2006)","noteIndex":0},"citationItems":[{"id":403,"uris":["http://zotero.org/users/16716349/items/BAM38ENW"],"itemData":{"id":403,"type":"article-journal","abstract":"Models are increasingly being relied upon to inform and support natural resource management. They are incorporating an ever broader range of disciplines and now often confront people without strong quantitative or model-building backgrounds. These trends imply a need for wider awareness of what constitutes good model-development practice, including reporting of models to users and sceptical review of models by users. To this end the paper outlines ten basic steps of good, disciplined model practice. The aim is to develop purposeful, credible models from data and prior knowledge, in consort with end-users, with every stage open to critical review and revision. Best practice entails identifying clearly the clients and objectives of the modelling exercise; documenting the nature (quantity, quality, limitations) of the data used to construct and test the model; providing a strong rationale for the choice of model family and features (encompassing review of alternative approaches); justifying the techniques used to calibrate the model; serious analysis, testing and discussion of model performance; and making a resultant statement of model assumptions, utility, accuracy, limitations, and scope for improvement. In natural resource management applications, these steps will be a learning process, even a partnership, between model developers, clients and other interested parties.","container-title":"Environmental Modelling &amp; Software","DOI":"10.1016/j.envsoft.2006.01.004","ISSN":"13648152","issue":"5","journalAbbreviation":"Environmental Modelling &amp; Software","language":"en","license":"https://www.elsevier.com/tdm/userlicense/1.0/","page":"602-614","source":"DOI.org (Crossref)","title":"Ten iterative steps in development and evaluation of environmental models","volume":"21","author":[{"family":"Jakeman","given":"A.J."},{"family":"Letcher","given":"R.A."},{"family":"Norton","given":"J.P."}],"issued":{"date-parts":[["2006",5]]}},"suppress-author":true}],"schema":"https://github.com/citation-style-language/schema/raw/master/csl-citation.json"} </w:instrText>
      </w:r>
      <w:r w:rsidR="00622010">
        <w:fldChar w:fldCharType="separate"/>
      </w:r>
      <w:r w:rsidR="00396EF9" w:rsidRPr="00396EF9">
        <w:rPr>
          <w:rFonts w:ascii="Calibri" w:hAnsi="Calibri" w:cs="Calibri"/>
        </w:rPr>
        <w:t>(2006)</w:t>
      </w:r>
      <w:r w:rsidR="00622010">
        <w:fldChar w:fldCharType="end"/>
      </w:r>
      <w:r>
        <w:t>, pour qui toute théorie physique demeure par essence provisoire : elle constitue une hypothèse que l'on ne peut jamais prouver de manière définitive.</w:t>
      </w:r>
    </w:p>
    <w:p w14:paraId="694931D1" w14:textId="2639A0BB" w:rsidR="0067742B" w:rsidRDefault="009E10FA" w:rsidP="00F62683">
      <w:pPr>
        <w:spacing w:after="240" w:line="360" w:lineRule="auto"/>
        <w:jc w:val="both"/>
      </w:pPr>
      <w:r>
        <w:t>Dès lors, il devient crucial de mettre en place des indicateurs et une série de tests de performance. Plutôt que de chercher une validation absolue, l'objectif est d'analyser les résultats sous différents angles et de confronter le modèle à des situations critiques pour en identifier les limites et les biais potentiels.</w:t>
      </w:r>
      <w:r w:rsidR="003417E9">
        <w:t xml:space="preserve">  </w:t>
      </w:r>
    </w:p>
    <w:p w14:paraId="6696A8F6" w14:textId="43E27370" w:rsidR="00C41E7E" w:rsidRPr="00C41E7E" w:rsidRDefault="00C41E7E" w:rsidP="00F62683">
      <w:pPr>
        <w:pStyle w:val="Titre3"/>
        <w:numPr>
          <w:ilvl w:val="2"/>
          <w:numId w:val="12"/>
        </w:numPr>
        <w:spacing w:after="240" w:line="360" w:lineRule="auto"/>
      </w:pPr>
      <w:bookmarkStart w:id="10" w:name="_Toc228373035"/>
      <w:r w:rsidRPr="00C41E7E">
        <w:lastRenderedPageBreak/>
        <w:t>Les 10 étapes clés</w:t>
      </w:r>
      <w:bookmarkEnd w:id="10"/>
      <w:r w:rsidRPr="00C41E7E">
        <w:t> </w:t>
      </w:r>
    </w:p>
    <w:p w14:paraId="35F35B42" w14:textId="65948955" w:rsidR="00C41E7E" w:rsidRPr="00C41E7E" w:rsidRDefault="00C41E7E" w:rsidP="00F62683">
      <w:pPr>
        <w:spacing w:after="240" w:line="360" w:lineRule="auto"/>
        <w:jc w:val="both"/>
      </w:pPr>
      <w:r w:rsidRPr="00C41E7E">
        <w:t xml:space="preserve">Afin de structurer cette démarche et de concevoir un outil robuste, </w:t>
      </w:r>
      <w:proofErr w:type="spellStart"/>
      <w:r w:rsidRPr="00C41E7E">
        <w:t>Jakeman</w:t>
      </w:r>
      <w:proofErr w:type="spellEnd"/>
      <w:r w:rsidRPr="00C41E7E">
        <w:t xml:space="preserve"> et al. </w:t>
      </w:r>
      <w:r w:rsidR="00622010">
        <w:fldChar w:fldCharType="begin"/>
      </w:r>
      <w:r w:rsidR="00396EF9">
        <w:instrText xml:space="preserve"> ADDIN ZOTERO_ITEM CSL_CITATION {"citationID":"kmlCzmUn","properties":{"formattedCitation":"(2006)","plainCitation":"(2006)","noteIndex":0},"citationItems":[{"id":403,"uris":["http://zotero.org/users/16716349/items/BAM38ENW"],"itemData":{"id":403,"type":"article-journal","abstract":"Models are increasingly being relied upon to inform and support natural resource management. They are incorporating an ever broader range of disciplines and now often confront people without strong quantitative or model-building backgrounds. These trends imply a need for wider awareness of what constitutes good model-development practice, including reporting of models to users and sceptical review of models by users. To this end the paper outlines ten basic steps of good, disciplined model practice. The aim is to develop purposeful, credible models from data and prior knowledge, in consort with end-users, with every stage open to critical review and revision. Best practice entails identifying clearly the clients and objectives of the modelling exercise; documenting the nature (quantity, quality, limitations) of the data used to construct and test the model; providing a strong rationale for the choice of model family and features (encompassing review of alternative approaches); justifying the techniques used to calibrate the model; serious analysis, testing and discussion of model performance; and making a resultant statement of model assumptions, utility, accuracy, limitations, and scope for improvement. In natural resource management applications, these steps will be a learning process, even a partnership, between model developers, clients and other interested parties.","container-title":"Environmental Modelling &amp; Software","DOI":"10.1016/j.envsoft.2006.01.004","ISSN":"13648152","issue":"5","journalAbbreviation":"Environmental Modelling &amp; Software","language":"en","license":"https://www.elsevier.com/tdm/userlicense/1.0/","page":"602-614","source":"DOI.org (Crossref)","title":"Ten iterative steps in development and evaluation of environmental models","volume":"21","author":[{"family":"Jakeman","given":"A.J."},{"family":"Letcher","given":"R.A."},{"family":"Norton","given":"J.P."}],"issued":{"date-parts":[["2006",5]]}},"suppress-author":true}],"schema":"https://github.com/citation-style-language/schema/raw/master/csl-citation.json"} </w:instrText>
      </w:r>
      <w:r w:rsidR="00622010">
        <w:fldChar w:fldCharType="separate"/>
      </w:r>
      <w:r w:rsidR="00396EF9" w:rsidRPr="00396EF9">
        <w:rPr>
          <w:rFonts w:ascii="Calibri" w:hAnsi="Calibri" w:cs="Calibri"/>
        </w:rPr>
        <w:t>(2006)</w:t>
      </w:r>
      <w:r w:rsidR="00622010">
        <w:fldChar w:fldCharType="end"/>
      </w:r>
      <w:r w:rsidR="00622010">
        <w:t xml:space="preserve"> </w:t>
      </w:r>
      <w:r w:rsidRPr="00C41E7E">
        <w:t>recommandent l'adoption d'une méthodologie rigoureuse articulée autour de dix étapes clés. L'application de ces « bonnes pratiques » est fortement conseillée pour développer des modèles utiles, crédibles et dont chaque phase reste ouverte à l'évaluation critique. Il est important de noter que ce processus n'est pas strictement linéaire, mais fondamentalement itératif : il implique des ajustements continus (essais et erreurs) où les résultats d'une étape peuvent contraindre à réévaluer les précédentes.</w:t>
      </w:r>
    </w:p>
    <w:p w14:paraId="5400CE63" w14:textId="77777777" w:rsidR="00C41E7E" w:rsidRPr="00C41E7E" w:rsidRDefault="00C41E7E" w:rsidP="00F62683">
      <w:pPr>
        <w:spacing w:after="240" w:line="360" w:lineRule="auto"/>
        <w:jc w:val="both"/>
      </w:pPr>
      <w:r w:rsidRPr="00C41E7E">
        <w:t>Ces dix étapes essentielles se déclinent ainsi :</w:t>
      </w:r>
    </w:p>
    <w:p w14:paraId="3DFA9CE2" w14:textId="77777777" w:rsidR="00C41E7E" w:rsidRPr="00C41E7E" w:rsidRDefault="00C41E7E" w:rsidP="00F62683">
      <w:pPr>
        <w:numPr>
          <w:ilvl w:val="0"/>
          <w:numId w:val="7"/>
        </w:numPr>
        <w:spacing w:after="240" w:line="360" w:lineRule="auto"/>
        <w:jc w:val="both"/>
      </w:pPr>
      <w:r w:rsidRPr="00C41E7E">
        <w:rPr>
          <w:b/>
          <w:bCs/>
        </w:rPr>
        <w:t>La définition des objectifs du modèle :</w:t>
      </w:r>
      <w:r w:rsidRPr="00C41E7E">
        <w:t xml:space="preserve"> Il s'agit de clarifier précisément la finalité de l'outil (par exemple : comprendre le système, prédire des comportements futurs, ou aider à la décision) afin d'orienter tous les choix de modélisation ultérieurs.</w:t>
      </w:r>
    </w:p>
    <w:p w14:paraId="526159AD" w14:textId="77777777" w:rsidR="00C41E7E" w:rsidRPr="00C41E7E" w:rsidRDefault="00C41E7E" w:rsidP="00F62683">
      <w:pPr>
        <w:numPr>
          <w:ilvl w:val="0"/>
          <w:numId w:val="7"/>
        </w:numPr>
        <w:spacing w:after="240" w:line="360" w:lineRule="auto"/>
        <w:jc w:val="both"/>
      </w:pPr>
      <w:r w:rsidRPr="00C41E7E">
        <w:rPr>
          <w:b/>
          <w:bCs/>
        </w:rPr>
        <w:t>La spécification du contexte, de la portée et des ressources :</w:t>
      </w:r>
      <w:r w:rsidRPr="00C41E7E">
        <w:t xml:space="preserve"> Cette phase délimite les frontières spatiales et temporelles du système étudié, identifie les utilisateurs finaux et prend en compte les contraintes matérielles ou temporelles du projet.</w:t>
      </w:r>
    </w:p>
    <w:p w14:paraId="7BBA17F0" w14:textId="77777777" w:rsidR="00C41E7E" w:rsidRPr="00C41E7E" w:rsidRDefault="00C41E7E" w:rsidP="00F62683">
      <w:pPr>
        <w:numPr>
          <w:ilvl w:val="0"/>
          <w:numId w:val="7"/>
        </w:numPr>
        <w:spacing w:after="240" w:line="360" w:lineRule="auto"/>
        <w:jc w:val="both"/>
      </w:pPr>
      <w:r w:rsidRPr="00C41E7E">
        <w:rPr>
          <w:b/>
          <w:bCs/>
        </w:rPr>
        <w:t>La conceptualisation du système et des données :</w:t>
      </w:r>
      <w:r w:rsidRPr="00C41E7E">
        <w:t xml:space="preserve"> Avant tout calcul, il faut rassembler les connaissances préalables, évaluer la qualité des données disponibles et formuler les premières hypothèses qualitatives sur le fonctionnement et les processus internes du système.</w:t>
      </w:r>
    </w:p>
    <w:p w14:paraId="2D354714" w14:textId="77777777" w:rsidR="00C41E7E" w:rsidRPr="00C41E7E" w:rsidRDefault="00C41E7E" w:rsidP="00F62683">
      <w:pPr>
        <w:numPr>
          <w:ilvl w:val="0"/>
          <w:numId w:val="7"/>
        </w:numPr>
        <w:spacing w:after="240" w:line="360" w:lineRule="auto"/>
        <w:jc w:val="both"/>
      </w:pPr>
      <w:r w:rsidRPr="00C41E7E">
        <w:rPr>
          <w:b/>
          <w:bCs/>
        </w:rPr>
        <w:t>La sélection de la famille et des caractéristiques du modèle :</w:t>
      </w:r>
      <w:r w:rsidRPr="00C41E7E">
        <w:t xml:space="preserve"> En fonction des données et des objectifs, le modélisateur choisit l'approche mathématique ou structurelle la plus adéquate (modèles empiriques, déterministes, stochastiques, etc.).</w:t>
      </w:r>
    </w:p>
    <w:p w14:paraId="6FF48B87" w14:textId="77777777" w:rsidR="00C41E7E" w:rsidRPr="00C41E7E" w:rsidRDefault="00C41E7E" w:rsidP="00F62683">
      <w:pPr>
        <w:numPr>
          <w:ilvl w:val="0"/>
          <w:numId w:val="7"/>
        </w:numPr>
        <w:spacing w:after="240" w:line="360" w:lineRule="auto"/>
        <w:jc w:val="both"/>
      </w:pPr>
      <w:r w:rsidRPr="00C41E7E">
        <w:rPr>
          <w:b/>
          <w:bCs/>
        </w:rPr>
        <w:t>Le choix de la méthode d'élaboration de la structure et des paramètres :</w:t>
      </w:r>
      <w:r w:rsidRPr="00C41E7E">
        <w:t xml:space="preserve"> Il s'agit de décider comment les relations entre les variables seront mathématiquement construites, en veillant à respecter le principe de parcimonie pour éviter de complexifier le modèle au-delà de ce que les données peuvent soutenir.</w:t>
      </w:r>
    </w:p>
    <w:p w14:paraId="13999BE7" w14:textId="77777777" w:rsidR="00C41E7E" w:rsidRPr="00C41E7E" w:rsidRDefault="00C41E7E" w:rsidP="00F62683">
      <w:pPr>
        <w:numPr>
          <w:ilvl w:val="0"/>
          <w:numId w:val="7"/>
        </w:numPr>
        <w:spacing w:after="240" w:line="360" w:lineRule="auto"/>
        <w:jc w:val="both"/>
      </w:pPr>
      <w:r w:rsidRPr="00C41E7E">
        <w:rPr>
          <w:b/>
          <w:bCs/>
        </w:rPr>
        <w:t>Le choix des critères et des techniques d'estimation des performances :</w:t>
      </w:r>
      <w:r w:rsidRPr="00C41E7E">
        <w:t xml:space="preserve"> Cette étape définit les algorithmes mathématiques et les indicateurs (robustesse, absence de biais) qui serviront à ajuster (calibrer) les paramètres du modèle.</w:t>
      </w:r>
    </w:p>
    <w:p w14:paraId="06FEA917" w14:textId="77777777" w:rsidR="00C41E7E" w:rsidRPr="00C41E7E" w:rsidRDefault="00C41E7E" w:rsidP="00F62683">
      <w:pPr>
        <w:numPr>
          <w:ilvl w:val="0"/>
          <w:numId w:val="7"/>
        </w:numPr>
        <w:spacing w:after="240" w:line="360" w:lineRule="auto"/>
        <w:jc w:val="both"/>
      </w:pPr>
      <w:r w:rsidRPr="00C41E7E">
        <w:rPr>
          <w:b/>
          <w:bCs/>
        </w:rPr>
        <w:lastRenderedPageBreak/>
        <w:t>L'identification de la structure et des paramètres :</w:t>
      </w:r>
      <w:r w:rsidRPr="00C41E7E">
        <w:t xml:space="preserve"> C'est la phase de calibration concrète où les méthodes choisies sont appliquées pour affiner le modèle, souvent en comparant différentes hypothèses structurelles pour trouver le meilleur équilibre entre précision et simplicité.</w:t>
      </w:r>
    </w:p>
    <w:p w14:paraId="72A9855C" w14:textId="77777777" w:rsidR="00C41E7E" w:rsidRPr="00C41E7E" w:rsidRDefault="00C41E7E" w:rsidP="00F62683">
      <w:pPr>
        <w:numPr>
          <w:ilvl w:val="0"/>
          <w:numId w:val="7"/>
        </w:numPr>
        <w:spacing w:after="240" w:line="360" w:lineRule="auto"/>
        <w:jc w:val="both"/>
      </w:pPr>
      <w:r w:rsidRPr="00C41E7E">
        <w:rPr>
          <w:b/>
          <w:bCs/>
        </w:rPr>
        <w:t>La vérification conditionnelle et les tests diagnostiques :</w:t>
      </w:r>
      <w:r w:rsidRPr="00C41E7E">
        <w:t xml:space="preserve"> Le modèle doit être confronté à une batterie de tests qualitatifs et quantitatifs pour s'assurer de sa cohérence, de sa robustesse face aux variations de données, et de la crédibilité de ses résultats, idéalement avec l'aide d'experts extérieurs.</w:t>
      </w:r>
    </w:p>
    <w:p w14:paraId="6C6E087D" w14:textId="77777777" w:rsidR="00C41E7E" w:rsidRPr="00C41E7E" w:rsidRDefault="00C41E7E" w:rsidP="00F62683">
      <w:pPr>
        <w:numPr>
          <w:ilvl w:val="0"/>
          <w:numId w:val="7"/>
        </w:numPr>
        <w:spacing w:after="240" w:line="360" w:lineRule="auto"/>
        <w:jc w:val="both"/>
      </w:pPr>
      <w:r w:rsidRPr="00C41E7E">
        <w:rPr>
          <w:b/>
          <w:bCs/>
        </w:rPr>
        <w:t>La quantification des incertitudes :</w:t>
      </w:r>
      <w:r w:rsidRPr="00C41E7E">
        <w:t xml:space="preserve"> Souvent complexe mais indispensable, cette étape évalue comment les erreurs de mesure, les lacunes de données et les choix structurels influencent les prédictions du modèle.</w:t>
      </w:r>
    </w:p>
    <w:p w14:paraId="54489D2B" w14:textId="7105C06D" w:rsidR="00C41E7E" w:rsidRPr="00C41E7E" w:rsidRDefault="00C41E7E" w:rsidP="00F62683">
      <w:pPr>
        <w:numPr>
          <w:ilvl w:val="0"/>
          <w:numId w:val="7"/>
        </w:numPr>
        <w:spacing w:after="240" w:line="360" w:lineRule="auto"/>
        <w:jc w:val="both"/>
      </w:pPr>
      <w:r w:rsidRPr="00C41E7E">
        <w:rPr>
          <w:b/>
          <w:bCs/>
        </w:rPr>
        <w:t>L'évaluation ou le test global du modèle :</w:t>
      </w:r>
      <w:r w:rsidRPr="00C41E7E">
        <w:t xml:space="preserve"> Plutôt que de chercher une « validation » absolue, le modèle est finalement évalué sur son adéquation avec sa finalité initiale, sa transparence et sa capacité à répondre efficacement aux scénarios et aux besoins des gestionnaires.</w:t>
      </w:r>
    </w:p>
    <w:p w14:paraId="4333477B" w14:textId="15A3F750" w:rsidR="00C41E7E" w:rsidRPr="00414C1F" w:rsidRDefault="00C41E7E" w:rsidP="00F62683">
      <w:pPr>
        <w:spacing w:after="240" w:line="360" w:lineRule="auto"/>
        <w:jc w:val="both"/>
      </w:pPr>
      <w:r w:rsidRPr="00C41E7E">
        <w:t>En appliquant rigoureusement ce cadre méthodologique, les chercheurs s'assurent que le simulateur développé pour évaluer la vulnérabilité hydrologique ne se résume pas à une simple « boîte noire » mathématique, mais constitue un véritable outil de dialogue et d'exploration scientifique.</w:t>
      </w:r>
    </w:p>
    <w:p w14:paraId="6D027B52" w14:textId="329B31F6" w:rsidR="009E10FA" w:rsidRPr="00CB72CF" w:rsidRDefault="00CB72CF" w:rsidP="00F62683">
      <w:pPr>
        <w:spacing w:after="240" w:line="360" w:lineRule="auto"/>
        <w:jc w:val="both"/>
        <w:rPr>
          <w:b/>
          <w:bCs/>
        </w:rPr>
      </w:pPr>
      <w:r>
        <w:t>Cette partie de l’état de l’art détaille les fondements de notre modèle, en présentant la formulation retenue pour le bilan hydrique ainsi que l’ensemble des variables qui lui sont associées.</w:t>
      </w:r>
    </w:p>
    <w:p w14:paraId="012EC81C" w14:textId="0B5DAABF" w:rsidR="00CB72CF" w:rsidRDefault="00CB72CF" w:rsidP="00F62683">
      <w:pPr>
        <w:pStyle w:val="Titre2"/>
        <w:numPr>
          <w:ilvl w:val="1"/>
          <w:numId w:val="12"/>
        </w:numPr>
        <w:spacing w:after="240" w:afterAutospacing="0" w:line="360" w:lineRule="auto"/>
      </w:pPr>
      <w:bookmarkStart w:id="11" w:name="_Toc228373036"/>
      <w:r>
        <w:t>Le bilan hydrique</w:t>
      </w:r>
      <w:bookmarkEnd w:id="11"/>
    </w:p>
    <w:p w14:paraId="7ED8BF4D" w14:textId="08027E6D" w:rsidR="00027A40" w:rsidRDefault="00027A40" w:rsidP="00F62683">
      <w:pPr>
        <w:spacing w:after="240" w:line="360" w:lineRule="auto"/>
        <w:jc w:val="both"/>
      </w:pPr>
      <w:r>
        <w:t xml:space="preserve">Le simulateur se base sur les grands principes du bilan hydrique, en modélisant les principaux flux entrants et sortants à l'échelle du plan d'eau </w:t>
      </w:r>
      <w:r w:rsidR="00622010">
        <w:fldChar w:fldCharType="begin"/>
      </w:r>
      <w:r w:rsidR="00622010">
        <w:instrText xml:space="preserve"> ADDIN ZOTERO_ITEM CSL_CITATION {"citationID":"dKBhL5Ag","properties":{"formattedCitation":"(Fr\\uc0\\u233{}caut, 1979)","plainCitation":"(Frécaut, 1979)","noteIndex":0},"citationItems":[{"id":372,"uris":["http://zotero.org/users/16716349/items/9T2ZHB7G"],"itemData":{"id":372,"type":"article-journal","abstract":"Le renouveau actuel de l'hydrologie lacustre permet une meilleure connaissance des bilans hydrologiques annuels des lacs et de leurs variations effectives. Si peu de travaux ont été consacrés aux lacs des montagnes de type alpin, de nombreuses publications concernent les bilans hydrologiques des lacs des régions continentales et froides des moyennes latitudes (lac Baïkal, lac Ladoga, lac Peipsi-Pihkva) et des régions semi-arides et arides des moyennes latitudes (« mer » d'Aral, lac Balkach, lac Issyk-Kul) et des basses latitudes (lac Tchad). L'analyse des bilans moyens annuels conduit à préciser le rôle des conditions originales propres à chaque domaine hydroclimatique : apports en eau à la cuvette lacustre par les précipitations à la surface des lacs et par les cours d'eau affluents, qu'ils soient indigènes ou allogènes, pertes en eau dues à l'évaporation physique à la surface des lacs et aux cours d'eau émissaires, en cas d'exoréisme. L'étude des variations interannuelles des bilans met en valeur, quant à elle, l'influence des oscillations climatiques brèves spécifiques à chaque domaine considéré ; ces variations entraînent des fluctuations des volumes des eaux lacustres et donc des niveaux limnimétriques, parfois aussi des surfaces lacustres. Déjà sensibles dans les régions continentales « tempérées » et froides, les variations interannuelles des bilans sont très accusées dans les régions semi-arides et arides des moyennes latitudes et surtout des basses latitudes.","container-title":"Annales de géographie","DOI":"10.3406/geo.1979.19836","issue":"485","language":"fre","license":"free","page":"1-15","publisher":"Société de géographie","source":"www.persee.fr","title":"Les bilans hydrologiques des lacs","volume":"88","author":[{"family":"Frécaut","given":"René"}],"issued":{"date-parts":[["1979"]]}}}],"schema":"https://github.com/citation-style-language/schema/raw/master/csl-citation.json"} </w:instrText>
      </w:r>
      <w:r w:rsidR="00622010">
        <w:fldChar w:fldCharType="separate"/>
      </w:r>
      <w:r w:rsidR="00622010" w:rsidRPr="00622010">
        <w:rPr>
          <w:rFonts w:ascii="Calibri" w:hAnsi="Calibri" w:cs="Calibri"/>
          <w:szCs w:val="24"/>
        </w:rPr>
        <w:t>(Frécaut, 1979)</w:t>
      </w:r>
      <w:r w:rsidR="00622010">
        <w:fldChar w:fldCharType="end"/>
      </w:r>
      <w:r w:rsidR="00622010">
        <w:t xml:space="preserve">. </w:t>
      </w:r>
      <w:r>
        <w:t>Afin de s'adapter au contexte local, le calcul est réalisé à un pas de temps journalier et intègre les spécificités topographiques de la Dombes (fonctionnement en chaîne) ainsi que les pratiques piscicoles (gestion des assecs et des pêches).</w:t>
      </w:r>
    </w:p>
    <w:p w14:paraId="5C2FF438" w14:textId="0C899D77" w:rsidR="00027A40" w:rsidRDefault="00027A40" w:rsidP="00F62683">
      <w:pPr>
        <w:spacing w:after="240" w:line="360" w:lineRule="auto"/>
        <w:jc w:val="both"/>
      </w:pPr>
      <w:r>
        <w:t xml:space="preserve">Bien qu'il n'existe que très peu d'études proposant une équation de bilan hydrique définie pour l'échelle de la Dombes, de nombreuses formules ont été développées pour d'autres types de réservoirs, sous divers contextes géographiques et climatiques </w:t>
      </w:r>
      <w:r w:rsidR="00622010">
        <w:fldChar w:fldCharType="begin"/>
      </w:r>
      <w:r w:rsidR="00622010">
        <w:instrText xml:space="preserve"> ADDIN ZOTERO_ITEM CSL_CITATION {"citationID":"Ag87it6B","properties":{"formattedCitation":"(Al Domany {\\i{}et al.}, 2015)","plainCitation":"(Al Domany et al., 2015)","noteIndex":0},"citationItems":[{"id":373,"uris":["http://zotero.org/users/16716349/items/6B7ZG2YK"],"itemData":{"id":373,"type":"paper-conference","source":"ResearchGate","title":"L'évaporation et le bilan hydrologique des étangs pélliculaires. L'exemple de l'étang Cistude en Brenne","author":[{"family":"Al Domany","given":"Mohammad"},{"family":"TOUCHART","given":"Laurent"},{"family":"BARTOUT","given":"Pascal"}],"issued":{"date-parts":[["2015",3,27]]}}}],"schema":"https://github.com/citation-style-language/schema/raw/master/csl-citation.json"} </w:instrText>
      </w:r>
      <w:r w:rsidR="00622010">
        <w:fldChar w:fldCharType="separate"/>
      </w:r>
      <w:r w:rsidR="00622010" w:rsidRPr="00622010">
        <w:rPr>
          <w:rFonts w:ascii="Calibri" w:hAnsi="Calibri" w:cs="Calibri"/>
          <w:szCs w:val="24"/>
        </w:rPr>
        <w:t xml:space="preserve">(Al Domany </w:t>
      </w:r>
      <w:r w:rsidR="00622010" w:rsidRPr="00622010">
        <w:rPr>
          <w:rFonts w:ascii="Calibri" w:hAnsi="Calibri" w:cs="Calibri"/>
          <w:i/>
          <w:iCs/>
          <w:szCs w:val="24"/>
        </w:rPr>
        <w:t>et al.</w:t>
      </w:r>
      <w:r w:rsidR="00622010" w:rsidRPr="00622010">
        <w:rPr>
          <w:rFonts w:ascii="Calibri" w:hAnsi="Calibri" w:cs="Calibri"/>
          <w:szCs w:val="24"/>
        </w:rPr>
        <w:t>, 2015)</w:t>
      </w:r>
      <w:r w:rsidR="00622010">
        <w:fldChar w:fldCharType="end"/>
      </w:r>
      <w:r w:rsidR="00622010">
        <w:t xml:space="preserve">. </w:t>
      </w:r>
      <w:r>
        <w:t>Cette base permet néanmoins de structurer un calcul de bilan hydrique, en sélectionnant de multiples variables et en les adaptant à la réalité du terrain local.</w:t>
      </w:r>
    </w:p>
    <w:p w14:paraId="36B8DCF0" w14:textId="170E2331" w:rsidR="00027A40" w:rsidRDefault="00027A40" w:rsidP="00F62683">
      <w:pPr>
        <w:spacing w:after="240" w:line="360" w:lineRule="auto"/>
        <w:jc w:val="both"/>
      </w:pPr>
      <w:r>
        <w:lastRenderedPageBreak/>
        <w:t>Ainsi, l'équation retenue pour simuler le volume d'eau</w:t>
      </w:r>
      <w:r w:rsidR="00CB72CF">
        <w:t xml:space="preserve"> (V) présent</w:t>
      </w:r>
      <w:r>
        <w:t xml:space="preserve"> dans l'étang à un </w:t>
      </w:r>
      <w:r w:rsidR="00CB72CF">
        <w:t xml:space="preserve">jour (t) </w:t>
      </w:r>
      <w:r>
        <w:t>donné intègre plusieurs facteurs (qui seront développés et justifiés dans les sections suivantes) et s'écrit de la manière suivante :</w:t>
      </w:r>
    </w:p>
    <w:p w14:paraId="5FA2A103" w14:textId="01FD054B" w:rsidR="00CB72CF" w:rsidRPr="00CB72CF" w:rsidRDefault="00CB72CF" w:rsidP="00F62683">
      <w:pPr>
        <w:spacing w:after="240" w:line="360" w:lineRule="auto"/>
        <w:jc w:val="center"/>
        <w:rPr>
          <w:sz w:val="24"/>
          <w:szCs w:val="24"/>
        </w:rPr>
      </w:pPr>
      <w:r w:rsidRPr="00CB72CF">
        <w:rPr>
          <w:sz w:val="24"/>
          <w:szCs w:val="24"/>
        </w:rPr>
        <w:t>V (t) = V(t-1) + P (t) + R (t) + A (t) – E (t) – D (t)</w:t>
      </w:r>
    </w:p>
    <w:p w14:paraId="7D07CB0D" w14:textId="77777777" w:rsidR="00CB72CF" w:rsidRPr="00CB72CF" w:rsidRDefault="00CB72CF" w:rsidP="00F62683">
      <w:pPr>
        <w:spacing w:after="240" w:line="360" w:lineRule="auto"/>
        <w:rPr>
          <w:sz w:val="24"/>
          <w:szCs w:val="24"/>
        </w:rPr>
      </w:pPr>
      <w:r w:rsidRPr="00CB72CF">
        <w:rPr>
          <w:sz w:val="24"/>
          <w:szCs w:val="24"/>
        </w:rPr>
        <w:t>V : Volume du plan d’eau</w:t>
      </w:r>
    </w:p>
    <w:p w14:paraId="2F059F32" w14:textId="77777777" w:rsidR="00CB72CF" w:rsidRPr="00CB72CF" w:rsidRDefault="00CB72CF" w:rsidP="00F62683">
      <w:pPr>
        <w:spacing w:after="240" w:line="360" w:lineRule="auto"/>
        <w:rPr>
          <w:sz w:val="24"/>
          <w:szCs w:val="24"/>
        </w:rPr>
      </w:pPr>
      <w:r w:rsidRPr="00CB72CF">
        <w:rPr>
          <w:sz w:val="24"/>
          <w:szCs w:val="24"/>
        </w:rPr>
        <w:t>P : Volume amené par la pluie directe sur la surface</w:t>
      </w:r>
    </w:p>
    <w:p w14:paraId="05B9032E" w14:textId="77777777" w:rsidR="00CB72CF" w:rsidRPr="00CB72CF" w:rsidRDefault="00CB72CF" w:rsidP="00F62683">
      <w:pPr>
        <w:spacing w:after="240" w:line="360" w:lineRule="auto"/>
        <w:rPr>
          <w:sz w:val="24"/>
          <w:szCs w:val="24"/>
        </w:rPr>
      </w:pPr>
      <w:r w:rsidRPr="00CB72CF">
        <w:rPr>
          <w:sz w:val="24"/>
          <w:szCs w:val="24"/>
        </w:rPr>
        <w:t>R : Volume ruisselé sur le bassin versant topographique</w:t>
      </w:r>
    </w:p>
    <w:p w14:paraId="25BBB02A" w14:textId="77777777" w:rsidR="00CB72CF" w:rsidRPr="00CB72CF" w:rsidRDefault="00CB72CF" w:rsidP="00F62683">
      <w:pPr>
        <w:spacing w:after="240" w:line="360" w:lineRule="auto"/>
        <w:rPr>
          <w:sz w:val="24"/>
          <w:szCs w:val="24"/>
        </w:rPr>
      </w:pPr>
      <w:r w:rsidRPr="00CB72CF">
        <w:rPr>
          <w:sz w:val="24"/>
          <w:szCs w:val="24"/>
        </w:rPr>
        <w:t>A : Volume excédentaire de l’étang amont</w:t>
      </w:r>
    </w:p>
    <w:p w14:paraId="2C61F46E" w14:textId="77777777" w:rsidR="00CB72CF" w:rsidRPr="00CB72CF" w:rsidRDefault="00CB72CF" w:rsidP="00F62683">
      <w:pPr>
        <w:spacing w:after="240" w:line="360" w:lineRule="auto"/>
        <w:rPr>
          <w:sz w:val="24"/>
          <w:szCs w:val="24"/>
        </w:rPr>
      </w:pPr>
      <w:r w:rsidRPr="00CB72CF">
        <w:rPr>
          <w:sz w:val="24"/>
          <w:szCs w:val="24"/>
        </w:rPr>
        <w:t>E : Volume évaporé par la surface</w:t>
      </w:r>
    </w:p>
    <w:p w14:paraId="40D92963" w14:textId="5DC56A5B" w:rsidR="009E4F5D" w:rsidRDefault="00CB72CF" w:rsidP="00F62683">
      <w:pPr>
        <w:spacing w:after="240" w:line="360" w:lineRule="auto"/>
        <w:rPr>
          <w:sz w:val="24"/>
          <w:szCs w:val="24"/>
        </w:rPr>
      </w:pPr>
      <w:r w:rsidRPr="00CB72CF">
        <w:rPr>
          <w:sz w:val="24"/>
          <w:szCs w:val="24"/>
        </w:rPr>
        <w:t>D :  Volume évacué par surverse</w:t>
      </w:r>
    </w:p>
    <w:p w14:paraId="4086FEF5" w14:textId="5547ECDF" w:rsidR="00396E77" w:rsidRPr="00396E77" w:rsidRDefault="00396E77" w:rsidP="00F62683">
      <w:pPr>
        <w:pStyle w:val="Titre3"/>
        <w:numPr>
          <w:ilvl w:val="2"/>
          <w:numId w:val="12"/>
        </w:numPr>
        <w:spacing w:after="240" w:line="360" w:lineRule="auto"/>
      </w:pPr>
      <w:bookmarkStart w:id="12" w:name="_Toc228373037"/>
      <w:r>
        <w:t>La Pluie (P)</w:t>
      </w:r>
      <w:bookmarkEnd w:id="12"/>
    </w:p>
    <w:p w14:paraId="62F6426F" w14:textId="61C305FD" w:rsidR="00396E77" w:rsidRDefault="00396E77" w:rsidP="00F62683">
      <w:pPr>
        <w:spacing w:after="240" w:line="360" w:lineRule="auto"/>
        <w:jc w:val="both"/>
      </w:pPr>
      <w:r w:rsidRPr="00396E77">
        <w:t xml:space="preserve">La pluie constitue l'une des variables d'entrée les plus critiques du modèle, car elle impacte directement le volume de l'étang par précipitation directe sur le plan d'eau, mais détermine également les volumes générés par le ruissellement sur le bassin versant. Le choix d'une </w:t>
      </w:r>
      <w:r w:rsidRPr="0062540A">
        <w:t>donnée</w:t>
      </w:r>
      <w:r w:rsidRPr="00396E77">
        <w:t xml:space="preserve"> précise et représentative du territoire est donc fondamental pour limiter les incertitudes de simulation.</w:t>
      </w:r>
      <w:r w:rsidR="003901BF" w:rsidRPr="00D969AF">
        <w:t xml:space="preserve"> Particulièrement pour les bassins versants de petite taille (de quelques dizaines à quelques centaines de kilomètres carrés), dont la réponse hydrologique est très réactive aux impulsions pluvieuses </w:t>
      </w:r>
      <w:r w:rsidR="00622010">
        <w:fldChar w:fldCharType="begin"/>
      </w:r>
      <w:r w:rsidR="00622010">
        <w:instrText xml:space="preserve"> ADDIN ZOTERO_ITEM CSL_CITATION {"citationID":"6iBaZcle","properties":{"formattedCitation":"(Emmanuel {\\i{}et al.}, 2016)","plainCitation":"(Emmanuel et al., 2016)","noteIndex":0},"citationItems":[{"id":454,"uris":["http://zotero.org/users/16716349/items/95KWKQ27"],"itemData":{"id":454,"type":"article-journal","abstract":"The present work aims to quantify the effects of neglecting rainfall spatial variability for runoff modelling at the outlet of catchments ranging from ten to several hundred km (of urban or peri-urban type). We have proceeded by simulation in order both to overcome modelling and measurement errors, in addition to controlling rainfall variability and the characteristics and hydrological behavior of catchments. For this purpose, it has been used a simulation chain including a stream network model, a rainfall simulator and a distributed hydrological model (with four production functions and a distributed transfer based on the Hayami model). It has also been decided not to conduct an exhaustive investigation but instead a study of contrasting situations. Results showed the difficulty to obtain general conclusions from studying just a few events and thus contribute to explain the divergent conclusions drawn in the literature. Moreover, the proposed methodology revealed a number of trends. For the different studied rainfall configurations, the effects of neglecting rainfall spatial variability appear to be significant in situations where rainfall contrasts are created and maintained over the catchments. Such situations were identified for three scenarios: 1) the dimensionless \"rainfall field velocity to catchment flow celerity\" ratio is close to 1; 2) the rainfall field direction is perpendicular to the main catchment flow direction; and for 3) a Horton or SCS production function. At last, in order to verify that simulation results are close to reality, all results will have to be confronted to those obtained on real catchments with some real rainfall measurements.","container-title":"La Houille Blanche - Revue internationale de l'eau","issue":"2","page":"47-55","publisher":"EDP Sciences","source":"HAL","title":"Influence de la variabilité spatiale des champs pluvieux pour la modélisation pluie-débit de petits bassins versants: Une approche par simulation","title-short":"Influence de la variabilité spatiale des champs pluvieux pour la modélisation pluie-débit de petits bassins versants","author":[{"family":"Emmanuel","given":"I."},{"family":"Andrieu","given":"H."},{"family":"Leblois","given":"E."},{"family":"Janey","given":"N."}],"issued":{"date-parts":[["2016"]]}}}],"schema":"https://github.com/citation-style-language/schema/raw/master/csl-citation.json"} </w:instrText>
      </w:r>
      <w:r w:rsidR="00622010">
        <w:fldChar w:fldCharType="separate"/>
      </w:r>
      <w:r w:rsidR="00622010" w:rsidRPr="00622010">
        <w:rPr>
          <w:rFonts w:ascii="Calibri" w:hAnsi="Calibri" w:cs="Calibri"/>
          <w:szCs w:val="24"/>
        </w:rPr>
        <w:t xml:space="preserve">(Emmanuel </w:t>
      </w:r>
      <w:r w:rsidR="00622010" w:rsidRPr="00622010">
        <w:rPr>
          <w:rFonts w:ascii="Calibri" w:hAnsi="Calibri" w:cs="Calibri"/>
          <w:i/>
          <w:iCs/>
          <w:szCs w:val="24"/>
        </w:rPr>
        <w:t>et al.</w:t>
      </w:r>
      <w:r w:rsidR="00622010" w:rsidRPr="00622010">
        <w:rPr>
          <w:rFonts w:ascii="Calibri" w:hAnsi="Calibri" w:cs="Calibri"/>
          <w:szCs w:val="24"/>
        </w:rPr>
        <w:t>, 2016)</w:t>
      </w:r>
      <w:r w:rsidR="00622010">
        <w:fldChar w:fldCharType="end"/>
      </w:r>
      <w:r w:rsidR="00622010">
        <w:t>.</w:t>
      </w:r>
    </w:p>
    <w:p w14:paraId="0822AC7C" w14:textId="74DC93B3" w:rsidR="00396E77" w:rsidRPr="00D969AF" w:rsidRDefault="00396E77" w:rsidP="00F62683">
      <w:pPr>
        <w:spacing w:after="240" w:line="360" w:lineRule="auto"/>
        <w:jc w:val="both"/>
      </w:pPr>
      <w:r w:rsidRPr="00396E77">
        <w:t xml:space="preserve">En France, la littérature et les pratiques de modélisation s'appuient principalement sur deux types de sources en accès libre </w:t>
      </w:r>
      <w:r w:rsidR="003901BF" w:rsidRPr="00D969AF">
        <w:t>: les mesures ponctuelles issues de stations locales et les réanalyses spatialisées telles que le système SAFRAN.</w:t>
      </w:r>
    </w:p>
    <w:p w14:paraId="5A26CF0A" w14:textId="0A28B1C1" w:rsidR="003901BF" w:rsidRDefault="003901BF" w:rsidP="00F62683">
      <w:pPr>
        <w:pStyle w:val="Titre4"/>
        <w:numPr>
          <w:ilvl w:val="0"/>
          <w:numId w:val="8"/>
        </w:numPr>
        <w:spacing w:after="240" w:line="360" w:lineRule="auto"/>
      </w:pPr>
      <w:r>
        <w:t>Les mesures pluviométriques ponctuelles (Stations locales</w:t>
      </w:r>
      <w:r w:rsidR="00652285">
        <w:t xml:space="preserve"> ou Météo-France</w:t>
      </w:r>
      <w:r>
        <w:t>)</w:t>
      </w:r>
    </w:p>
    <w:p w14:paraId="036793DC" w14:textId="77777777" w:rsidR="003901BF" w:rsidRDefault="003901BF" w:rsidP="00F62683">
      <w:pPr>
        <w:spacing w:after="240" w:line="360" w:lineRule="auto"/>
        <w:jc w:val="both"/>
      </w:pPr>
      <w:r>
        <w:t>L'utilisation de données issues de pluviomètres locaux présente l'avantage de fournir une mesure directe et réelle de la quantité d'eau précipitée en un point géographique précis.</w:t>
      </w:r>
    </w:p>
    <w:p w14:paraId="02AA1929" w14:textId="77777777" w:rsidR="003901BF" w:rsidRDefault="003901BF" w:rsidP="00F62683">
      <w:pPr>
        <w:spacing w:after="240" w:line="360" w:lineRule="auto"/>
        <w:jc w:val="both"/>
      </w:pPr>
      <w:r>
        <w:lastRenderedPageBreak/>
        <w:t>Ces données ne subissent pas les biais liés aux algorithmes d'interpolation spatiale et permettent de capter l'intensité exacte d'un événement météorologique localisé si celui-ci frappe directement la station.</w:t>
      </w:r>
    </w:p>
    <w:p w14:paraId="4D1B2733" w14:textId="03F65FC7" w:rsidR="003901BF" w:rsidRDefault="003901BF" w:rsidP="00F62683">
      <w:pPr>
        <w:spacing w:after="240" w:line="360" w:lineRule="auto"/>
        <w:jc w:val="both"/>
        <w:rPr>
          <w:rStyle w:val="ng-star-inserted"/>
        </w:rPr>
      </w:pPr>
      <w:r>
        <w:t xml:space="preserve">Mais la principale limite de cette approche réside dans son manque de représentativité spatiale. L'extrapolation d'une mesure ponctuelle à l'échelle d'un bassin versant repose sur l'hypothèse d'une pluie spatialement uniforme. Or, des travaux basés sur des simulations ont démontré que négliger la variabilité spatiale des champs pluvieux engendre des pertes considérables d'efficacité dans la modélisation pluie-débit, en particulier lors d'épisodes de crues soudaines ou d'orages locaux </w:t>
      </w:r>
      <w:r w:rsidR="00622010">
        <w:fldChar w:fldCharType="begin"/>
      </w:r>
      <w:r w:rsidR="00622010">
        <w:instrText xml:space="preserve"> ADDIN ZOTERO_ITEM CSL_CITATION {"citationID":"ZNTvrPOg","properties":{"formattedCitation":"(Emmanuel {\\i{}et al.}, 2016)","plainCitation":"(Emmanuel et al., 2016)","noteIndex":0},"citationItems":[{"id":454,"uris":["http://zotero.org/users/16716349/items/95KWKQ27"],"itemData":{"id":454,"type":"article-journal","abstract":"The present work aims to quantify the effects of neglecting rainfall spatial variability for runoff modelling at the outlet of catchments ranging from ten to several hundred km (of urban or peri-urban type). We have proceeded by simulation in order both to overcome modelling and measurement errors, in addition to controlling rainfall variability and the characteristics and hydrological behavior of catchments. For this purpose, it has been used a simulation chain including a stream network model, a rainfall simulator and a distributed hydrological model (with four production functions and a distributed transfer based on the Hayami model). It has also been decided not to conduct an exhaustive investigation but instead a study of contrasting situations. Results showed the difficulty to obtain general conclusions from studying just a few events and thus contribute to explain the divergent conclusions drawn in the literature. Moreover, the proposed methodology revealed a number of trends. For the different studied rainfall configurations, the effects of neglecting rainfall spatial variability appear to be significant in situations where rainfall contrasts are created and maintained over the catchments. Such situations were identified for three scenarios: 1) the dimensionless \"rainfall field velocity to catchment flow celerity\" ratio is close to 1; 2) the rainfall field direction is perpendicular to the main catchment flow direction; and for 3) a Horton or SCS production function. At last, in order to verify that simulation results are close to reality, all results will have to be confronted to those obtained on real catchments with some real rainfall measurements.","container-title":"La Houille Blanche - Revue internationale de l'eau","issue":"2","page":"47-55","publisher":"EDP Sciences","source":"HAL","title":"Influence de la variabilité spatiale des champs pluvieux pour la modélisation pluie-débit de petits bassins versants: Une approche par simulation","title-short":"Influence de la variabilité spatiale des champs pluvieux pour la modélisation pluie-débit de petits bassins versants","author":[{"family":"Emmanuel","given":"I."},{"family":"Andrieu","given":"H."},{"family":"Leblois","given":"E."},{"family":"Janey","given":"N."}],"issued":{"date-parts":[["2016"]]}}}],"schema":"https://github.com/citation-style-language/schema/raw/master/csl-citation.json"} </w:instrText>
      </w:r>
      <w:r w:rsidR="00622010">
        <w:fldChar w:fldCharType="separate"/>
      </w:r>
      <w:r w:rsidR="00622010" w:rsidRPr="00622010">
        <w:rPr>
          <w:rFonts w:ascii="Calibri" w:hAnsi="Calibri" w:cs="Calibri"/>
          <w:szCs w:val="24"/>
        </w:rPr>
        <w:t xml:space="preserve">(Emmanuel </w:t>
      </w:r>
      <w:r w:rsidR="00622010" w:rsidRPr="00622010">
        <w:rPr>
          <w:rFonts w:ascii="Calibri" w:hAnsi="Calibri" w:cs="Calibri"/>
          <w:i/>
          <w:iCs/>
          <w:szCs w:val="24"/>
        </w:rPr>
        <w:t>et al.</w:t>
      </w:r>
      <w:r w:rsidR="00622010" w:rsidRPr="00622010">
        <w:rPr>
          <w:rFonts w:ascii="Calibri" w:hAnsi="Calibri" w:cs="Calibri"/>
          <w:szCs w:val="24"/>
        </w:rPr>
        <w:t>, 2016)</w:t>
      </w:r>
      <w:r w:rsidR="00622010">
        <w:fldChar w:fldCharType="end"/>
      </w:r>
      <w:r w:rsidR="00622010">
        <w:t>.</w:t>
      </w:r>
    </w:p>
    <w:p w14:paraId="4524D312" w14:textId="77777777" w:rsidR="00CE588B" w:rsidRDefault="00CE588B" w:rsidP="00F62683">
      <w:pPr>
        <w:pStyle w:val="Titre4"/>
        <w:numPr>
          <w:ilvl w:val="0"/>
          <w:numId w:val="8"/>
        </w:numPr>
        <w:spacing w:after="240" w:line="360" w:lineRule="auto"/>
      </w:pPr>
      <w:r>
        <w:t>La réanalyse spatiale SAFRAN (Météo-France)</w:t>
      </w:r>
    </w:p>
    <w:p w14:paraId="5108667B" w14:textId="33E2D3D6" w:rsidR="00CE588B" w:rsidRDefault="00CE588B" w:rsidP="00F62683">
      <w:pPr>
        <w:spacing w:after="240" w:line="360" w:lineRule="auto"/>
        <w:jc w:val="both"/>
      </w:pPr>
      <w:r>
        <w:t xml:space="preserve">Pour pallier le manque de densité du réseau de surface, les modélisateurs ont couramment recours au système SAFRAN (Système d’Analyse Fournissant des Renseignements Atmosphériques à la Neige) </w:t>
      </w:r>
      <w:r w:rsidR="00622010">
        <w:fldChar w:fldCharType="begin"/>
      </w:r>
      <w:r w:rsidR="00622010">
        <w:instrText xml:space="preserve"> ADDIN ZOTERO_ITEM CSL_CITATION {"citationID":"YhtlCSUo","properties":{"formattedCitation":"(Soubeyroux {\\i{}et al.}, 2008)","plainCitation":"(Soubeyroux et al., 2008)","noteIndex":0},"citationItems":[{"id":457,"uris":["http://zotero.org/users/16716349/items/S4LBTHAA"],"itemData":{"id":457,"type":"article-journal","abstract":"L'application Safran-Isba-Modcou, qui combine un système d'analyse de forçage atmosphérique, un schéma de surface et un module hydrogéologique, a fait l'objet de nombreux travaux de recherche au cours des quinze dernières années. Depuis 2003, ce modèle a été porté dans l'environnement opérationnel de Météo-France et s'est enrichi progressivement d'une climatologie étendue. Son utilisation opérationnelle couvre aujourd'hui les domaines du suivi de la ressource en eau, de la prévision des crues et de l'identification des sécheresses. Il se révèle également être un outil particulièrement adapté pour les études d'impact du changement climatique sur le cycle de l'eau. The Safran-Isba-Modcou model combines an analysis system of the atmospheric forcing, a land surface scheme, and a hydrogeological model. Advanced research has been done around this suite during the last fifteen years. Since 2003, it has been transferred to Météo-France real-time operational environment and has been progressively supplied with an extended climatology. Its operational use now covers water resources monitoring, flood forecasting, and drought assessment. It is also particularly useful for studying the impact of climate change on the water cycle.","container-title":"La Météorologie","DOI":"10.4267/2042/21890","journalAbbreviation":"La Météorologie","page":"40-45","source":"ResearchGate","title":"Safran-Isba-Modcou (SIM) : Un outil pour le suivi hydrométéorologique opérationnel et les études","title-short":"Safran-Isba-Modcou (SIM)","author":[{"family":"Soubeyroux","given":"Jean-Michel"},{"family":"Martin","given":"Eric"},{"family":"Franchisteguy","given":"Laurent"},{"family":"Habets","given":"Florence"},{"family":"Noilhan","given":"Joel"},{"family":"BAILLON","given":"Martine"},{"family":"Rousset","given":"Fabienne"},{"family":"Vidal","given":"Jean-Philippe"},{"family":"LEMOIGNE","given":"Patrick"},{"family":"Morel","given":"Sophie"}],"issued":{"date-parts":[["2008",11,1]]}}}],"schema":"https://github.com/citation-style-language/schema/raw/master/csl-citation.json"} </w:instrText>
      </w:r>
      <w:r w:rsidR="00622010">
        <w:fldChar w:fldCharType="separate"/>
      </w:r>
      <w:r w:rsidR="00622010" w:rsidRPr="00622010">
        <w:rPr>
          <w:rFonts w:ascii="Calibri" w:hAnsi="Calibri" w:cs="Calibri"/>
          <w:szCs w:val="24"/>
        </w:rPr>
        <w:t xml:space="preserve">(Soubeyroux </w:t>
      </w:r>
      <w:r w:rsidR="00622010" w:rsidRPr="00622010">
        <w:rPr>
          <w:rFonts w:ascii="Calibri" w:hAnsi="Calibri" w:cs="Calibri"/>
          <w:i/>
          <w:iCs/>
          <w:szCs w:val="24"/>
        </w:rPr>
        <w:t>et al.</w:t>
      </w:r>
      <w:r w:rsidR="00622010" w:rsidRPr="00622010">
        <w:rPr>
          <w:rFonts w:ascii="Calibri" w:hAnsi="Calibri" w:cs="Calibri"/>
          <w:szCs w:val="24"/>
        </w:rPr>
        <w:t>, 2008)</w:t>
      </w:r>
      <w:r w:rsidR="00622010">
        <w:fldChar w:fldCharType="end"/>
      </w:r>
      <w:r>
        <w:t>. Ce système combine les observations au sol avec les champs issus de modèles de prévision numérique (comme Arpège ou le CEPMMT) via une méthode d'interpolation optimale</w:t>
      </w:r>
      <w:r w:rsidR="00296602">
        <w:t xml:space="preserve"> </w:t>
      </w:r>
      <w:r w:rsidR="00622010">
        <w:fldChar w:fldCharType="begin"/>
      </w:r>
      <w:r w:rsidR="00622010">
        <w:instrText xml:space="preserve"> ADDIN ZOTERO_ITEM CSL_CITATION {"citationID":"FRvk3L5O","properties":{"formattedCitation":"(Vidal {\\i{}et al.}, 2010; Soubeyroux {\\i{}et al.}, 2011)","plainCitation":"(Vidal et al., 2010; Soubeyroux et al., 2011)","noteIndex":0},"citationItems":[{"id":459,"uris":["http://zotero.org/users/16716349/items/A55NQYR9"],"itemData":{"id":459,"type":"article-journal","abstract":"The assessment of regional climate change requires the development of reference long-term retrospective meteorological datasets. This article presents an 8-km-resolution atmospheric reanalysis over France performed with the the Safran-gauge-based analysis system for the period 1958–2008. Climatological features of the Safran 50-year analysis—long-term mean values, inter-annual and seasonal variability—are first presented for all computed variables: rainfall, snowfall, mean air temperature, specific humidity, wind speed and solar and infrared radiation. The spatial patterns of precipitation, minimum and maximum temperature are compared with another spatialization method, and the temporal consistency of the reanalysis is assessed through various validation experiments with both dependent and independent data. These experiments demonstrate the overall robustness of the Safran reanalysis and the improvement of its quality with time, in connection with the sharp increase in the observation network density that occurred in the 1990s. They also show the differentiated sensitivity of variables to the number of available ground observations, with precipitation and air temperature being the more robust ones. The comparison of trends from the reanalysis with those from homogenized series finally shows that if spatial patterns are globally consistent with both approaches, care must be taken when using literal values from the reanalysis and corresponding statistical significance in climate change detection studies. The Safran 50-year atmospheric reanalysis constitutes a long-term forcing datasets for land surface schemes and thus enables the simulation of the past 50 years of water resources over France. Copyright © 2009 Royal Meteorological Society","container-title":"International Journal of Climatology","DOI":"10.1002/joc.2003","ISSN":"1097-0088","issue":"11","language":"en","license":"Copyright © 2009 Royal Meteorological Society","note":"_eprint: https://rmets.onlinelibrary.wiley.com/doi/pdf/10.1002/joc.2003","page":"1627-1644","source":"Wiley Online Library","title":"A 50-year high-resolution atmospheric reanalysis over France with the Safran system","volume":"30","author":[{"family":"Vidal","given":"Jean-Philippe"},{"family":"Martin","given":"Eric"},{"family":"Franchistéguy","given":"Laurent"},{"family":"Baillon","given":"Martine"},{"family":"Soubeyroux","given":"Jean-Michel"}],"issued":{"date-parts":[["2010"]]}}},{"id":420,"uris":["http://zotero.org/users/16716349/items/YNG6YI58"],"itemData":{"id":420,"type":"thesis","abstract":"Le projet CLIMSEC mené par la Direction de la Climatologie de Météo-France avec le soutien de la Fondation MAIF a permis de caractériser la typologie des sécheresses en métropole sur la période 1958-2008 et d'établir un diagnostic sur leurs évolutions attendues au cours du XXIe siècle. L'étude en climat actuel s'est appuyée sur une modélisation rétrospective de l'humidité du sol sur 50 ans avec la chaîne hydrométéorologique Safran-Isba-Modcou (SIM). La réanalyse SIM établie dans le cadre du projet a fait l'objet d'une évaluation particulière pour vérifier son homogénéité temporelle et a permis d'établir une climatologie à haute résolution de l'humidité des sols en métropole. Les différents types de sécheresse (météorologique, agricole, hydrologique) ont été caractérisés à partir d'indicateurs standardisés. Ces indicateurs permettent à la fois de garantir la cohérence spatiale des analyses à différents pas de temps et la détermination des caractéristiques des évènements: début, fin, sévérité, magnitude. Cet outil a été d'abord utilisé à des fins de description comparative des épisodes marquants de sécheresse rencontrés au cours des 50 dernières années (tels que l'été 1976, les années 1989-1990, l'été 2003) en termes de caractéristiques moyennes (durée et surface moyennes, magnitude totale) mais aussi de déficits records sur la période considérée. Une climatologie spatialisée des sécheresses en métropole a ensuite été établie dont la valeur et l'originalité ont été notamment reconnues par l'attribution du prix Norbert Gerbier Mumm de l'OMM en 2010. Elle a mis en évidence les disparités régionales notamment en termes de durée, de sévérité moyenne puis a permis une qualification des événements extrêmes observés sur la période considérée. La deuxième partie de l'étude a été consacrée à l'évaluation des caractéristiques futures des sécheresses sous changement climatique à l'aide des indices standardisés développés dans le projet et en s'appuyant sur les différentes projections climatiques régionalisées disponibles en métropole et issus des travaux de l'AR4 du GIEC. La caractérisation des sécheresses a pris particulièrement en compte les différentes sources d'incertitude, liées aux modèles climatiques globaux, aux scénarios socio-économiques et aux méthodes de régionalisation. La pertinence des jeux de données et des différentes méthodes utilisées, notamment en contexte climatique non stationnaire, a fait l'objet d'une attention particulière. Les incertitudes sur l'évolution des caractéristiques des sécheresses ont été décrites à la fois dans leurs dimensions moyennes mais aussi en terme de variabilité régionale et saisonnière. Au final, les convergences des résultats issus des différentes projections climatiques permettent d'apporter un diagnostic complet sur la compréhension des éléments majeurs de l'aggravation des sécheresses au cours du XXIe siècle et une mise en perspective dans le cadre des démarches pour l'adaptation au changement climatique.","genre":"report","language":"fr","note":"page: 72","publisher":"irstea","source":"hal.inrae.fr","title":"Projet ClimSec. Impact du changement climatique en France sur la sécheresse et l'eau du sol. Rapport final","URL":"https://hal.inrae.fr/hal-02595492","author":[{"family":"Soubeyroux","given":"J. M."},{"family":"Vidal","given":"Jean-Philippe"},{"family":"Najac","given":"J."},{"family":"Kitova","given":"N."},{"family":"Blanchard","given":"M."},{"family":"Dandin","given":"P."},{"family":"Martin","given":"Eric"},{"family":"Pagé","given":"Christian"},{"family":"Habets","given":"F."}],"accessed":{"date-parts":[["2026",3,30]]},"issued":{"date-parts":[["2011"]]}}}],"schema":"https://github.com/citation-style-language/schema/raw/master/csl-citation.json"} </w:instrText>
      </w:r>
      <w:r w:rsidR="00622010">
        <w:fldChar w:fldCharType="separate"/>
      </w:r>
      <w:r w:rsidR="00622010" w:rsidRPr="00622010">
        <w:rPr>
          <w:rFonts w:ascii="Calibri" w:hAnsi="Calibri" w:cs="Calibri"/>
          <w:szCs w:val="24"/>
        </w:rPr>
        <w:t xml:space="preserve">(Vidal </w:t>
      </w:r>
      <w:r w:rsidR="00622010" w:rsidRPr="00622010">
        <w:rPr>
          <w:rFonts w:ascii="Calibri" w:hAnsi="Calibri" w:cs="Calibri"/>
          <w:i/>
          <w:iCs/>
          <w:szCs w:val="24"/>
        </w:rPr>
        <w:t>et al.</w:t>
      </w:r>
      <w:r w:rsidR="00622010" w:rsidRPr="00622010">
        <w:rPr>
          <w:rFonts w:ascii="Calibri" w:hAnsi="Calibri" w:cs="Calibri"/>
          <w:szCs w:val="24"/>
        </w:rPr>
        <w:t xml:space="preserve">, 2010; Soubeyroux </w:t>
      </w:r>
      <w:r w:rsidR="00622010" w:rsidRPr="00622010">
        <w:rPr>
          <w:rFonts w:ascii="Calibri" w:hAnsi="Calibri" w:cs="Calibri"/>
          <w:i/>
          <w:iCs/>
          <w:szCs w:val="24"/>
        </w:rPr>
        <w:t>et al.</w:t>
      </w:r>
      <w:r w:rsidR="00622010" w:rsidRPr="00622010">
        <w:rPr>
          <w:rFonts w:ascii="Calibri" w:hAnsi="Calibri" w:cs="Calibri"/>
          <w:szCs w:val="24"/>
        </w:rPr>
        <w:t>, 2011)</w:t>
      </w:r>
      <w:r w:rsidR="00622010">
        <w:fldChar w:fldCharType="end"/>
      </w:r>
      <w:r>
        <w:t>. L'analyse est d'abord réalisée sur des « zones climatiquement homogènes », puis interpolée sur une grille régulière de 8 × 8 km</w:t>
      </w:r>
      <w:r w:rsidR="00296602">
        <w:t xml:space="preserve"> </w:t>
      </w:r>
      <w:r w:rsidR="00622010">
        <w:fldChar w:fldCharType="begin"/>
      </w:r>
      <w:r w:rsidR="00622010">
        <w:instrText xml:space="preserve"> ADDIN ZOTERO_ITEM CSL_CITATION {"citationID":"TkB79vJ9","properties":{"formattedCitation":"(Vidal {\\i{}et al.}, 2010; Quintana-Segu\\uc0\\u237{} {\\i{}et al.}, 2008)","plainCitation":"(Vidal et al., 2010; Quintana-Seguí et al., 2008)","noteIndex":0},"citationItems":[{"id":459,"uris":["http://zotero.org/users/16716349/items/A55NQYR9"],"itemData":{"id":459,"type":"article-journal","abstract":"The assessment of regional climate change requires the development of reference long-term retrospective meteorological datasets. This article presents an 8-km-resolution atmospheric reanalysis over France performed with the the Safran-gauge-based analysis system for the period 1958–2008. Climatological features of the Safran 50-year analysis—long-term mean values, inter-annual and seasonal variability—are first presented for all computed variables: rainfall, snowfall, mean air temperature, specific humidity, wind speed and solar and infrared radiation. The spatial patterns of precipitation, minimum and maximum temperature are compared with another spatialization method, and the temporal consistency of the reanalysis is assessed through various validation experiments with both dependent and independent data. These experiments demonstrate the overall robustness of the Safran reanalysis and the improvement of its quality with time, in connection with the sharp increase in the observation network density that occurred in the 1990s. They also show the differentiated sensitivity of variables to the number of available ground observations, with precipitation and air temperature being the more robust ones. The comparison of trends from the reanalysis with those from homogenized series finally shows that if spatial patterns are globally consistent with both approaches, care must be taken when using literal values from the reanalysis and corresponding statistical significance in climate change detection studies. The Safran 50-year atmospheric reanalysis constitutes a long-term forcing datasets for land surface schemes and thus enables the simulation of the past 50 years of water resources over France. Copyright © 2009 Royal Meteorological Society","container-title":"International Journal of Climatology","DOI":"10.1002/joc.2003","ISSN":"1097-0088","issue":"11","language":"en","license":"Copyright © 2009 Royal Meteorological Society","note":"_eprint: https://rmets.onlinelibrary.wiley.com/doi/pdf/10.1002/joc.2003","page":"1627-1644","source":"Wiley Online Library","title":"A 50-year high-resolution atmospheric reanalysis over France with the Safran system","volume":"30","author":[{"family":"Vidal","given":"Jean-Philippe"},{"family":"Martin","given":"Eric"},{"family":"Franchistéguy","given":"Laurent"},{"family":"Baillon","given":"Martine"},{"family":"Soubeyroux","given":"Jean-Michel"}],"issued":{"date-parts":[["2010"]]}}},{"id":462,"uris":["http://zotero.org/users/16716349/items/8IVVIT2N"],"itemData":{"id":462,"type":"article-journal","abstract":"Système d’analyse fournissant des renseignements atmosphériques à la neige (SAFRAN) is a mesoscale atmospheric analysis system for surface variables. It produces an analysis at the hourly time step using ground data observations. One of SAFRAN’s main features is that it is based on climatically homogeneous zones and is able to take vertical variations into account. Originally intended for mountainous areas, it was later extended to cover France. This paper focuses on the validation of the extended version. The principle of the analysis is described and its quality was tested for five parameters (air temperature, humidity, wind speed, rainfall, and incoming radiation), using Météo-France’s observation network and data of some well-instrumented stations. Moreover, SAFRAN’s rainfall was compared with another analysis, known as analyse utilisant le relief pour l’hydrométéorologie (Aurelhy). Last, two different versions of SAFRAN were compared for mountain conditions. Temperature and relative humidity were well reproduced, presenting no bias. Wind speed was also well reproduced; however, its bias was −0.3 m s–1. The interpolation from the 6-h time step of the analysis to the 1-h time step was one of the sources of error. The precipitation analysis was robust and not biased; its root-mean-square error was 2.4 mm day−1. This error was mainly due to the spatial heterogeneity of the precipitation within the geographical zones of analysis (1000 km2). The analysis of incoming solar radiation presented some biases, especially in coastal areas. The results of the comparison with some well-instrumented sites were encouraging. SAFRAN is being run operationally at Météo-France on a real-time basis for various applications.","container-title":"Journal of Applied Meteorology and Climatology","DOI":"10.1175/2007JAMC1636.1","ISSN":"1558-8424, 1558-8432","issue":"1","language":"EN","page":"92-107","publisher":"American Meteorological Society","section":"Journal of Applied Meteorology and Climatology","source":"journals.ametsoc.org","title":"Analysis of Near-Surface Atmospheric Variables: Validation of the SAFRAN Analysis over France","title-short":"Analysis of Near-Surface Atmospheric Variables","volume":"47","author":[{"family":"Quintana-Seguí","given":"P."},{"family":"Moigne","given":"P. Le"},{"family":"Durand","given":"Y."},{"family":"Martin","given":"E."},{"family":"Habets","given":"F."},{"family":"Baillon","given":"M."},{"family":"Canellas","given":"C."},{"family":"Franchisteguy","given":"L."},{"family":"Morel","given":"S."}],"issued":{"date-parts":[["2008",1,1]]}}}],"schema":"https://github.com/citation-style-language/schema/raw/master/csl-citation.json"} </w:instrText>
      </w:r>
      <w:r w:rsidR="00622010">
        <w:fldChar w:fldCharType="separate"/>
      </w:r>
      <w:r w:rsidR="00622010" w:rsidRPr="00622010">
        <w:rPr>
          <w:rFonts w:ascii="Calibri" w:hAnsi="Calibri" w:cs="Calibri"/>
          <w:szCs w:val="24"/>
        </w:rPr>
        <w:t xml:space="preserve">(Vidal </w:t>
      </w:r>
      <w:r w:rsidR="00622010" w:rsidRPr="00622010">
        <w:rPr>
          <w:rFonts w:ascii="Calibri" w:hAnsi="Calibri" w:cs="Calibri"/>
          <w:i/>
          <w:iCs/>
          <w:szCs w:val="24"/>
        </w:rPr>
        <w:t>et al.</w:t>
      </w:r>
      <w:r w:rsidR="00622010" w:rsidRPr="00622010">
        <w:rPr>
          <w:rFonts w:ascii="Calibri" w:hAnsi="Calibri" w:cs="Calibri"/>
          <w:szCs w:val="24"/>
        </w:rPr>
        <w:t xml:space="preserve">, 2010; Quintana-Seguí </w:t>
      </w:r>
      <w:r w:rsidR="00622010" w:rsidRPr="00622010">
        <w:rPr>
          <w:rFonts w:ascii="Calibri" w:hAnsi="Calibri" w:cs="Calibri"/>
          <w:i/>
          <w:iCs/>
          <w:szCs w:val="24"/>
        </w:rPr>
        <w:t>et al.</w:t>
      </w:r>
      <w:r w:rsidR="00622010" w:rsidRPr="00622010">
        <w:rPr>
          <w:rFonts w:ascii="Calibri" w:hAnsi="Calibri" w:cs="Calibri"/>
          <w:szCs w:val="24"/>
        </w:rPr>
        <w:t>, 2008)</w:t>
      </w:r>
      <w:r w:rsidR="00622010">
        <w:fldChar w:fldCharType="end"/>
      </w:r>
      <w:r>
        <w:t>.</w:t>
      </w:r>
    </w:p>
    <w:p w14:paraId="4D95F0B0" w14:textId="19376DCE" w:rsidR="00D969AF" w:rsidRDefault="00D969AF" w:rsidP="00F62683">
      <w:pPr>
        <w:spacing w:after="240" w:line="360" w:lineRule="auto"/>
        <w:jc w:val="both"/>
      </w:pPr>
      <w:r w:rsidRPr="00D969AF">
        <w:t>SAFRAN est reconnu pour sa robustesse et sa capacité à fournir des séries temporelles continues, sans biais climatologique majeur sur le long terme. La pertinence de cet outil en fait le forçage atmosphérique standard de la chaîne hydrométéorologique opérationnelle SIM (Safran-Isba-</w:t>
      </w:r>
      <w:proofErr w:type="spellStart"/>
      <w:r w:rsidRPr="00D969AF">
        <w:t>Modcou</w:t>
      </w:r>
      <w:proofErr w:type="spellEnd"/>
      <w:r w:rsidRPr="00D969AF">
        <w:t>), largement validée pour le suivi national des ressources en eau, l'évolution de l'humidité des sols et les bilans hydrologiques</w:t>
      </w:r>
      <w:r>
        <w:t>, et enfin l</w:t>
      </w:r>
      <w:r>
        <w:rPr>
          <w:rStyle w:val="ng-star-inserted"/>
        </w:rPr>
        <w:t>e fait de disposer de données historiques sur plus de 50 ans en fait également un outil de référence pour les études d'impact du changement climatique</w:t>
      </w:r>
      <w:r w:rsidR="00455BE7">
        <w:rPr>
          <w:rStyle w:val="ng-star-inserted"/>
        </w:rPr>
        <w:t xml:space="preserve"> </w:t>
      </w:r>
      <w:r w:rsidR="00622010">
        <w:fldChar w:fldCharType="begin"/>
      </w:r>
      <w:r w:rsidR="00622010">
        <w:instrText xml:space="preserve"> ADDIN ZOTERO_ITEM CSL_CITATION {"citationID":"WwM2Vw9I","properties":{"formattedCitation":"(Soubeyroux {\\i{}et al.}, 2011; Vidal {\\i{}et al.}, 2010)","plainCitation":"(Soubeyroux et al., 2011; Vidal et al., 2010)","noteIndex":0},"citationItems":[{"id":420,"uris":["http://zotero.org/users/16716349/items/YNG6YI58"],"itemData":{"id":420,"type":"thesis","abstract":"Le projet CLIMSEC mené par la Direction de la Climatologie de Météo-France avec le soutien de la Fondation MAIF a permis de caractériser la typologie des sécheresses en métropole sur la période 1958-2008 et d'établir un diagnostic sur leurs évolutions attendues au cours du XXIe siècle. L'étude en climat actuel s'est appuyée sur une modélisation rétrospective de l'humidité du sol sur 50 ans avec la chaîne hydrométéorologique Safran-Isba-Modcou (SIM). La réanalyse SIM établie dans le cadre du projet a fait l'objet d'une évaluation particulière pour vérifier son homogénéité temporelle et a permis d'établir une climatologie à haute résolution de l'humidité des sols en métropole. Les différents types de sécheresse (météorologique, agricole, hydrologique) ont été caractérisés à partir d'indicateurs standardisés. Ces indicateurs permettent à la fois de garantir la cohérence spatiale des analyses à différents pas de temps et la détermination des caractéristiques des évènements: début, fin, sévérité, magnitude. Cet outil a été d'abord utilisé à des fins de description comparative des épisodes marquants de sécheresse rencontrés au cours des 50 dernières années (tels que l'été 1976, les années 1989-1990, l'été 2003) en termes de caractéristiques moyennes (durée et surface moyennes, magnitude totale) mais aussi de déficits records sur la période considérée. Une climatologie spatialisée des sécheresses en métropole a ensuite été établie dont la valeur et l'originalité ont été notamment reconnues par l'attribution du prix Norbert Gerbier Mumm de l'OMM en 2010. Elle a mis en évidence les disparités régionales notamment en termes de durée, de sévérité moyenne puis a permis une qualification des événements extrêmes observés sur la période considérée. La deuxième partie de l'étude a été consacrée à l'évaluation des caractéristiques futures des sécheresses sous changement climatique à l'aide des indices standardisés développés dans le projet et en s'appuyant sur les différentes projections climatiques régionalisées disponibles en métropole et issus des travaux de l'AR4 du GIEC. La caractérisation des sécheresses a pris particulièrement en compte les différentes sources d'incertitude, liées aux modèles climatiques globaux, aux scénarios socio-économiques et aux méthodes de régionalisation. La pertinence des jeux de données et des différentes méthodes utilisées, notamment en contexte climatique non stationnaire, a fait l'objet d'une attention particulière. Les incertitudes sur l'évolution des caractéristiques des sécheresses ont été décrites à la fois dans leurs dimensions moyennes mais aussi en terme de variabilité régionale et saisonnière. Au final, les convergences des résultats issus des différentes projections climatiques permettent d'apporter un diagnostic complet sur la compréhension des éléments majeurs de l'aggravation des sécheresses au cours du XXIe siècle et une mise en perspective dans le cadre des démarches pour l'adaptation au changement climatique.","genre":"report","language":"fr","note":"page: 72","publisher":"irstea","source":"hal.inrae.fr","title":"Projet ClimSec. Impact du changement climatique en France sur la sécheresse et l'eau du sol. Rapport final","URL":"https://hal.inrae.fr/hal-02595492","author":[{"family":"Soubeyroux","given":"J. M."},{"family":"Vidal","given":"Jean-Philippe"},{"family":"Najac","given":"J."},{"family":"Kitova","given":"N."},{"family":"Blanchard","given":"M."},{"family":"Dandin","given":"P."},{"family":"Martin","given":"Eric"},{"family":"Pagé","given":"Christian"},{"family":"Habets","given":"F."}],"accessed":{"date-parts":[["2026",3,30]]},"issued":{"date-parts":[["2011"]]}}},{"id":459,"uris":["http://zotero.org/users/16716349/items/A55NQYR9"],"itemData":{"id":459,"type":"article-journal","abstract":"The assessment of regional climate change requires the development of reference long-term retrospective meteorological datasets. This article presents an 8-km-resolution atmospheric reanalysis over France performed with the the Safran-gauge-based analysis system for the period 1958–2008. Climatological features of the Safran 50-year analysis—long-term mean values, inter-annual and seasonal variability—are first presented for all computed variables: rainfall, snowfall, mean air temperature, specific humidity, wind speed and solar and infrared radiation. The spatial patterns of precipitation, minimum and maximum temperature are compared with another spatialization method, and the temporal consistency of the reanalysis is assessed through various validation experiments with both dependent and independent data. These experiments demonstrate the overall robustness of the Safran reanalysis and the improvement of its quality with time, in connection with the sharp increase in the observation network density that occurred in the 1990s. They also show the differentiated sensitivity of variables to the number of available ground observations, with precipitation and air temperature being the more robust ones. The comparison of trends from the reanalysis with those from homogenized series finally shows that if spatial patterns are globally consistent with both approaches, care must be taken when using literal values from the reanalysis and corresponding statistical significance in climate change detection studies. The Safran 50-year atmospheric reanalysis constitutes a long-term forcing datasets for land surface schemes and thus enables the simulation of the past 50 years of water resources over France. Copyright © 2009 Royal Meteorological Society","container-title":"International Journal of Climatology","DOI":"10.1002/joc.2003","ISSN":"1097-0088","issue":"11","language":"en","license":"Copyright © 2009 Royal Meteorological Society","note":"_eprint: https://rmets.onlinelibrary.wiley.com/doi/pdf/10.1002/joc.2003","page":"1627-1644","source":"Wiley Online Library","title":"A 50-year high-resolution atmospheric reanalysis over France with the Safran system","volume":"30","author":[{"family":"Vidal","given":"Jean-Philippe"},{"family":"Martin","given":"Eric"},{"family":"Franchistéguy","given":"Laurent"},{"family":"Baillon","given":"Martine"},{"family":"Soubeyroux","given":"Jean-Michel"}],"issued":{"date-parts":[["2010"]]}}}],"schema":"https://github.com/citation-style-language/schema/raw/master/csl-citation.json"} </w:instrText>
      </w:r>
      <w:r w:rsidR="00622010">
        <w:fldChar w:fldCharType="separate"/>
      </w:r>
      <w:r w:rsidR="00622010" w:rsidRPr="00622010">
        <w:rPr>
          <w:rFonts w:ascii="Calibri" w:hAnsi="Calibri" w:cs="Calibri"/>
          <w:szCs w:val="24"/>
        </w:rPr>
        <w:t xml:space="preserve">(Soubeyroux </w:t>
      </w:r>
      <w:r w:rsidR="00622010" w:rsidRPr="00622010">
        <w:rPr>
          <w:rFonts w:ascii="Calibri" w:hAnsi="Calibri" w:cs="Calibri"/>
          <w:i/>
          <w:iCs/>
          <w:szCs w:val="24"/>
        </w:rPr>
        <w:t>et al.</w:t>
      </w:r>
      <w:r w:rsidR="00622010" w:rsidRPr="00622010">
        <w:rPr>
          <w:rFonts w:ascii="Calibri" w:hAnsi="Calibri" w:cs="Calibri"/>
          <w:szCs w:val="24"/>
        </w:rPr>
        <w:t xml:space="preserve">, 2011; Vidal </w:t>
      </w:r>
      <w:r w:rsidR="00622010" w:rsidRPr="00622010">
        <w:rPr>
          <w:rFonts w:ascii="Calibri" w:hAnsi="Calibri" w:cs="Calibri"/>
          <w:i/>
          <w:iCs/>
          <w:szCs w:val="24"/>
        </w:rPr>
        <w:t>et al.</w:t>
      </w:r>
      <w:r w:rsidR="00622010" w:rsidRPr="00622010">
        <w:rPr>
          <w:rFonts w:ascii="Calibri" w:hAnsi="Calibri" w:cs="Calibri"/>
          <w:szCs w:val="24"/>
        </w:rPr>
        <w:t>, 2010)</w:t>
      </w:r>
      <w:r w:rsidR="00622010">
        <w:fldChar w:fldCharType="end"/>
      </w:r>
      <w:r w:rsidR="00622010">
        <w:t>.</w:t>
      </w:r>
    </w:p>
    <w:p w14:paraId="1FDBC7FC" w14:textId="64ACCEC9" w:rsidR="00573032" w:rsidRDefault="00573032" w:rsidP="00F62683">
      <w:pPr>
        <w:spacing w:after="240" w:line="360" w:lineRule="auto"/>
        <w:jc w:val="both"/>
      </w:pPr>
      <w:r w:rsidRPr="00573032">
        <w:rPr>
          <w:rStyle w:val="ng-star-inserted"/>
        </w:rPr>
        <w:t xml:space="preserve">Le principal point faible de SAFRAN réside dans son postulat de base concernant les zones climatiquement homogènes, qui </w:t>
      </w:r>
      <w:r w:rsidRPr="00573032">
        <w:t>l'empêche de capter correctement la variabilité spatiale des précipitations à l'intérieur d'une même zone</w:t>
      </w:r>
      <w:r w:rsidRPr="00573032">
        <w:rPr>
          <w:rStyle w:val="ng-star-inserted"/>
        </w:rPr>
        <w:t xml:space="preserve"> (variabilité intra-zone). La littérature souligne que si SAFRAN estime très bien les cumuls moyens, il a tendance à lisser les extrêmes locaux. Plus particulièrement, l'analyse </w:t>
      </w:r>
      <w:r w:rsidRPr="00573032">
        <w:t>sous-estime l'occurrence des épisodes de précipitations de forte intensité (supérieures à 20 mm/jour)</w:t>
      </w:r>
      <w:r w:rsidRPr="00573032">
        <w:rPr>
          <w:rStyle w:val="ng-star-inserted"/>
        </w:rPr>
        <w:t>. Le lissage induit par la grille de 8 km pénalise donc la restitution fidèle des épisodes fortement convectifs ou orageux</w:t>
      </w:r>
      <w:r>
        <w:rPr>
          <w:rStyle w:val="ng-star-inserted"/>
        </w:rPr>
        <w:t xml:space="preserve"> </w:t>
      </w:r>
      <w:r w:rsidR="00622010">
        <w:fldChar w:fldCharType="begin"/>
      </w:r>
      <w:r w:rsidR="00622010">
        <w:instrText xml:space="preserve"> ADDIN ZOTERO_ITEM CSL_CITATION {"citationID":"FIXB1X2A","properties":{"formattedCitation":"(Quintana-Segu\\uc0\\u237{} {\\i{}et al.}, 2008)","plainCitation":"(Quintana-Seguí et al., 2008)","noteIndex":0},"citationItems":[{"id":462,"uris":["http://zotero.org/users/16716349/items/8IVVIT2N"],"itemData":{"id":462,"type":"article-journal","abstract":"Système d’analyse fournissant des renseignements atmosphériques à la neige (SAFRAN) is a mesoscale atmospheric analysis system for surface variables. It produces an analysis at the hourly time step using ground data observations. One of SAFRAN’s main features is that it is based on climatically homogeneous zones and is able to take vertical variations into account. Originally intended for mountainous areas, it was later extended to cover France. This paper focuses on the validation of the extended version. The principle of the analysis is described and its quality was tested for five parameters (air temperature, humidity, wind speed, rainfall, and incoming radiation), using Météo-France’s observation network and data of some well-instrumented stations. Moreover, SAFRAN’s rainfall was compared with another analysis, known as analyse utilisant le relief pour l’hydrométéorologie (Aurelhy). Last, two different versions of SAFRAN were compared for mountain conditions. Temperature and relative humidity were well reproduced, presenting no bias. Wind speed was also well reproduced; however, its bias was −0.3 m s–1. The interpolation from the 6-h time step of the analysis to the 1-h time step was one of the sources of error. The precipitation analysis was robust and not biased; its root-mean-square error was 2.4 mm day−1. This error was mainly due to the spatial heterogeneity of the precipitation within the geographical zones of analysis (1000 km2). The analysis of incoming solar radiation presented some biases, especially in coastal areas. The results of the comparison with some well-instrumented sites were encouraging. SAFRAN is being run operationally at Météo-France on a real-time basis for various applications.","container-title":"Journal of Applied Meteorology and Climatology","DOI":"10.1175/2007JAMC1636.1","ISSN":"1558-8424, 1558-8432","issue":"1","language":"EN","page":"92-107","publisher":"American Meteorological Society","section":"Journal of Applied Meteorology and Climatology","source":"journals.ametsoc.org","title":"Analysis of Near-Surface Atmospheric Variables: Validation of the SAFRAN Analysis over France","title-short":"Analysis of Near-Surface Atmospheric Variables","volume":"47","author":[{"family":"Quintana-Seguí","given":"P."},{"family":"Moigne","given":"P. Le"},{"family":"Durand","given":"Y."},{"family":"Martin","given":"E."},{"family":"Habets","given":"F."},{"family":"Baillon","given":"M."},{"family":"Canellas","given":"C."},{"family":"Franchisteguy","given":"L."},{"family":"Morel","given":"S."}],"issued":{"date-parts":[["2008",1,1]]}}}],"schema":"https://github.com/citation-style-language/schema/raw/master/csl-citation.json"} </w:instrText>
      </w:r>
      <w:r w:rsidR="00622010">
        <w:fldChar w:fldCharType="separate"/>
      </w:r>
      <w:r w:rsidR="00622010" w:rsidRPr="00622010">
        <w:rPr>
          <w:rFonts w:ascii="Calibri" w:hAnsi="Calibri" w:cs="Calibri"/>
          <w:szCs w:val="24"/>
        </w:rPr>
        <w:t xml:space="preserve">(Quintana-Seguí </w:t>
      </w:r>
      <w:r w:rsidR="00622010" w:rsidRPr="00622010">
        <w:rPr>
          <w:rFonts w:ascii="Calibri" w:hAnsi="Calibri" w:cs="Calibri"/>
          <w:i/>
          <w:iCs/>
          <w:szCs w:val="24"/>
        </w:rPr>
        <w:t>et al.</w:t>
      </w:r>
      <w:r w:rsidR="00622010" w:rsidRPr="00622010">
        <w:rPr>
          <w:rFonts w:ascii="Calibri" w:hAnsi="Calibri" w:cs="Calibri"/>
          <w:szCs w:val="24"/>
        </w:rPr>
        <w:t>, 2008)</w:t>
      </w:r>
      <w:r w:rsidR="00622010">
        <w:fldChar w:fldCharType="end"/>
      </w:r>
      <w:r w:rsidR="00396EF9">
        <w:t>.</w:t>
      </w:r>
    </w:p>
    <w:p w14:paraId="1E35BFFC" w14:textId="6D6F6F70" w:rsidR="00573032" w:rsidRPr="00573032" w:rsidRDefault="00573032" w:rsidP="00F62683">
      <w:pPr>
        <w:spacing w:after="240" w:line="360" w:lineRule="auto"/>
        <w:jc w:val="both"/>
        <w:rPr>
          <w:rStyle w:val="ng-star-inserted"/>
        </w:rPr>
      </w:pPr>
      <w:r>
        <w:rPr>
          <w:rStyle w:val="ng-star-inserted"/>
        </w:rPr>
        <w:lastRenderedPageBreak/>
        <w:t xml:space="preserve">Enfin le choix de la donnée d'entrée doit ainsi être mis en adéquation avec les objectifs de la modélisation. Si l'étude vise à simuler des bilans hydriques sur le long terme (dynamique saisonnière, remplissage continu), l'utilisation des données spatialisées de type SAFRAN s'impose comme la méthode la plus fiable et rigoureuse </w:t>
      </w:r>
      <w:r w:rsidR="00622010">
        <w:fldChar w:fldCharType="begin"/>
      </w:r>
      <w:r w:rsidR="00622010">
        <w:instrText xml:space="preserve"> ADDIN ZOTERO_ITEM CSL_CITATION {"citationID":"AHgy8SrQ","properties":{"formattedCitation":"(Soubeyroux {\\i{}et al.}, 2008)","plainCitation":"(Soubeyroux et al., 2008)","noteIndex":0},"citationItems":[{"id":457,"uris":["http://zotero.org/users/16716349/items/S4LBTHAA"],"itemData":{"id":457,"type":"article-journal","abstract":"L'application Safran-Isba-Modcou, qui combine un système d'analyse de forçage atmosphérique, un schéma de surface et un module hydrogéologique, a fait l'objet de nombreux travaux de recherche au cours des quinze dernières années. Depuis 2003, ce modèle a été porté dans l'environnement opérationnel de Météo-France et s'est enrichi progressivement d'une climatologie étendue. Son utilisation opérationnelle couvre aujourd'hui les domaines du suivi de la ressource en eau, de la prévision des crues et de l'identification des sécheresses. Il se révèle également être un outil particulièrement adapté pour les études d'impact du changement climatique sur le cycle de l'eau. The Safran-Isba-Modcou model combines an analysis system of the atmospheric forcing, a land surface scheme, and a hydrogeological model. Advanced research has been done around this suite during the last fifteen years. Since 2003, it has been transferred to Météo-France real-time operational environment and has been progressively supplied with an extended climatology. Its operational use now covers water resources monitoring, flood forecasting, and drought assessment. It is also particularly useful for studying the impact of climate change on the water cycle.","container-title":"La Météorologie","DOI":"10.4267/2042/21890","journalAbbreviation":"La Météorologie","page":"40-45","source":"ResearchGate","title":"Safran-Isba-Modcou (SIM) : Un outil pour le suivi hydrométéorologique opérationnel et les études","title-short":"Safran-Isba-Modcou (SIM)","author":[{"family":"Soubeyroux","given":"Jean-Michel"},{"family":"Martin","given":"Eric"},{"family":"Franchisteguy","given":"Laurent"},{"family":"Habets","given":"Florence"},{"family":"Noilhan","given":"Joel"},{"family":"BAILLON","given":"Martine"},{"family":"Rousset","given":"Fabienne"},{"family":"Vidal","given":"Jean-Philippe"},{"family":"LEMOIGNE","given":"Patrick"},{"family":"Morel","given":"Sophie"}],"issued":{"date-parts":[["2008",11,1]]}}}],"schema":"https://github.com/citation-style-language/schema/raw/master/csl-citation.json"} </w:instrText>
      </w:r>
      <w:r w:rsidR="00622010">
        <w:fldChar w:fldCharType="separate"/>
      </w:r>
      <w:r w:rsidR="00622010" w:rsidRPr="00622010">
        <w:rPr>
          <w:rFonts w:ascii="Calibri" w:hAnsi="Calibri" w:cs="Calibri"/>
          <w:szCs w:val="24"/>
        </w:rPr>
        <w:t xml:space="preserve">(Soubeyroux </w:t>
      </w:r>
      <w:r w:rsidR="00622010" w:rsidRPr="00622010">
        <w:rPr>
          <w:rFonts w:ascii="Calibri" w:hAnsi="Calibri" w:cs="Calibri"/>
          <w:i/>
          <w:iCs/>
          <w:szCs w:val="24"/>
        </w:rPr>
        <w:t>et al.</w:t>
      </w:r>
      <w:r w:rsidR="00622010" w:rsidRPr="00622010">
        <w:rPr>
          <w:rFonts w:ascii="Calibri" w:hAnsi="Calibri" w:cs="Calibri"/>
          <w:szCs w:val="24"/>
        </w:rPr>
        <w:t>, 2008)</w:t>
      </w:r>
      <w:r w:rsidR="00622010">
        <w:fldChar w:fldCharType="end"/>
      </w:r>
      <w:r>
        <w:rPr>
          <w:rStyle w:val="ng-star-inserted"/>
        </w:rPr>
        <w:t>. En revanche, s'il s'agit de modéliser la réponse instantanée d'un cours d'eau ou d'un plan d'eau face à un événement orageux estival très localisé, les données SAFRAN risquent d'écraser le pic de pluie. L'intégration d'une station pluviométrique locale, sous réserve de sa proximité immédiate, peut alors s'avérer nécessaire, tout en gardant à l'esprit les incertitudes liées à son manque de représentativité spatiale</w:t>
      </w:r>
      <w:r w:rsidR="00622010">
        <w:rPr>
          <w:rStyle w:val="ng-star-inserted"/>
        </w:rPr>
        <w:t xml:space="preserve"> </w:t>
      </w:r>
      <w:r w:rsidR="00622010">
        <w:rPr>
          <w:rStyle w:val="ng-star-inserted"/>
        </w:rPr>
        <w:fldChar w:fldCharType="begin"/>
      </w:r>
      <w:r w:rsidR="00622010">
        <w:rPr>
          <w:rStyle w:val="ng-star-inserted"/>
        </w:rPr>
        <w:instrText xml:space="preserve"> ADDIN ZOTERO_ITEM CSL_CITATION {"citationID":"6YGzjIHS","properties":{"formattedCitation":"(Soubeyroux {\\i{}et al.}, 2008; Quintana-Segu\\uc0\\u237{} {\\i{}et al.}, 2008)","plainCitation":"(Soubeyroux et al., 2008; Quintana-Seguí et al., 2008)","noteIndex":0},"citationItems":[{"id":457,"uris":["http://zotero.org/users/16716349/items/S4LBTHAA"],"itemData":{"id":457,"type":"article-journal","abstract":"L'application Safran-Isba-Modcou, qui combine un système d'analyse de forçage atmosphérique, un schéma de surface et un module hydrogéologique, a fait l'objet de nombreux travaux de recherche au cours des quinze dernières années. Depuis 2003, ce modèle a été porté dans l'environnement opérationnel de Météo-France et s'est enrichi progressivement d'une climatologie étendue. Son utilisation opérationnelle couvre aujourd'hui les domaines du suivi de la ressource en eau, de la prévision des crues et de l'identification des sécheresses. Il se révèle également être un outil particulièrement adapté pour les études d'impact du changement climatique sur le cycle de l'eau. The Safran-Isba-Modcou model combines an analysis system of the atmospheric forcing, a land surface scheme, and a hydrogeological model. Advanced research has been done around this suite during the last fifteen years. Since 2003, it has been transferred to Météo-France real-time operational environment and has been progressively supplied with an extended climatology. Its operational use now covers water resources monitoring, flood forecasting, and drought assessment. It is also particularly useful for studying the impact of climate change on the water cycle.","container-title":"La Météorologie","DOI":"10.4267/2042/21890","journalAbbreviation":"La Météorologie","page":"40-45","source":"ResearchGate","title":"Safran-Isba-Modcou (SIM) : Un outil pour le suivi hydrométéorologique opérationnel et les études","title-short":"Safran-Isba-Modcou (SIM)","author":[{"family":"Soubeyroux","given":"Jean-Michel"},{"family":"Martin","given":"Eric"},{"family":"Franchisteguy","given":"Laurent"},{"family":"Habets","given":"Florence"},{"family":"Noilhan","given":"Joel"},{"family":"BAILLON","given":"Martine"},{"family":"Rousset","given":"Fabienne"},{"family":"Vidal","given":"Jean-Philippe"},{"family":"LEMOIGNE","given":"Patrick"},{"family":"Morel","given":"Sophie"}],"issued":{"date-parts":[["2008",11,1]]}}},{"id":462,"uris":["http://zotero.org/users/16716349/items/8IVVIT2N"],"itemData":{"id":462,"type":"article-journal","abstract":"Système d’analyse fournissant des renseignements atmosphériques à la neige (SAFRAN) is a mesoscale atmospheric analysis system for surface variables. It produces an analysis at the hourly time step using ground data observations. One of SAFRAN’s main features is that it is based on climatically homogeneous zones and is able to take vertical variations into account. Originally intended for mountainous areas, it was later extended to cover France. This paper focuses on the validation of the extended version. The principle of the analysis is described and its quality was tested for five parameters (air temperature, humidity, wind speed, rainfall, and incoming radiation), using Météo-France’s observation network and data of some well-instrumented stations. Moreover, SAFRAN’s rainfall was compared with another analysis, known as analyse utilisant le relief pour l’hydrométéorologie (Aurelhy). Last, two different versions of SAFRAN were compared for mountain conditions. Temperature and relative humidity were well reproduced, presenting no bias. Wind speed was also well reproduced; however, its bias was −0.3 m s–1. The interpolation from the 6-h time step of the analysis to the 1-h time step was one of the sources of error. The precipitation analysis was robust and not biased; its root-mean-square error was 2.4 mm day−1. This error was mainly due to the spatial heterogeneity of the precipitation within the geographical zones of analysis (1000 km2). The analysis of incoming solar radiation presented some biases, especially in coastal areas. The results of the comparison with some well-instrumented sites were encouraging. SAFRAN is being run operationally at Météo-France on a real-time basis for various applications.","container-title":"Journal of Applied Meteorology and Climatology","DOI":"10.1175/2007JAMC1636.1","ISSN":"1558-8424, 1558-8432","issue":"1","language":"EN","page":"92-107","publisher":"American Meteorological Society","section":"Journal of Applied Meteorology and Climatology","source":"journals.ametsoc.org","title":"Analysis of Near-Surface Atmospheric Variables: Validation of the SAFRAN Analysis over France","title-short":"Analysis of Near-Surface Atmospheric Variables","volume":"47","author":[{"family":"Quintana-Seguí","given":"P."},{"family":"Moigne","given":"P. Le"},{"family":"Durand","given":"Y."},{"family":"Martin","given":"E."},{"family":"Habets","given":"F."},{"family":"Baillon","given":"M."},{"family":"Canellas","given":"C."},{"family":"Franchisteguy","given":"L."},{"family":"Morel","given":"S."}],"issued":{"date-parts":[["2008",1,1]]}}}],"schema":"https://github.com/citation-style-language/schema/raw/master/csl-citation.json"} </w:instrText>
      </w:r>
      <w:r w:rsidR="00622010">
        <w:rPr>
          <w:rStyle w:val="ng-star-inserted"/>
        </w:rPr>
        <w:fldChar w:fldCharType="separate"/>
      </w:r>
      <w:r w:rsidR="00622010" w:rsidRPr="00622010">
        <w:rPr>
          <w:rFonts w:ascii="Calibri" w:hAnsi="Calibri" w:cs="Calibri"/>
          <w:szCs w:val="24"/>
        </w:rPr>
        <w:t xml:space="preserve">(Soubeyroux </w:t>
      </w:r>
      <w:r w:rsidR="00622010" w:rsidRPr="00622010">
        <w:rPr>
          <w:rFonts w:ascii="Calibri" w:hAnsi="Calibri" w:cs="Calibri"/>
          <w:i/>
          <w:iCs/>
          <w:szCs w:val="24"/>
        </w:rPr>
        <w:t>et al.</w:t>
      </w:r>
      <w:r w:rsidR="00622010" w:rsidRPr="00622010">
        <w:rPr>
          <w:rFonts w:ascii="Calibri" w:hAnsi="Calibri" w:cs="Calibri"/>
          <w:szCs w:val="24"/>
        </w:rPr>
        <w:t xml:space="preserve">, 2008; Quintana-Seguí </w:t>
      </w:r>
      <w:r w:rsidR="00622010" w:rsidRPr="00622010">
        <w:rPr>
          <w:rFonts w:ascii="Calibri" w:hAnsi="Calibri" w:cs="Calibri"/>
          <w:i/>
          <w:iCs/>
          <w:szCs w:val="24"/>
        </w:rPr>
        <w:t>et al.</w:t>
      </w:r>
      <w:r w:rsidR="00622010" w:rsidRPr="00622010">
        <w:rPr>
          <w:rFonts w:ascii="Calibri" w:hAnsi="Calibri" w:cs="Calibri"/>
          <w:szCs w:val="24"/>
        </w:rPr>
        <w:t>, 2008)</w:t>
      </w:r>
      <w:r w:rsidR="00622010">
        <w:rPr>
          <w:rStyle w:val="ng-star-inserted"/>
        </w:rPr>
        <w:fldChar w:fldCharType="end"/>
      </w:r>
      <w:r w:rsidR="004C6BB0">
        <w:rPr>
          <w:rStyle w:val="ng-star-inserted"/>
        </w:rPr>
        <w:t>.</w:t>
      </w:r>
    </w:p>
    <w:p w14:paraId="3F8C3D8E" w14:textId="57916270" w:rsidR="002B0EF3" w:rsidRDefault="002B0EF3" w:rsidP="00F62683">
      <w:pPr>
        <w:pStyle w:val="Titre3"/>
        <w:numPr>
          <w:ilvl w:val="2"/>
          <w:numId w:val="12"/>
        </w:numPr>
        <w:spacing w:after="240" w:line="360" w:lineRule="auto"/>
      </w:pPr>
      <w:bookmarkStart w:id="13" w:name="_Toc228373038"/>
      <w:r w:rsidRPr="002B0EF3">
        <w:t>L’évaporation et l'évapotranspiration des surfaces en eau</w:t>
      </w:r>
      <w:bookmarkEnd w:id="13"/>
    </w:p>
    <w:p w14:paraId="55F76DC5" w14:textId="55093BBD" w:rsidR="00483F64" w:rsidRDefault="00676BE1" w:rsidP="00F62683">
      <w:pPr>
        <w:spacing w:after="240" w:line="360" w:lineRule="auto"/>
        <w:jc w:val="both"/>
      </w:pPr>
      <w:r w:rsidRPr="00676BE1">
        <w:t>Si la précipitation constitue l'entrée principale du bilan hydrologique, l'évaporation et l'évapotranspiration en représentent la sortie la plus complexe à appréhender. L'estimation de la quantité d'eau qui retourne à l'atmosphère depuis un plan d'eau (tel qu'un étang) constitue d'ailleurs l'un des grands dilemmes de la modélisation hydrologique moderne. La littérature scientifique</w:t>
      </w:r>
      <w:r w:rsidR="002B0EF3">
        <w:t xml:space="preserve"> parle de </w:t>
      </w:r>
      <w:r w:rsidRPr="00676BE1">
        <w:t>plusieurs controverses et difficultés méthodologiques majeures quant à la façon de quantifier ce phénomène.</w:t>
      </w:r>
    </w:p>
    <w:p w14:paraId="2AFD8AC1" w14:textId="26419FA5" w:rsidR="002E5BC9" w:rsidRDefault="002E5BC9" w:rsidP="00F62683">
      <w:pPr>
        <w:spacing w:after="240" w:line="360" w:lineRule="auto"/>
        <w:jc w:val="both"/>
        <w:rPr>
          <w:rStyle w:val="ng-star-inserted"/>
        </w:rPr>
      </w:pPr>
      <w:r>
        <w:rPr>
          <w:rStyle w:val="ng-star-inserted"/>
        </w:rPr>
        <w:t>Le premier dilemme réside dans le manque de références spécifiques aux petits plans d'eau en climat tempéré. Historiquement, la littérature scientifique s'est principalement concentrée sur l'évaporation des océans, des grands lacs (comme le lac Victoria ou le lac Baïkal) ou des réservoirs situés en zones arides ou semi-arides. L'extrapolation de ces résultats à de petits étangs tempérés a conduit à des controverses majeures</w:t>
      </w:r>
      <w:r w:rsidR="000C2859">
        <w:rPr>
          <w:rStyle w:val="ng-star-inserted"/>
        </w:rPr>
        <w:t xml:space="preserve">. </w:t>
      </w:r>
      <w:r>
        <w:rPr>
          <w:rStyle w:val="ng-star-inserted"/>
        </w:rPr>
        <w:t>En l'absence de données validées</w:t>
      </w:r>
      <w:r w:rsidR="008D3701">
        <w:rPr>
          <w:rStyle w:val="ng-star-inserted"/>
        </w:rPr>
        <w:t xml:space="preserve"> in situ</w:t>
      </w:r>
      <w:r>
        <w:rPr>
          <w:rStyle w:val="ng-star-inserted"/>
        </w:rPr>
        <w:t>, certaines études ont parfois avancé des chiffres de pertes en eau très alarmistes (estimant par exemple des « sur-évaporations » colossales par rapport à un sol nu</w:t>
      </w:r>
      <w:r w:rsidR="008D3701">
        <w:rPr>
          <w:rStyle w:val="ng-star-inserted"/>
        </w:rPr>
        <w:t>, ou une prairie</w:t>
      </w:r>
      <w:r>
        <w:rPr>
          <w:rStyle w:val="ng-star-inserted"/>
        </w:rPr>
        <w:t>), souvent sans méthodologie rigoureuse</w:t>
      </w:r>
      <w:r w:rsidR="000C2859">
        <w:rPr>
          <w:rStyle w:val="ng-star-inserted"/>
        </w:rPr>
        <w:t xml:space="preserve"> </w:t>
      </w:r>
      <w:r w:rsidR="00622010">
        <w:rPr>
          <w:rStyle w:val="ng-star-inserted"/>
        </w:rPr>
        <w:fldChar w:fldCharType="begin"/>
      </w:r>
      <w:r w:rsidR="00622010">
        <w:rPr>
          <w:rStyle w:val="ng-star-inserted"/>
        </w:rPr>
        <w:instrText xml:space="preserve"> ADDIN ZOTERO_ITEM CSL_CITATION {"citationID":"kvghkQrG","properties":{"formattedCitation":"(Al Domany {\\i{}et al.}, 2013; 2015; Al Domany, 2017)","plainCitation":"(Al Domany et al., 2013; 2015; Al Domany, 2017)","noteIndex":0},"citationItems":[{"id":464,"uris":["http://zotero.org/users/16716349/items/8A87WNDI"],"itemData":{"id":464,"type":"article-journal","abstract":"This research shows the results of a study  about evaporation in five ponds in the Midwest of France. To realize this study we used climate data  from the meteorological station of the Limoges-Bellegarde airport and the data of a weather station installed by us near one of the ponds.  We  used  eight  different  methods  to  calculate  the  evaporation  rate  and  we modified the  Penman-Monteith  method  by  replacing  the  air  temperature  by  water  temperature.  To understand the role of ponds in water loss through evaporation, we proposed a hypothesis that says: if the pond did not exist, what results would we get? Based on this hypothesis we calculated  the  potential  evapotranspiration  rate  taking  into  account  the  percentage  of interception  by  vegetation.  In  conclusion,  this  study  indicates that  the  ponds  in  the  French Midwest  present a gain of water.","container-title":"Lakes, Reservoirs and Ponds, Romanian Journal of Limnology","issue":"2","page":"75-88","publisher":"Romanian Limnogeographical Association","source":"HAL","title":"The evaporation from ponds in the French Midwest","volume":"7","author":[{"family":"Al Domany","given":"Mohammad"},{"family":"Touchart","given":"Laurent"},{"family":"Bartout","given":"Pascal"},{"family":"Nedjaï","given":"Rachid"}],"issued":{"date-parts":[["2013"]]}}},{"id":373,"uris":["http://zotero.org/users/16716349/items/6B7ZG2YK"],"itemData":{"id":373,"type":"paper-conference","source":"ResearchGate","title":"L'évaporation et le bilan hydrologique des étangs pélliculaires. L'exemple de l'étang Cistude en Brenne","author":[{"family":"Al Domany","given":"Mohammad"},{"family":"TOUCHART","given":"Laurent"},{"family":"BARTOUT","given":"Pascal"}],"issued":{"date-parts":[["2015",3,27]]}}},{"id":466,"uris":["http://zotero.org/users/16716349/items/2U6S28RQ"],"itemData":{"id":466,"type":"thesis","abstract":"The erasure of water bodies (large or small) of the hydrographic continuum is the new French dogma related to the interpretation of the European Water Framework Directive (WFD-2000) in the Water and Environment Act (LEMA-2006). In fact, this strategy is based on ideas that are not based on any exact measure of the influence of the supposedly harmful water bodies on the amount of water flowing into the downstream hydrographic networks. In view of this remarkable paradox between applied regulation and the absence of direct measurements of the evaporation of metropolitan France's ponds, there appears to be a dual need in both basic geography and applied research for a detailed study on evaporation and the water balance of ponds.Methodologically, this study shows that the evaporation floating pan constructed of transparent plastic is the most suitable tool for measuring the evaporation of ponds. Conceptually, intensive field work has led to the development of a new empirical formula ''Aldomany'' that can provide reliable estimates of the evaporation of shallow water bodies at on an annual, monthly and daily basis using only readily available meteorological data. From a management perspective, this study shows that the loss of water caused by apond is similar to that of an oak has the same area and that the statements against the ponds should bere considered, the ponds of La Brenne being partly responsible for the summer low water of the Claise,while the Limousin's ponds play a rather positive role in ensuring a good summer flow of the hydrographic network of this region.","genre":"Theses","note":"issue: 2017ORLE1155","publisher":"Université d'Orléans","source":"HAL","title":"L'évaporation dans le bilan hydrologique des étangs du Centre-Ouest de la France (Brenne et Limousin)","URL":"https://theses.hal.science/tel-01661489","author":[{"family":"Al Domany","given":"Mohammad"}],"accessed":{"date-parts":[["2026",4,13]]},"issued":{"date-parts":[["2017",9]]}}}],"schema":"https://github.com/citation-style-language/schema/raw/master/csl-citation.json"} </w:instrText>
      </w:r>
      <w:r w:rsidR="00622010">
        <w:rPr>
          <w:rStyle w:val="ng-star-inserted"/>
        </w:rPr>
        <w:fldChar w:fldCharType="separate"/>
      </w:r>
      <w:r w:rsidR="00622010" w:rsidRPr="00622010">
        <w:rPr>
          <w:rFonts w:ascii="Calibri" w:hAnsi="Calibri" w:cs="Calibri"/>
          <w:szCs w:val="24"/>
        </w:rPr>
        <w:t xml:space="preserve">(Al Domany </w:t>
      </w:r>
      <w:r w:rsidR="00622010" w:rsidRPr="00622010">
        <w:rPr>
          <w:rFonts w:ascii="Calibri" w:hAnsi="Calibri" w:cs="Calibri"/>
          <w:i/>
          <w:iCs/>
          <w:szCs w:val="24"/>
        </w:rPr>
        <w:t>et al.</w:t>
      </w:r>
      <w:r w:rsidR="00622010" w:rsidRPr="00622010">
        <w:rPr>
          <w:rFonts w:ascii="Calibri" w:hAnsi="Calibri" w:cs="Calibri"/>
          <w:szCs w:val="24"/>
        </w:rPr>
        <w:t>, 2013; 2015; Al Domany, 2017)</w:t>
      </w:r>
      <w:r w:rsidR="00622010">
        <w:rPr>
          <w:rStyle w:val="ng-star-inserted"/>
        </w:rPr>
        <w:fldChar w:fldCharType="end"/>
      </w:r>
      <w:r w:rsidR="00622010">
        <w:rPr>
          <w:rStyle w:val="ng-star-inserted"/>
        </w:rPr>
        <w:t>.</w:t>
      </w:r>
    </w:p>
    <w:p w14:paraId="26D2DB29" w14:textId="1155A168" w:rsidR="000C2859" w:rsidRDefault="000C2859" w:rsidP="00F62683">
      <w:pPr>
        <w:spacing w:after="240" w:line="360" w:lineRule="auto"/>
        <w:jc w:val="both"/>
      </w:pPr>
      <w:r>
        <w:t>Pour obtenir une donnée de référence, la mesure directe sur le terrain se heurte à des obstacles techniques et financiers :</w:t>
      </w:r>
    </w:p>
    <w:p w14:paraId="022E8E30" w14:textId="6CABEB6A" w:rsidR="000C2859" w:rsidRDefault="000C2859" w:rsidP="00F62683">
      <w:pPr>
        <w:pStyle w:val="Paragraphedeliste"/>
        <w:numPr>
          <w:ilvl w:val="0"/>
          <w:numId w:val="8"/>
        </w:numPr>
        <w:spacing w:after="240" w:line="360" w:lineRule="auto"/>
        <w:jc w:val="both"/>
      </w:pPr>
      <w:r w:rsidRPr="000C2859">
        <w:rPr>
          <w:rStyle w:val="Titre4Car"/>
        </w:rPr>
        <w:t>Les systèmes de pointe (Eddy covariance, isotopes) :</w:t>
      </w:r>
      <w:r>
        <w:t xml:space="preserve"> Des méthodes comme l'Eddy covariance mesurent précisément les flux turbulents, mais nécessitent un appareillage très coûteux et complexe, inadapté à la plupart des suivis de longue durée sur de petits bassins </w:t>
      </w:r>
      <w:r w:rsidR="00622010">
        <w:fldChar w:fldCharType="begin"/>
      </w:r>
      <w:r w:rsidR="00622010">
        <w:instrText xml:space="preserve"> ADDIN ZOTERO_ITEM CSL_CITATION {"citationID":"hecjY45e","properties":{"formattedCitation":"(Al Domany, 2017)","plainCitation":"(Al Domany, 2017)","noteIndex":0},"citationItems":[{"id":466,"uris":["http://zotero.org/users/16716349/items/2U6S28RQ"],"itemData":{"id":466,"type":"thesis","abstract":"The erasure of water bodies (large or small) of the hydrographic continuum is the new French dogma related to the interpretation of the European Water Framework Directive (WFD-2000) in the Water and Environment Act (LEMA-2006). In fact, this strategy is based on ideas that are not based on any exact measure of the influence of the supposedly harmful water bodies on the amount of water flowing into the downstream hydrographic networks. In view of this remarkable paradox between applied regulation and the absence of direct measurements of the evaporation of metropolitan France's ponds, there appears to be a dual need in both basic geography and applied research for a detailed study on evaporation and the water balance of ponds.Methodologically, this study shows that the evaporation floating pan constructed of transparent plastic is the most suitable tool for measuring the evaporation of ponds. Conceptually, intensive field work has led to the development of a new empirical formula ''Aldomany'' that can provide reliable estimates of the evaporation of shallow water bodies at on an annual, monthly and daily basis using only readily available meteorological data. From a management perspective, this study shows that the loss of water caused by apond is similar to that of an oak has the same area and that the statements against the ponds should bere considered, the ponds of La Brenne being partly responsible for the summer low water of the Claise,while the Limousin's ponds play a rather positive role in ensuring a good summer flow of the hydrographic network of this region.","genre":"Theses","note":"issue: 2017ORLE1155","publisher":"Université d'Orléans","source":"HAL","title":"L'évaporation dans le bilan hydrologique des étangs du Centre-Ouest de la France (Brenne et Limousin)","URL":"https://theses.hal.science/tel-01661489","author":[{"family":"Al Domany","given":"Mohammad"}],"accessed":{"date-parts":[["2026",4,13]]},"issued":{"date-parts":[["2017",9]]}}}],"schema":"https://github.com/citation-style-language/schema/raw/master/csl-citation.json"} </w:instrText>
      </w:r>
      <w:r w:rsidR="00622010">
        <w:fldChar w:fldCharType="separate"/>
      </w:r>
      <w:r w:rsidR="00622010" w:rsidRPr="00622010">
        <w:rPr>
          <w:rFonts w:ascii="Calibri" w:hAnsi="Calibri" w:cs="Calibri"/>
        </w:rPr>
        <w:t>(Al Domany, 2017)</w:t>
      </w:r>
      <w:r w:rsidR="00622010">
        <w:fldChar w:fldCharType="end"/>
      </w:r>
      <w:r>
        <w:t>.</w:t>
      </w:r>
    </w:p>
    <w:p w14:paraId="4F117631" w14:textId="5FB0F3F8" w:rsidR="000C2859" w:rsidRDefault="000C2859" w:rsidP="00F62683">
      <w:pPr>
        <w:pStyle w:val="Paragraphedeliste"/>
        <w:numPr>
          <w:ilvl w:val="0"/>
          <w:numId w:val="8"/>
        </w:numPr>
        <w:spacing w:after="240" w:line="360" w:lineRule="auto"/>
        <w:jc w:val="both"/>
      </w:pPr>
      <w:r w:rsidRPr="000C2859">
        <w:rPr>
          <w:rStyle w:val="Titre4Car"/>
        </w:rPr>
        <w:lastRenderedPageBreak/>
        <w:t>Les bacs évaporatoires :</w:t>
      </w:r>
      <w:r>
        <w:t xml:space="preserve"> L'outil standard recommandé par l'Organisation Météorologique Mondiale est le bac de classe A. Toutefois, ce bac métallique hors-sol réchauffe l'eau qu'il contient, ce qui fausse les résultats et oblige les modélisateurs à appliquer des coefficients de correction souvent incertains et variables selon les climats. L'alternative du bac flottant, thermiquement plus proche de l'étang, pose quant à elle des problèmes de stabilité face aux vagues et au vent </w:t>
      </w:r>
      <w:r w:rsidR="00622010">
        <w:fldChar w:fldCharType="begin"/>
      </w:r>
      <w:r w:rsidR="00622010">
        <w:instrText xml:space="preserve"> ADDIN ZOTERO_ITEM CSL_CITATION {"citationID":"cgTBN76G","properties":{"formattedCitation":"(Al Domany {\\i{}et al.}, 2015; Al Domany, 2017)","plainCitation":"(Al Domany et al., 2015; Al Domany, 2017)","noteIndex":0},"citationItems":[{"id":373,"uris":["http://zotero.org/users/16716349/items/6B7ZG2YK"],"itemData":{"id":373,"type":"paper-conference","source":"ResearchGate","title":"L'évaporation et le bilan hydrologique des étangs pélliculaires. L'exemple de l'étang Cistude en Brenne","author":[{"family":"Al Domany","given":"Mohammad"},{"family":"TOUCHART","given":"Laurent"},{"family":"BARTOUT","given":"Pascal"}],"issued":{"date-parts":[["2015",3,27]]}}},{"id":466,"uris":["http://zotero.org/users/16716349/items/2U6S28RQ"],"itemData":{"id":466,"type":"thesis","abstract":"The erasure of water bodies (large or small) of the hydrographic continuum is the new French dogma related to the interpretation of the European Water Framework Directive (WFD-2000) in the Water and Environment Act (LEMA-2006). In fact, this strategy is based on ideas that are not based on any exact measure of the influence of the supposedly harmful water bodies on the amount of water flowing into the downstream hydrographic networks. In view of this remarkable paradox between applied regulation and the absence of direct measurements of the evaporation of metropolitan France's ponds, there appears to be a dual need in both basic geography and applied research for a detailed study on evaporation and the water balance of ponds.Methodologically, this study shows that the evaporation floating pan constructed of transparent plastic is the most suitable tool for measuring the evaporation of ponds. Conceptually, intensive field work has led to the development of a new empirical formula ''Aldomany'' that can provide reliable estimates of the evaporation of shallow water bodies at on an annual, monthly and daily basis using only readily available meteorological data. From a management perspective, this study shows that the loss of water caused by apond is similar to that of an oak has the same area and that the statements against the ponds should bere considered, the ponds of La Brenne being partly responsible for the summer low water of the Claise,while the Limousin's ponds play a rather positive role in ensuring a good summer flow of the hydrographic network of this region.","genre":"Theses","note":"issue: 2017ORLE1155","publisher":"Université d'Orléans","source":"HAL","title":"L'évaporation dans le bilan hydrologique des étangs du Centre-Ouest de la France (Brenne et Limousin)","URL":"https://theses.hal.science/tel-01661489","author":[{"family":"Al Domany","given":"Mohammad"}],"accessed":{"date-parts":[["2026",4,13]]},"issued":{"date-parts":[["2017",9]]}}}],"schema":"https://github.com/citation-style-language/schema/raw/master/csl-citation.json"} </w:instrText>
      </w:r>
      <w:r w:rsidR="00622010">
        <w:fldChar w:fldCharType="separate"/>
      </w:r>
      <w:r w:rsidR="00622010" w:rsidRPr="00622010">
        <w:rPr>
          <w:rFonts w:ascii="Calibri" w:hAnsi="Calibri" w:cs="Calibri"/>
          <w:szCs w:val="24"/>
        </w:rPr>
        <w:t xml:space="preserve">(Al Domany </w:t>
      </w:r>
      <w:r w:rsidR="00622010" w:rsidRPr="00622010">
        <w:rPr>
          <w:rFonts w:ascii="Calibri" w:hAnsi="Calibri" w:cs="Calibri"/>
          <w:i/>
          <w:iCs/>
          <w:szCs w:val="24"/>
        </w:rPr>
        <w:t>et al.</w:t>
      </w:r>
      <w:r w:rsidR="00622010" w:rsidRPr="00622010">
        <w:rPr>
          <w:rFonts w:ascii="Calibri" w:hAnsi="Calibri" w:cs="Calibri"/>
          <w:szCs w:val="24"/>
        </w:rPr>
        <w:t>, 2015; Al Domany, 2017)</w:t>
      </w:r>
      <w:r w:rsidR="00622010">
        <w:fldChar w:fldCharType="end"/>
      </w:r>
      <w:r w:rsidR="00622010">
        <w:t>.</w:t>
      </w:r>
    </w:p>
    <w:p w14:paraId="758ED87D" w14:textId="61F340F2" w:rsidR="000C2859" w:rsidRDefault="000C2859" w:rsidP="00F62683">
      <w:pPr>
        <w:spacing w:after="240" w:line="360" w:lineRule="auto"/>
        <w:jc w:val="both"/>
      </w:pPr>
      <w:r>
        <w:t xml:space="preserve">Face aux difficultés de la mesure directe, la modélisation mathématique (utilisant des données météorologiques) est souvent privilégiée. Il existe une multitude de formules (bilan énergétique, transfert de masse, méthodes combinées de type </w:t>
      </w:r>
      <w:proofErr w:type="spellStart"/>
      <w:r>
        <w:t>Penman</w:t>
      </w:r>
      <w:proofErr w:type="spellEnd"/>
      <w:r>
        <w:t xml:space="preserve"> ou Priestley-Taylor) </w:t>
      </w:r>
      <w:r w:rsidR="004C506F">
        <w:fldChar w:fldCharType="begin"/>
      </w:r>
      <w:r w:rsidR="004C506F">
        <w:instrText xml:space="preserve"> ADDIN ZOTERO_ITEM CSL_CITATION {"citationID":"dwA3AdJa","properties":{"formattedCitation":"(Al Domany, 2017)","plainCitation":"(Al Domany, 2017)","noteIndex":0},"citationItems":[{"id":466,"uris":["http://zotero.org/users/16716349/items/2U6S28RQ"],"itemData":{"id":466,"type":"thesis","abstract":"The erasure of water bodies (large or small) of the hydrographic continuum is the new French dogma related to the interpretation of the European Water Framework Directive (WFD-2000) in the Water and Environment Act (LEMA-2006). In fact, this strategy is based on ideas that are not based on any exact measure of the influence of the supposedly harmful water bodies on the amount of water flowing into the downstream hydrographic networks. In view of this remarkable paradox between applied regulation and the absence of direct measurements of the evaporation of metropolitan France's ponds, there appears to be a dual need in both basic geography and applied research for a detailed study on evaporation and the water balance of ponds.Methodologically, this study shows that the evaporation floating pan constructed of transparent plastic is the most suitable tool for measuring the evaporation of ponds. Conceptually, intensive field work has led to the development of a new empirical formula ''Aldomany'' that can provide reliable estimates of the evaporation of shallow water bodies at on an annual, monthly and daily basis using only readily available meteorological data. From a management perspective, this study shows that the loss of water caused by apond is similar to that of an oak has the same area and that the statements against the ponds should bere considered, the ponds of La Brenne being partly responsible for the summer low water of the Claise,while the Limousin's ponds play a rather positive role in ensuring a good summer flow of the hydrographic network of this region.","genre":"Theses","note":"issue: 2017ORLE1155","publisher":"Université d'Orléans","source":"HAL","title":"L'évaporation dans le bilan hydrologique des étangs du Centre-Ouest de la France (Brenne et Limousin)","URL":"https://theses.hal.science/tel-01661489","author":[{"family":"Al Domany","given":"Mohammad"}],"accessed":{"date-parts":[["2026",4,13]]},"issued":{"date-parts":[["2017",9]]}}}],"schema":"https://github.com/citation-style-language/schema/raw/master/csl-citation.json"} </w:instrText>
      </w:r>
      <w:r w:rsidR="004C506F">
        <w:fldChar w:fldCharType="separate"/>
      </w:r>
      <w:r w:rsidR="004C506F" w:rsidRPr="004C506F">
        <w:rPr>
          <w:rFonts w:ascii="Calibri" w:hAnsi="Calibri" w:cs="Calibri"/>
        </w:rPr>
        <w:t>(Al Domany, 2017)</w:t>
      </w:r>
      <w:r w:rsidR="004C506F">
        <w:fldChar w:fldCharType="end"/>
      </w:r>
      <w:r w:rsidR="004C506F">
        <w:t>.</w:t>
      </w:r>
      <w:r>
        <w:t xml:space="preserve">C'est ici qu'émerge une controverse scientifique fondamentale : le choix de la variable thermique. La majorité des formules classiques calculant l'évapotranspiration potentielle (ETP) utilisent la température de l'air. Or, l'eau possède une forte inertie thermique. L'évaporation d'un plan d'eau libre est physiquement régie par la température de la surface de l'eau et non celle de l'air </w:t>
      </w:r>
      <w:r w:rsidR="004C506F">
        <w:fldChar w:fldCharType="begin"/>
      </w:r>
      <w:r w:rsidR="004C506F">
        <w:instrText xml:space="preserve"> ADDIN ZOTERO_ITEM CSL_CITATION {"citationID":"6yswSGno","properties":{"formattedCitation":"(Al Domany {\\i{}et al.}, 2013; 2015)","plainCitation":"(Al Domany et al., 2013; 2015)","noteIndex":0},"citationItems":[{"id":464,"uris":["http://zotero.org/users/16716349/items/8A87WNDI"],"itemData":{"id":464,"type":"article-journal","abstract":"This research shows the results of a study  about evaporation in five ponds in the Midwest of France. To realize this study we used climate data  from the meteorological station of the Limoges-Bellegarde airport and the data of a weather station installed by us near one of the ponds.  We  used  eight  different  methods  to  calculate  the  evaporation  rate  and  we modified the  Penman-Monteith  method  by  replacing  the  air  temperature  by  water  temperature.  To understand the role of ponds in water loss through evaporation, we proposed a hypothesis that says: if the pond did not exist, what results would we get? Based on this hypothesis we calculated  the  potential  evapotranspiration  rate  taking  into  account  the  percentage  of interception  by  vegetation.  In  conclusion,  this  study  indicates that  the  ponds  in  the  French Midwest  present a gain of water.","container-title":"Lakes, Reservoirs and Ponds, Romanian Journal of Limnology","issue":"2","page":"75-88","publisher":"Romanian Limnogeographical Association","source":"HAL","title":"The evaporation from ponds in the French Midwest","volume":"7","author":[{"family":"Al Domany","given":"Mohammad"},{"family":"Touchart","given":"Laurent"},{"family":"Bartout","given":"Pascal"},{"family":"Nedjaï","given":"Rachid"}],"issued":{"date-parts":[["2013"]]}}},{"id":373,"uris":["http://zotero.org/users/16716349/items/6B7ZG2YK"],"itemData":{"id":373,"type":"paper-conference","source":"ResearchGate","title":"L'évaporation et le bilan hydrologique des étangs pélliculaires. L'exemple de l'étang Cistude en Brenne","author":[{"family":"Al Domany","given":"Mohammad"},{"family":"TOUCHART","given":"Laurent"},{"family":"BARTOUT","given":"Pascal"}],"issued":{"date-parts":[["2015",3,27]]}}}],"schema":"https://github.com/citation-style-language/schema/raw/master/csl-citation.json"} </w:instrText>
      </w:r>
      <w:r w:rsidR="004C506F">
        <w:fldChar w:fldCharType="separate"/>
      </w:r>
      <w:r w:rsidR="004C506F" w:rsidRPr="004C506F">
        <w:rPr>
          <w:rFonts w:ascii="Calibri" w:hAnsi="Calibri" w:cs="Calibri"/>
          <w:szCs w:val="24"/>
        </w:rPr>
        <w:t xml:space="preserve">(Al Domany </w:t>
      </w:r>
      <w:r w:rsidR="004C506F" w:rsidRPr="004C506F">
        <w:rPr>
          <w:rFonts w:ascii="Calibri" w:hAnsi="Calibri" w:cs="Calibri"/>
          <w:i/>
          <w:iCs/>
          <w:szCs w:val="24"/>
        </w:rPr>
        <w:t>et al.</w:t>
      </w:r>
      <w:r w:rsidR="004C506F" w:rsidRPr="004C506F">
        <w:rPr>
          <w:rFonts w:ascii="Calibri" w:hAnsi="Calibri" w:cs="Calibri"/>
          <w:szCs w:val="24"/>
        </w:rPr>
        <w:t>, 2013; 2015)</w:t>
      </w:r>
      <w:r w:rsidR="004C506F">
        <w:fldChar w:fldCharType="end"/>
      </w:r>
      <w:r>
        <w:t xml:space="preserve">. Les études montrent que les modèles mathématiques qui omettent la température de l'eau peinent à restituer fidèlement l'évaporation réelle, notamment lors des décalages thermiques saisonniers ou journaliers (par exemple, l'évaporation nocturne qui perdure grâce à la chaleur stockée dans l'eau) </w:t>
      </w:r>
      <w:r w:rsidR="004C506F">
        <w:fldChar w:fldCharType="begin"/>
      </w:r>
      <w:r w:rsidR="004C506F">
        <w:instrText xml:space="preserve"> ADDIN ZOTERO_ITEM CSL_CITATION {"citationID":"F8wrNPZu","properties":{"formattedCitation":"(Al Domany {\\i{}et al.}, 2015; Al Domany, 2017)","plainCitation":"(Al Domany et al., 2015; Al Domany, 2017)","noteIndex":0},"citationItems":[{"id":373,"uris":["http://zotero.org/users/16716349/items/6B7ZG2YK"],"itemData":{"id":373,"type":"paper-conference","source":"ResearchGate","title":"L'évaporation et le bilan hydrologique des étangs pélliculaires. L'exemple de l'étang Cistude en Brenne","author":[{"family":"Al Domany","given":"Mohammad"},{"family":"TOUCHART","given":"Laurent"},{"family":"BARTOUT","given":"Pascal"}],"issued":{"date-parts":[["2015",3,27]]}}},{"id":466,"uris":["http://zotero.org/users/16716349/items/2U6S28RQ"],"itemData":{"id":466,"type":"thesis","abstract":"The erasure of water bodies (large or small) of the hydrographic continuum is the new French dogma related to the interpretation of the European Water Framework Directive (WFD-2000) in the Water and Environment Act (LEMA-2006). In fact, this strategy is based on ideas that are not based on any exact measure of the influence of the supposedly harmful water bodies on the amount of water flowing into the downstream hydrographic networks. In view of this remarkable paradox between applied regulation and the absence of direct measurements of the evaporation of metropolitan France's ponds, there appears to be a dual need in both basic geography and applied research for a detailed study on evaporation and the water balance of ponds.Methodologically, this study shows that the evaporation floating pan constructed of transparent plastic is the most suitable tool for measuring the evaporation of ponds. Conceptually, intensive field work has led to the development of a new empirical formula ''Aldomany'' that can provide reliable estimates of the evaporation of shallow water bodies at on an annual, monthly and daily basis using only readily available meteorological data. From a management perspective, this study shows that the loss of water caused by apond is similar to that of an oak has the same area and that the statements against the ponds should bere considered, the ponds of La Brenne being partly responsible for the summer low water of the Claise,while the Limousin's ponds play a rather positive role in ensuring a good summer flow of the hydrographic network of this region.","genre":"Theses","note":"issue: 2017ORLE1155","publisher":"Université d'Orléans","source":"HAL","title":"L'évaporation dans le bilan hydrologique des étangs du Centre-Ouest de la France (Brenne et Limousin)","URL":"https://theses.hal.science/tel-01661489","author":[{"family":"Al Domany","given":"Mohammad"}],"accessed":{"date-parts":[["2026",4,13]]},"issued":{"date-parts":[["2017",9]]}}}],"schema":"https://github.com/citation-style-language/schema/raw/master/csl-citation.json"} </w:instrText>
      </w:r>
      <w:r w:rsidR="004C506F">
        <w:fldChar w:fldCharType="separate"/>
      </w:r>
      <w:r w:rsidR="004C506F" w:rsidRPr="004C506F">
        <w:rPr>
          <w:rFonts w:ascii="Calibri" w:hAnsi="Calibri" w:cs="Calibri"/>
          <w:szCs w:val="24"/>
        </w:rPr>
        <w:t xml:space="preserve">(Al Domany </w:t>
      </w:r>
      <w:r w:rsidR="004C506F" w:rsidRPr="004C506F">
        <w:rPr>
          <w:rFonts w:ascii="Calibri" w:hAnsi="Calibri" w:cs="Calibri"/>
          <w:i/>
          <w:iCs/>
          <w:szCs w:val="24"/>
        </w:rPr>
        <w:t>et al.</w:t>
      </w:r>
      <w:r w:rsidR="004C506F" w:rsidRPr="004C506F">
        <w:rPr>
          <w:rFonts w:ascii="Calibri" w:hAnsi="Calibri" w:cs="Calibri"/>
          <w:szCs w:val="24"/>
        </w:rPr>
        <w:t>, 2015; Al Domany, 2017)</w:t>
      </w:r>
      <w:r w:rsidR="004C506F">
        <w:fldChar w:fldCharType="end"/>
      </w:r>
      <w:r>
        <w:t>.</w:t>
      </w:r>
    </w:p>
    <w:p w14:paraId="04142DC6" w14:textId="40127B98" w:rsidR="000C2859" w:rsidRDefault="000C2859" w:rsidP="00F62683">
      <w:pPr>
        <w:spacing w:after="240" w:line="360" w:lineRule="auto"/>
        <w:jc w:val="both"/>
      </w:pPr>
      <w:r>
        <w:t>Enfin, la modélisation d'un étang impose de distinguer l'évaporation stricte de la surface en eau libre, de l'évapotranspiration réelle (ETR) générée par la végétation aquatique (hélophytes, roseaux, etc.). La littérature souligne que la présence de plantes aquatiques modifie drastiquement le bilan : en période de croissance, la transpiration de ces végétaux peut représenter une perte en eau significativement supérieure (parfois 1,5 à plus de 2,5 fois plus) à la simple évaporation d'une surface d'eau libre de même superficie, en raison d'une surface d'échange foliaire bien plus vaste que le simple miroir d'eau</w:t>
      </w:r>
      <w:r w:rsidR="003726B7">
        <w:t xml:space="preserve"> </w:t>
      </w:r>
      <w:r w:rsidR="004C506F">
        <w:fldChar w:fldCharType="begin"/>
      </w:r>
      <w:r w:rsidR="004C506F">
        <w:instrText xml:space="preserve"> ADDIN ZOTERO_ITEM CSL_CITATION {"citationID":"jKOQQHJJ","properties":{"formattedCitation":"(Al Domany {\\i{}et al.}, 2015; Al Domany, 2017)","plainCitation":"(Al Domany et al., 2015; Al Domany, 2017)","noteIndex":0},"citationItems":[{"id":373,"uris":["http://zotero.org/users/16716349/items/6B7ZG2YK"],"itemData":{"id":373,"type":"paper-conference","source":"ResearchGate","title":"L'évaporation et le bilan hydrologique des étangs pélliculaires. L'exemple de l'étang Cistude en Brenne","author":[{"family":"Al Domany","given":"Mohammad"},{"family":"TOUCHART","given":"Laurent"},{"family":"BARTOUT","given":"Pascal"}],"issued":{"date-parts":[["2015",3,27]]}}},{"id":466,"uris":["http://zotero.org/users/16716349/items/2U6S28RQ"],"itemData":{"id":466,"type":"thesis","abstract":"The erasure of water bodies (large or small) of the hydrographic continuum is the new French dogma related to the interpretation of the European Water Framework Directive (WFD-2000) in the Water and Environment Act (LEMA-2006). In fact, this strategy is based on ideas that are not based on any exact measure of the influence of the supposedly harmful water bodies on the amount of water flowing into the downstream hydrographic networks. In view of this remarkable paradox between applied regulation and the absence of direct measurements of the evaporation of metropolitan France's ponds, there appears to be a dual need in both basic geography and applied research for a detailed study on evaporation and the water balance of ponds.Methodologically, this study shows that the evaporation floating pan constructed of transparent plastic is the most suitable tool for measuring the evaporation of ponds. Conceptually, intensive field work has led to the development of a new empirical formula ''Aldomany'' that can provide reliable estimates of the evaporation of shallow water bodies at on an annual, monthly and daily basis using only readily available meteorological data. From a management perspective, this study shows that the loss of water caused by apond is similar to that of an oak has the same area and that the statements against the ponds should bere considered, the ponds of La Brenne being partly responsible for the summer low water of the Claise,while the Limousin's ponds play a rather positive role in ensuring a good summer flow of the hydrographic network of this region.","genre":"Theses","note":"issue: 2017ORLE1155","publisher":"Université d'Orléans","source":"HAL","title":"L'évaporation dans le bilan hydrologique des étangs du Centre-Ouest de la France (Brenne et Limousin)","URL":"https://theses.hal.science/tel-01661489","author":[{"family":"Al Domany","given":"Mohammad"}],"accessed":{"date-parts":[["2026",4,13]]},"issued":{"date-parts":[["2017",9]]}}}],"schema":"https://github.com/citation-style-language/schema/raw/master/csl-citation.json"} </w:instrText>
      </w:r>
      <w:r w:rsidR="004C506F">
        <w:fldChar w:fldCharType="separate"/>
      </w:r>
      <w:r w:rsidR="004C506F" w:rsidRPr="004C506F">
        <w:rPr>
          <w:rFonts w:ascii="Calibri" w:hAnsi="Calibri" w:cs="Calibri"/>
          <w:szCs w:val="24"/>
        </w:rPr>
        <w:t xml:space="preserve">(Al Domany </w:t>
      </w:r>
      <w:r w:rsidR="004C506F" w:rsidRPr="004C506F">
        <w:rPr>
          <w:rFonts w:ascii="Calibri" w:hAnsi="Calibri" w:cs="Calibri"/>
          <w:i/>
          <w:iCs/>
          <w:szCs w:val="24"/>
        </w:rPr>
        <w:t>et al.</w:t>
      </w:r>
      <w:r w:rsidR="004C506F" w:rsidRPr="004C506F">
        <w:rPr>
          <w:rFonts w:ascii="Calibri" w:hAnsi="Calibri" w:cs="Calibri"/>
          <w:szCs w:val="24"/>
        </w:rPr>
        <w:t>, 2015; Al Domany, 2017)</w:t>
      </w:r>
      <w:r w:rsidR="004C506F">
        <w:fldChar w:fldCharType="end"/>
      </w:r>
      <w:r>
        <w:t>.</w:t>
      </w:r>
    </w:p>
    <w:p w14:paraId="62089E33" w14:textId="54631AFE" w:rsidR="000C2859" w:rsidRPr="00483F64" w:rsidRDefault="000C2859" w:rsidP="00F62683">
      <w:pPr>
        <w:spacing w:after="240" w:line="360" w:lineRule="auto"/>
        <w:jc w:val="both"/>
      </w:pPr>
      <w:r>
        <w:t>L'intégration de l'évaporation (et de l'ETP) dans un modèle hydrologique nécessite donc de trancher face à ces incertitudes : faut-il s'appuyer sur des formules climatiques standards basées sur l'air, au risque de biaiser la dynamique thermique propre au plan d'eau, ou privilégier des équations intégrant la température de l'eau et le bilan énergétique, au prix d'une exigence accrue en données d'entrée ?</w:t>
      </w:r>
    </w:p>
    <w:p w14:paraId="66C37FF1" w14:textId="0C95BA89" w:rsidR="009E4F5D" w:rsidRDefault="00E63843" w:rsidP="00F62683">
      <w:pPr>
        <w:pStyle w:val="Titre3"/>
        <w:numPr>
          <w:ilvl w:val="2"/>
          <w:numId w:val="12"/>
        </w:numPr>
        <w:spacing w:after="240" w:line="360" w:lineRule="auto"/>
      </w:pPr>
      <w:bookmarkStart w:id="14" w:name="_Toc228373039"/>
      <w:r w:rsidRPr="00317D4C">
        <w:lastRenderedPageBreak/>
        <w:t xml:space="preserve">Le </w:t>
      </w:r>
      <w:r w:rsidR="002E5BC9" w:rsidRPr="00317D4C">
        <w:t>Ruissèlement</w:t>
      </w:r>
      <w:bookmarkEnd w:id="14"/>
    </w:p>
    <w:p w14:paraId="07B82729" w14:textId="2715AFC7" w:rsidR="00E63843" w:rsidRDefault="00E63843" w:rsidP="00F62683">
      <w:pPr>
        <w:pStyle w:val="Titre4"/>
        <w:numPr>
          <w:ilvl w:val="3"/>
          <w:numId w:val="12"/>
        </w:numPr>
        <w:spacing w:after="240" w:line="360" w:lineRule="auto"/>
      </w:pPr>
      <w:r w:rsidRPr="00317D4C">
        <w:t>Le nombre courbe :</w:t>
      </w:r>
    </w:p>
    <w:p w14:paraId="260EE3A0" w14:textId="1726013A" w:rsidR="00E312FC" w:rsidRDefault="00E312FC" w:rsidP="00F62683">
      <w:pPr>
        <w:spacing w:after="240" w:line="360" w:lineRule="auto"/>
        <w:jc w:val="both"/>
      </w:pPr>
      <w:r>
        <w:t xml:space="preserve">La méthode du </w:t>
      </w:r>
      <w:proofErr w:type="spellStart"/>
      <w:r>
        <w:t>Soil</w:t>
      </w:r>
      <w:proofErr w:type="spellEnd"/>
      <w:r>
        <w:t xml:space="preserve"> Conservation Service - </w:t>
      </w:r>
      <w:proofErr w:type="spellStart"/>
      <w:r>
        <w:t>Curve</w:t>
      </w:r>
      <w:proofErr w:type="spellEnd"/>
      <w:r>
        <w:t xml:space="preserve"> </w:t>
      </w:r>
      <w:proofErr w:type="spellStart"/>
      <w:r>
        <w:t>Number</w:t>
      </w:r>
      <w:proofErr w:type="spellEnd"/>
      <w:r>
        <w:t xml:space="preserve"> (SCS-CN), développée par le département de l'Agriculture des États-Unis (USDA), est une approche empirique largement utilisée pour estimer le volume de ruissellement de surface généré par un événement pluvieux </w:t>
      </w:r>
      <w:r>
        <w:fldChar w:fldCharType="begin"/>
      </w:r>
      <w:r>
        <w:instrText xml:space="preserve"> ADDIN ZOTERO_ITEM CSL_CITATION {"citationID":"Mzvxp8RZ","properties":{"formattedCitation":"(Carluer {\\i{}et al.}, 2011)","plainCitation":"(Carluer et al., 2011)","noteIndex":0},"citationItems":[{"id":380,"uris":["http://zotero.org/users/16716349/items/HVL7669S"],"itemData":{"id":380,"type":"article-journal","language":"fr","page":"p 29 -34","source":"Zotero","title":"Guide de dimensionnement des zones tampons enherbées ou boisées pour réduire la contamination des cours d'eau par les produits phytosanitaires","author":[{"family":"Carluer","given":"Nadia"},{"family":"Fontaine","given":"A"},{"family":"Lauvernet","given":"Claire"},{"family":"Carpena","given":"R Muñoz"}],"issued":{"date-parts":[["2011"]]}}}],"schema":"https://github.com/citation-style-language/schema/raw/master/csl-citation.json"} </w:instrText>
      </w:r>
      <w:r>
        <w:fldChar w:fldCharType="separate"/>
      </w:r>
      <w:r w:rsidRPr="00E312FC">
        <w:rPr>
          <w:rFonts w:ascii="Calibri" w:hAnsi="Calibri" w:cs="Calibri"/>
          <w:szCs w:val="24"/>
        </w:rPr>
        <w:t xml:space="preserve">(Carluer </w:t>
      </w:r>
      <w:r w:rsidRPr="00E312FC">
        <w:rPr>
          <w:rFonts w:ascii="Calibri" w:hAnsi="Calibri" w:cs="Calibri"/>
          <w:i/>
          <w:iCs/>
          <w:szCs w:val="24"/>
        </w:rPr>
        <w:t>et al.</w:t>
      </w:r>
      <w:r w:rsidRPr="00E312FC">
        <w:rPr>
          <w:rFonts w:ascii="Calibri" w:hAnsi="Calibri" w:cs="Calibri"/>
          <w:szCs w:val="24"/>
        </w:rPr>
        <w:t>, 2011)</w:t>
      </w:r>
      <w:r>
        <w:fldChar w:fldCharType="end"/>
      </w:r>
      <w:r>
        <w:t>. Elle repose sur le principe que le rapport entre la rétention réelle et la rétention potentielle maximale d'un bassin est égal au rapport entre le ruissellement réel et le ruissellement potentiel</w:t>
      </w:r>
      <w:r>
        <w:fldChar w:fldCharType="begin"/>
      </w:r>
      <w:r>
        <w:instrText xml:space="preserve"> ADDIN ZOTERO_ITEM CSL_CITATION {"citationID":"zeMv5E1D","properties":{"formattedCitation":"(Williams {\\i{}et al.}, 2012)","plainCitation":"(Williams et al., 2012)","noteIndex":0},"citationItems":[{"id":468,"uris":["http://zotero.org/users/16716349/items/MUCY22HC"],"itemData":{"id":468,"type":"article-journal","abstract":"The Natural Resources Conservation Service (NRCS) [previously Soil Conservation Service (SCS)] developed the SCS runoff curve-number (CN) method for estimating direct runoff from storm rainfall. The NRCS uses the CN method for designing structures and for evaluating their effectiveness. Structural design is usually based on a single event of a certain probability of occurrence. During the years when many floodwater-retarding watershed projects were planned and constructed (1950-1980), the CN equation was used in a continuous mode to evaluate the projects. To operate CN in a continuous mode, runoff was estimated from a daily rainfall record of approximately 30 years. For each day of recorded rainfall, the five-day antecedent rainfall was used to assign a CN1 (dry condition), CN2 (average condition), or CN3 (wet condition), and runoff was estimated with the appropriate CN. With the development of continuous hydrologic simulation models, CN was related directly to soil water content or estimated using rainfall and potential evapotranspiration (PET) to drive an index. Several methods were attempted and used with different degrees of success over a period of many years. The purpose of this study is to describe the evolution of the continuous CN method and its recent developments. Test results on the basis of the direct-link soil-moisture approach and the revised soil-moisture index method are presented for demonstration purposes. The results indicate that the revised soil-moisture index method is robust and produces realistic runoff estimates over a wide range of soil properties. DOI: 10.1061/(ASCE)HE.1943-5584.0000529. (C) 2012 American Society of Civil Engineers.","container-title":"Journal of Hydrologic Engineering","DOI":"10.1061/(ASCE)HE.1943-5584.0000529","journalAbbreviation":"Journal of Hydrologic Engineering","page":"1221-1229","source":"ResearchGate","title":"Evolution of the SCS Runoff Curve Number Method and Its Application to Continuous Runoff Simulation","volume":"17","author":[{"literal":"Williams"},{"family":"Kannan","given":"Narayanan"},{"family":"Wang","given":"Xiuying (Susan)"},{"family":"Santhi","given":"C."},{"family":"Arnold","given":"Jeff"}],"issued":{"date-parts":[["2012",11,1]]}}}],"schema":"https://github.com/citation-style-language/schema/raw/master/csl-citation.json"} </w:instrText>
      </w:r>
      <w:r>
        <w:fldChar w:fldCharType="separate"/>
      </w:r>
      <w:r w:rsidRPr="00E312FC">
        <w:rPr>
          <w:rFonts w:ascii="Calibri" w:hAnsi="Calibri" w:cs="Calibri"/>
          <w:szCs w:val="24"/>
        </w:rPr>
        <w:t xml:space="preserve">(Williams </w:t>
      </w:r>
      <w:r w:rsidRPr="00E312FC">
        <w:rPr>
          <w:rFonts w:ascii="Calibri" w:hAnsi="Calibri" w:cs="Calibri"/>
          <w:i/>
          <w:iCs/>
          <w:szCs w:val="24"/>
        </w:rPr>
        <w:t>et al.</w:t>
      </w:r>
      <w:r w:rsidRPr="00E312FC">
        <w:rPr>
          <w:rFonts w:ascii="Calibri" w:hAnsi="Calibri" w:cs="Calibri"/>
          <w:szCs w:val="24"/>
        </w:rPr>
        <w:t>, 2012)</w:t>
      </w:r>
      <w:r>
        <w:fldChar w:fldCharType="end"/>
      </w:r>
      <w:r>
        <w:t>.</w:t>
      </w:r>
    </w:p>
    <w:p w14:paraId="243F3C35" w14:textId="77777777" w:rsidR="00E312FC" w:rsidRDefault="00E312FC" w:rsidP="00F62683">
      <w:pPr>
        <w:spacing w:after="240" w:line="360" w:lineRule="auto"/>
        <w:jc w:val="both"/>
      </w:pPr>
      <w:r>
        <w:t xml:space="preserve">L'élément central de cette équation est le </w:t>
      </w:r>
      <w:proofErr w:type="spellStart"/>
      <w:r>
        <w:t>Curve</w:t>
      </w:r>
      <w:proofErr w:type="spellEnd"/>
      <w:r>
        <w:t xml:space="preserve"> </w:t>
      </w:r>
      <w:proofErr w:type="spellStart"/>
      <w:r>
        <w:t>Number</w:t>
      </w:r>
      <w:proofErr w:type="spellEnd"/>
      <w:r>
        <w:t xml:space="preserve"> (CN), un paramètre adimensionnel qui caractérise la propension d'un sol à ruisseler. Ce coefficient est déterminé par la combinaison de plusieurs facteurs :</w:t>
      </w:r>
    </w:p>
    <w:p w14:paraId="0BF8EE61" w14:textId="53908BCF" w:rsidR="00E312FC" w:rsidRDefault="00E312FC" w:rsidP="00F62683">
      <w:pPr>
        <w:pStyle w:val="Paragraphedeliste"/>
        <w:numPr>
          <w:ilvl w:val="0"/>
          <w:numId w:val="11"/>
        </w:numPr>
        <w:spacing w:after="240" w:line="360" w:lineRule="auto"/>
        <w:jc w:val="both"/>
      </w:pPr>
      <w:r w:rsidRPr="008062E2">
        <w:rPr>
          <w:b/>
          <w:bCs/>
        </w:rPr>
        <w:t>Le groupe hydrologique du sol :</w:t>
      </w:r>
      <w:r>
        <w:t xml:space="preserve"> classé de A (sols très perméables) à D (sols argileux, imperméables et générant un ruissellement maximal) </w:t>
      </w:r>
      <w:r>
        <w:fldChar w:fldCharType="begin"/>
      </w:r>
      <w:r>
        <w:instrText xml:space="preserve"> ADDIN ZOTERO_ITEM CSL_CITATION {"citationID":"IxPc1JEX","properties":{"formattedCitation":"(Carluer {\\i{}et al.}, 2011)","plainCitation":"(Carluer et al., 2011)","noteIndex":0},"citationItems":[{"id":380,"uris":["http://zotero.org/users/16716349/items/HVL7669S"],"itemData":{"id":380,"type":"article-journal","language":"fr","page":"p 29 -34","source":"Zotero","title":"Guide de dimensionnement des zones tampons enherbées ou boisées pour réduire la contamination des cours d'eau par les produits phytosanitaires","author":[{"family":"Carluer","given":"Nadia"},{"family":"Fontaine","given":"A"},{"family":"Lauvernet","given":"Claire"},{"family":"Carpena","given":"R Muñoz"}],"issued":{"date-parts":[["2011"]]}}}],"schema":"https://github.com/citation-style-language/schema/raw/master/csl-citation.json"} </w:instrText>
      </w:r>
      <w:r>
        <w:fldChar w:fldCharType="separate"/>
      </w:r>
      <w:r w:rsidRPr="008062E2">
        <w:rPr>
          <w:rFonts w:ascii="Calibri" w:hAnsi="Calibri" w:cs="Calibri"/>
          <w:szCs w:val="24"/>
        </w:rPr>
        <w:t xml:space="preserve">(Carluer </w:t>
      </w:r>
      <w:r w:rsidRPr="008062E2">
        <w:rPr>
          <w:rFonts w:ascii="Calibri" w:hAnsi="Calibri" w:cs="Calibri"/>
          <w:i/>
          <w:iCs/>
          <w:szCs w:val="24"/>
        </w:rPr>
        <w:t>et al.</w:t>
      </w:r>
      <w:r w:rsidRPr="008062E2">
        <w:rPr>
          <w:rFonts w:ascii="Calibri" w:hAnsi="Calibri" w:cs="Calibri"/>
          <w:szCs w:val="24"/>
        </w:rPr>
        <w:t>, 2011)</w:t>
      </w:r>
      <w:r>
        <w:fldChar w:fldCharType="end"/>
      </w:r>
      <w:r w:rsidR="00ED2ADC">
        <w:t>.</w:t>
      </w:r>
    </w:p>
    <w:p w14:paraId="51D5F27B" w14:textId="20D621E4" w:rsidR="00E312FC" w:rsidRDefault="00E312FC" w:rsidP="00F62683">
      <w:pPr>
        <w:pStyle w:val="Paragraphedeliste"/>
        <w:numPr>
          <w:ilvl w:val="0"/>
          <w:numId w:val="11"/>
        </w:numPr>
        <w:spacing w:after="240" w:line="360" w:lineRule="auto"/>
        <w:jc w:val="both"/>
      </w:pPr>
      <w:r w:rsidRPr="008062E2">
        <w:rPr>
          <w:b/>
          <w:bCs/>
        </w:rPr>
        <w:t>L'occupation des terres et les pratiques agricoles :</w:t>
      </w:r>
      <w:r>
        <w:t xml:space="preserve"> la présence de couverts végétaux, de forêts ou de zones nues influence grandement l'infiltration. Pour les bassins versants hétérogènes, des valeurs de CN composites sont calculées au prorata des surfaces occupées par chaque type d'usage</w:t>
      </w:r>
      <w:r w:rsidR="00ED2ADC">
        <w:t xml:space="preserve"> </w:t>
      </w:r>
      <w:r>
        <w:fldChar w:fldCharType="begin"/>
      </w:r>
      <w:r>
        <w:instrText xml:space="preserve"> ADDIN ZOTERO_ITEM CSL_CITATION {"citationID":"qKuqtMzn","properties":{"formattedCitation":"(Carluer {\\i{}et al.}, 2011)","plainCitation":"(Carluer et al., 2011)","noteIndex":0},"citationItems":[{"id":380,"uris":["http://zotero.org/users/16716349/items/HVL7669S"],"itemData":{"id":380,"type":"article-journal","language":"fr","page":"p 29 -34","source":"Zotero","title":"Guide de dimensionnement des zones tampons enherbées ou boisées pour réduire la contamination des cours d'eau par les produits phytosanitaires","author":[{"family":"Carluer","given":"Nadia"},{"family":"Fontaine","given":"A"},{"family":"Lauvernet","given":"Claire"},{"family":"Carpena","given":"R Muñoz"}],"issued":{"date-parts":[["2011"]]}}}],"schema":"https://github.com/citation-style-language/schema/raw/master/csl-citation.json"} </w:instrText>
      </w:r>
      <w:r>
        <w:fldChar w:fldCharType="separate"/>
      </w:r>
      <w:r w:rsidRPr="008062E2">
        <w:rPr>
          <w:rFonts w:ascii="Calibri" w:hAnsi="Calibri" w:cs="Calibri"/>
          <w:szCs w:val="24"/>
        </w:rPr>
        <w:t xml:space="preserve">(Carluer </w:t>
      </w:r>
      <w:r w:rsidRPr="008062E2">
        <w:rPr>
          <w:rFonts w:ascii="Calibri" w:hAnsi="Calibri" w:cs="Calibri"/>
          <w:i/>
          <w:iCs/>
          <w:szCs w:val="24"/>
        </w:rPr>
        <w:t>et al.</w:t>
      </w:r>
      <w:r w:rsidRPr="008062E2">
        <w:rPr>
          <w:rFonts w:ascii="Calibri" w:hAnsi="Calibri" w:cs="Calibri"/>
          <w:szCs w:val="24"/>
        </w:rPr>
        <w:t>, 2011)</w:t>
      </w:r>
      <w:r>
        <w:fldChar w:fldCharType="end"/>
      </w:r>
      <w:r w:rsidR="00ED2ADC">
        <w:t>.</w:t>
      </w:r>
    </w:p>
    <w:p w14:paraId="5B3522F9" w14:textId="370A9EBB" w:rsidR="00E312FC" w:rsidRDefault="00E312FC" w:rsidP="00F62683">
      <w:pPr>
        <w:pStyle w:val="Paragraphedeliste"/>
        <w:numPr>
          <w:ilvl w:val="0"/>
          <w:numId w:val="11"/>
        </w:numPr>
        <w:spacing w:after="240" w:line="360" w:lineRule="auto"/>
        <w:jc w:val="both"/>
      </w:pPr>
      <w:r w:rsidRPr="008062E2">
        <w:rPr>
          <w:b/>
          <w:bCs/>
        </w:rPr>
        <w:t>Les conditions antérieures d'humidité (AMC) :</w:t>
      </w:r>
      <w:r>
        <w:t xml:space="preserve"> classées en trois niveaux (sec, moyen, humide) selon les précipitations survenues dans les jours précédant l'événement</w:t>
      </w:r>
      <w:r w:rsidR="00ED2ADC">
        <w:t xml:space="preserve"> </w:t>
      </w:r>
      <w:r>
        <w:fldChar w:fldCharType="begin"/>
      </w:r>
      <w:r>
        <w:instrText xml:space="preserve"> ADDIN ZOTERO_ITEM CSL_CITATION {"citationID":"4krGK1Dd","properties":{"formattedCitation":"(Carluer {\\i{}et al.}, 2011)","plainCitation":"(Carluer et al., 2011)","noteIndex":0},"citationItems":[{"id":380,"uris":["http://zotero.org/users/16716349/items/HVL7669S"],"itemData":{"id":380,"type":"article-journal","language":"fr","page":"p 29 -34","source":"Zotero","title":"Guide de dimensionnement des zones tampons enherbées ou boisées pour réduire la contamination des cours d'eau par les produits phytosanitaires","author":[{"family":"Carluer","given":"Nadia"},{"family":"Fontaine","given":"A"},{"family":"Lauvernet","given":"Claire"},{"family":"Carpena","given":"R Muñoz"}],"issued":{"date-parts":[["2011"]]}}}],"schema":"https://github.com/citation-style-language/schema/raw/master/csl-citation.json"} </w:instrText>
      </w:r>
      <w:r>
        <w:fldChar w:fldCharType="separate"/>
      </w:r>
      <w:r w:rsidRPr="008062E2">
        <w:rPr>
          <w:rFonts w:ascii="Calibri" w:hAnsi="Calibri" w:cs="Calibri"/>
          <w:szCs w:val="24"/>
        </w:rPr>
        <w:t xml:space="preserve">(Carluer </w:t>
      </w:r>
      <w:r w:rsidRPr="008062E2">
        <w:rPr>
          <w:rFonts w:ascii="Calibri" w:hAnsi="Calibri" w:cs="Calibri"/>
          <w:i/>
          <w:iCs/>
          <w:szCs w:val="24"/>
        </w:rPr>
        <w:t>et al.</w:t>
      </w:r>
      <w:r w:rsidRPr="008062E2">
        <w:rPr>
          <w:rFonts w:ascii="Calibri" w:hAnsi="Calibri" w:cs="Calibri"/>
          <w:szCs w:val="24"/>
        </w:rPr>
        <w:t>, 2011)</w:t>
      </w:r>
      <w:r>
        <w:fldChar w:fldCharType="end"/>
      </w:r>
      <w:r w:rsidR="00ED2ADC">
        <w:t>.</w:t>
      </w:r>
    </w:p>
    <w:p w14:paraId="208B95D5" w14:textId="0CB11855" w:rsidR="00E312FC" w:rsidRDefault="00E312FC" w:rsidP="00F62683">
      <w:pPr>
        <w:spacing w:after="240" w:line="360" w:lineRule="auto"/>
        <w:jc w:val="both"/>
      </w:pPr>
      <w:r>
        <w:t>Aujourd'hui, cette méthodologie est fréquemment couplée aux Systèmes d'Information Géographique (SIG) pour automatiser l'analyse spatiale des bassins versants et identifier les zones potentielles de ruissellement ou de collecte des eaux</w:t>
      </w:r>
      <w:r w:rsidR="00ED2ADC">
        <w:t xml:space="preserve"> </w:t>
      </w:r>
      <w:r w:rsidR="00A04256">
        <w:fldChar w:fldCharType="begin"/>
      </w:r>
      <w:r w:rsidR="00A04256">
        <w:instrText xml:space="preserve"> ADDIN ZOTERO_ITEM CSL_CITATION {"citationID":"n0sSvPOx","properties":{"formattedCitation":"(M. Zende, Kishor Patil, 2015)","plainCitation":"(M. Zende, Kishor Patil, 2015)","noteIndex":0},"citationItems":[{"id":377,"uris":["http://zotero.org/users/16716349/items/ZM76ACG7"],"itemData":{"id":377,"type":"paper-conference","abstract":"PDF | A precise study for understanding hydrological behavior of a watershed is important for effective management. Among the most needed data while... | Find, read and cite all the research you need on ResearchGate","container-title":"ResearchGate","language":"en","source":"www.researchgate.net","title":"SURFACE RUNOFF ANALYSIS FOR CHAND RIVER BASIN USING SCS-CN METHOD AND GEOGRAPHIC INFORMATION SYSTEM","URL":"https://www.researchgate.net/publication/354372407_SURFACE_RUNOFF_ANALYSIS_FOR_CHAND_RIVER_BASIN_USING_SCS-CN_METHOD_AND_GEOGRAPHIC_INFORMATION_SYSTEM","author":[{"family":"M. Zende","given":"Abhijit"},{"family":"Kishor Patil","given":"Sachin"}],"accessed":{"date-parts":[["2026",2,10]]},"issued":{"date-parts":[["2015"]]}}}],"schema":"https://github.com/citation-style-language/schema/raw/master/csl-citation.json"} </w:instrText>
      </w:r>
      <w:r w:rsidR="00A04256">
        <w:fldChar w:fldCharType="separate"/>
      </w:r>
      <w:r w:rsidR="00A04256" w:rsidRPr="00A04256">
        <w:rPr>
          <w:rFonts w:ascii="Calibri" w:hAnsi="Calibri" w:cs="Calibri"/>
        </w:rPr>
        <w:t>(M. Zende, Kishor Patil, 2015)</w:t>
      </w:r>
      <w:r w:rsidR="00A04256">
        <w:fldChar w:fldCharType="end"/>
      </w:r>
      <w:r w:rsidR="00ED2ADC">
        <w:t>.</w:t>
      </w:r>
    </w:p>
    <w:p w14:paraId="25FFCB05" w14:textId="65ECAA5F" w:rsidR="00E312FC" w:rsidRDefault="00E312FC" w:rsidP="00F62683">
      <w:pPr>
        <w:spacing w:after="240" w:line="360" w:lineRule="auto"/>
        <w:jc w:val="both"/>
      </w:pPr>
      <w:r>
        <w:t>Dans sa formulation d'origine, la méthode SCS-CN postule que l'abstraction initiale (Ia​)</w:t>
      </w:r>
      <w:r w:rsidR="00A04256">
        <w:t>,</w:t>
      </w:r>
      <w:r>
        <w:t xml:space="preserve"> c'est-à-dire la quantité d'eau interceptée par la végétation, stockée dans les micro-dépressions ou infiltrée avant le début du ruissellement</w:t>
      </w:r>
      <w:r w:rsidR="00A04256">
        <w:t xml:space="preserve">, </w:t>
      </w:r>
      <w:r>
        <w:t>équivaut à 20 % de la rétention maximale potentielle (S), soit un ratio λ=0,20</w:t>
      </w:r>
      <w:r w:rsidR="005C4CF7">
        <w:t xml:space="preserve"> </w:t>
      </w:r>
      <w:r w:rsidR="00A04256">
        <w:fldChar w:fldCharType="begin"/>
      </w:r>
      <w:r w:rsidR="00A04256">
        <w:instrText xml:space="preserve"> ADDIN ZOTERO_ITEM CSL_CITATION {"citationID":"ABtyDP4K","properties":{"formattedCitation":"(Hawkins {\\i{}et al.}, 2003)","plainCitation":"(Hawkins et al., 2003)","noteIndex":0},"citationItems":[{"id":390,"uris":["http://zotero.org/users/16716349/items/Z62VZXQE"],"itemData":{"id":390,"type":"paper-conference","abstract":"The Initial Abstraction ratio (Ia/S, or λ) in the Curve Number (CN) method was assumed in its original development to have a value of 0.20. Using event rainfall-runoff data from several hundred plots this assumption is investigated, and λ values determined by two different methods. Results indicate a λ value of about 0.05 gives a better fit to the data and would be more appropriate for use in runoff calculations. The effects of this change are shown in terms of calculated runoff depth and hydrograph peaks, CN definition, and in soil moisture accounting. The effect of using λ=0.05 in place of the customary 0.20 is felt mainly in calculations that involve either lower rainfall depths or lower CNs.","container-title":"World Water &amp;amp; Environmental Resources Congress 2003","DOI":"10.1061/40685(2003)308","event-title":"World Water and Environmental Resources Congress 2003","ISBN":"978-0-7844-0685-4","language":"en","page":"1-10","publisher":"American Society of Civil Engineers","publisher-place":"Philadelphia, Pennsylvania, United States","source":"DOI.org (Crossref)","title":"Runoff Curve Number Method: Examination of the Initial Abstraction Ratio","title-short":"Runoff Curve Number Method","URL":"http://ascelibrary.org/doi/abs/10.1061/40685%282003%29308","author":[{"family":"Hawkins","given":"Richard H."},{"family":"Woodward","given":"Donald E."},{"family":"Jiang","given":"Ruiyun"},{"family":"Hjelmfelt, Jr.","given":"Allen T."},{"family":"Van Mullem","given":"Joseph A."},{"family":"Quan","given":"Quan D."}],"accessed":{"date-parts":[["2026",2,13]]},"issued":{"date-parts":[["2003",6,17]]}}}],"schema":"https://github.com/citation-style-language/schema/raw/master/csl-citation.json"} </w:instrText>
      </w:r>
      <w:r w:rsidR="00A04256">
        <w:fldChar w:fldCharType="separate"/>
      </w:r>
      <w:r w:rsidR="00A04256" w:rsidRPr="00A04256">
        <w:rPr>
          <w:rFonts w:ascii="Calibri" w:hAnsi="Calibri" w:cs="Calibri"/>
          <w:szCs w:val="24"/>
        </w:rPr>
        <w:t xml:space="preserve">(Hawkins </w:t>
      </w:r>
      <w:r w:rsidR="00A04256" w:rsidRPr="00A04256">
        <w:rPr>
          <w:rFonts w:ascii="Calibri" w:hAnsi="Calibri" w:cs="Calibri"/>
          <w:i/>
          <w:iCs/>
          <w:szCs w:val="24"/>
        </w:rPr>
        <w:t>et al.</w:t>
      </w:r>
      <w:r w:rsidR="00A04256" w:rsidRPr="00A04256">
        <w:rPr>
          <w:rFonts w:ascii="Calibri" w:hAnsi="Calibri" w:cs="Calibri"/>
          <w:szCs w:val="24"/>
        </w:rPr>
        <w:t>, 2003)</w:t>
      </w:r>
      <w:r w:rsidR="00A04256">
        <w:fldChar w:fldCharType="end"/>
      </w:r>
      <w:r w:rsidR="005C4CF7">
        <w:t>.</w:t>
      </w:r>
    </w:p>
    <w:p w14:paraId="611C52F6" w14:textId="1FC76FCE" w:rsidR="00E312FC" w:rsidRDefault="00E312FC" w:rsidP="00F62683">
      <w:pPr>
        <w:spacing w:after="240" w:line="360" w:lineRule="auto"/>
        <w:jc w:val="both"/>
      </w:pPr>
      <w:r>
        <w:t>Toutefois, des études approfondies menées par Hawkins et al.</w:t>
      </w:r>
      <w:r w:rsidR="00AB6674">
        <w:t xml:space="preserve"> </w:t>
      </w:r>
      <w:r w:rsidR="00AB6674">
        <w:fldChar w:fldCharType="begin"/>
      </w:r>
      <w:r w:rsidR="00AB6674">
        <w:instrText xml:space="preserve"> ADDIN ZOTERO_ITEM CSL_CITATION {"citationID":"lsnxJdlX","properties":{"formattedCitation":"(2003)","plainCitation":"(2003)","noteIndex":0},"citationItems":[{"id":390,"uris":["http://zotero.org/users/16716349/items/Z62VZXQE"],"itemData":{"id":390,"type":"paper-conference","abstract":"The Initial Abstraction ratio (Ia/S, or λ) in the Curve Number (CN) method was assumed in its original development to have a value of 0.20. Using event rainfall-runoff data from several hundred plots this assumption is investigated, and λ values determined by two different methods. Results indicate a λ value of about 0.05 gives a better fit to the data and would be more appropriate for use in runoff calculations. The effects of this change are shown in terms of calculated runoff depth and hydrograph peaks, CN definition, and in soil moisture accounting. The effect of using λ=0.05 in place of the customary 0.20 is felt mainly in calculations that involve either lower rainfall depths or lower CNs.","container-title":"World Water &amp;amp; Environmental Resources Congress 2003","DOI":"10.1061/40685(2003)308","event-title":"World Water and Environmental Resources Congress 2003","ISBN":"978-0-7844-0685-4","language":"en","page":"1-10","publisher":"American Society of Civil Engineers","publisher-place":"Philadelphia, Pennsylvania, United States","source":"DOI.org (Crossref)","title":"Runoff Curve Number Method: Examination of the Initial Abstraction Ratio","title-short":"Runoff Curve Number Method","URL":"http://ascelibrary.org/doi/abs/10.1061/40685%282003%29308","author":[{"family":"Hawkins","given":"Richard H."},{"family":"Woodward","given":"Donald E."},{"family":"Jiang","given":"Ruiyun"},{"family":"Hjelmfelt, Jr.","given":"Allen T."},{"family":"Van Mullem","given":"Joseph A."},{"family":"Quan","given":"Quan D."}],"accessed":{"date-parts":[["2026",2,13]]},"issued":{"date-parts":[["2003",6,17]]}},"suppress-author":true}],"schema":"https://github.com/citation-style-language/schema/raw/master/csl-citation.json"} </w:instrText>
      </w:r>
      <w:r w:rsidR="00AB6674">
        <w:fldChar w:fldCharType="separate"/>
      </w:r>
      <w:r w:rsidR="00AB6674" w:rsidRPr="00AB6674">
        <w:rPr>
          <w:rFonts w:ascii="Calibri" w:hAnsi="Calibri" w:cs="Calibri"/>
        </w:rPr>
        <w:t>(2003)</w:t>
      </w:r>
      <w:r w:rsidR="00AB6674">
        <w:fldChar w:fldCharType="end"/>
      </w:r>
      <w:r>
        <w:t xml:space="preserve"> sur plusieurs centaines de bassins versants et parcelles ont démontré que cette hypothèse est souvent erronée. Leurs analyses prouvent qu'un ratio d'abstraction initiale de 5 % (λ=0,05) offre un ajustement statistique bien plus fidèle aux données réelles de pluie-ruissellement. L'adoption de ce nouveau ratio modifie l'équation </w:t>
      </w:r>
      <w:r>
        <w:lastRenderedPageBreak/>
        <w:t>fondamentale du ruissellement et implique que les valeurs tab</w:t>
      </w:r>
      <w:r w:rsidR="008062E2">
        <w:t>ulaire</w:t>
      </w:r>
      <w:r>
        <w:t xml:space="preserve"> classiques du </w:t>
      </w:r>
      <w:proofErr w:type="spellStart"/>
      <w:r>
        <w:t>Curve</w:t>
      </w:r>
      <w:proofErr w:type="spellEnd"/>
      <w:r>
        <w:t xml:space="preserve"> </w:t>
      </w:r>
      <w:proofErr w:type="spellStart"/>
      <w:r>
        <w:t>Number</w:t>
      </w:r>
      <w:proofErr w:type="spellEnd"/>
      <w:r>
        <w:t xml:space="preserve"> ne peuvent plus être utilisées telles quelles. Il est donc nécessaire de les convertir en "</w:t>
      </w:r>
      <w:proofErr w:type="spellStart"/>
      <w:r>
        <w:t>Curve</w:t>
      </w:r>
      <w:proofErr w:type="spellEnd"/>
      <w:r>
        <w:t xml:space="preserve"> Numbers conjugués" via des formules mathématiques spécifiques</w:t>
      </w:r>
      <w:r w:rsidR="00A04256">
        <w:t xml:space="preserve"> </w:t>
      </w:r>
      <w:r>
        <w:t>pour préserver la cohérence des modélisations</w:t>
      </w:r>
      <w:r w:rsidR="00AB6674">
        <w:t xml:space="preserve"> </w:t>
      </w:r>
      <w:r w:rsidR="00A04256">
        <w:fldChar w:fldCharType="begin"/>
      </w:r>
      <w:r w:rsidR="00A04256">
        <w:instrText xml:space="preserve"> ADDIN ZOTERO_ITEM CSL_CITATION {"citationID":"SzdTLUTO","properties":{"formattedCitation":"(Hawkins {\\i{}et al.}, 2003)","plainCitation":"(Hawkins et al., 2003)","noteIndex":0},"citationItems":[{"id":390,"uris":["http://zotero.org/users/16716349/items/Z62VZXQE"],"itemData":{"id":390,"type":"paper-conference","abstract":"The Initial Abstraction ratio (Ia/S, or λ) in the Curve Number (CN) method was assumed in its original development to have a value of 0.20. Using event rainfall-runoff data from several hundred plots this assumption is investigated, and λ values determined by two different methods. Results indicate a λ value of about 0.05 gives a better fit to the data and would be more appropriate for use in runoff calculations. The effects of this change are shown in terms of calculated runoff depth and hydrograph peaks, CN definition, and in soil moisture accounting. The effect of using λ=0.05 in place of the customary 0.20 is felt mainly in calculations that involve either lower rainfall depths or lower CNs.","container-title":"World Water &amp;amp; Environmental Resources Congress 2003","DOI":"10.1061/40685(2003)308","event-title":"World Water and Environmental Resources Congress 2003","ISBN":"978-0-7844-0685-4","language":"en","page":"1-10","publisher":"American Society of Civil Engineers","publisher-place":"Philadelphia, Pennsylvania, United States","source":"DOI.org (Crossref)","title":"Runoff Curve Number Method: Examination of the Initial Abstraction Ratio","title-short":"Runoff Curve Number Method","URL":"http://ascelibrary.org/doi/abs/10.1061/40685%282003%29308","author":[{"family":"Hawkins","given":"Richard H."},{"family":"Woodward","given":"Donald E."},{"family":"Jiang","given":"Ruiyun"},{"family":"Hjelmfelt, Jr.","given":"Allen T."},{"family":"Van Mullem","given":"Joseph A."},{"family":"Quan","given":"Quan D."}],"accessed":{"date-parts":[["2026",2,13]]},"issued":{"date-parts":[["2003",6,17]]}}}],"schema":"https://github.com/citation-style-language/schema/raw/master/csl-citation.json"} </w:instrText>
      </w:r>
      <w:r w:rsidR="00A04256">
        <w:fldChar w:fldCharType="separate"/>
      </w:r>
      <w:r w:rsidR="00A04256" w:rsidRPr="00A04256">
        <w:rPr>
          <w:rFonts w:ascii="Calibri" w:hAnsi="Calibri" w:cs="Calibri"/>
          <w:szCs w:val="24"/>
        </w:rPr>
        <w:t xml:space="preserve">(Hawkins </w:t>
      </w:r>
      <w:r w:rsidR="00A04256" w:rsidRPr="00A04256">
        <w:rPr>
          <w:rFonts w:ascii="Calibri" w:hAnsi="Calibri" w:cs="Calibri"/>
          <w:i/>
          <w:iCs/>
          <w:szCs w:val="24"/>
        </w:rPr>
        <w:t>et al.</w:t>
      </w:r>
      <w:r w:rsidR="00A04256" w:rsidRPr="00A04256">
        <w:rPr>
          <w:rFonts w:ascii="Calibri" w:hAnsi="Calibri" w:cs="Calibri"/>
          <w:szCs w:val="24"/>
        </w:rPr>
        <w:t>, 2003)</w:t>
      </w:r>
      <w:r w:rsidR="00A04256">
        <w:fldChar w:fldCharType="end"/>
      </w:r>
      <w:r w:rsidR="00AB6674">
        <w:t>.</w:t>
      </w:r>
    </w:p>
    <w:p w14:paraId="16A78089" w14:textId="3F836690" w:rsidR="00E312FC" w:rsidRDefault="00E312FC" w:rsidP="00F62683">
      <w:pPr>
        <w:spacing w:after="240" w:line="360" w:lineRule="auto"/>
        <w:jc w:val="both"/>
      </w:pPr>
      <w:r>
        <w:t>Bien que robuste, la méthode classique présente certaines limites lorsqu'elle est appliquée en dehors de son contexte de création ou pour des simulations hydrologiques continues :</w:t>
      </w:r>
    </w:p>
    <w:p w14:paraId="6CF1E5AC" w14:textId="3EBF23E6" w:rsidR="00A04256" w:rsidRDefault="00E312FC" w:rsidP="00F62683">
      <w:pPr>
        <w:spacing w:after="240" w:line="360" w:lineRule="auto"/>
        <w:jc w:val="both"/>
      </w:pPr>
      <w:r w:rsidRPr="00A04256">
        <w:rPr>
          <w:b/>
          <w:bCs/>
        </w:rPr>
        <w:t>Calibration régionale :</w:t>
      </w:r>
      <w:r>
        <w:t xml:space="preserve"> Les tables de référence du CN, développées aux États-Unis, sous-estiment parfois le ruissellement dans les contextes européens, particulièrement lors d'événements pluvieux de faible intensité ou de faible période de retour. Des auteurs recommandent ainsi de majorer manuellement le CN de 5 à 10 points sur certains bassins français pour mieux coller à la réalité</w:t>
      </w:r>
      <w:r w:rsidR="00642006">
        <w:t xml:space="preserve"> </w:t>
      </w:r>
      <w:r w:rsidR="00A04256">
        <w:fldChar w:fldCharType="begin"/>
      </w:r>
      <w:r w:rsidR="00A04256">
        <w:instrText xml:space="preserve"> ADDIN ZOTERO_ITEM CSL_CITATION {"citationID":"JeWKryaD","properties":{"formattedCitation":"(Carluer {\\i{}et al.}, 2011)","plainCitation":"(Carluer et al., 2011)","noteIndex":0},"citationItems":[{"id":380,"uris":["http://zotero.org/users/16716349/items/HVL7669S"],"itemData":{"id":380,"type":"article-journal","language":"fr","page":"p 29 -34","source":"Zotero","title":"Guide de dimensionnement des zones tampons enherbées ou boisées pour réduire la contamination des cours d'eau par les produits phytosanitaires","author":[{"family":"Carluer","given":"Nadia"},{"family":"Fontaine","given":"A"},{"family":"Lauvernet","given":"Claire"},{"family":"Carpena","given":"R Muñoz"}],"issued":{"date-parts":[["2011"]]}}}],"schema":"https://github.com/citation-style-language/schema/raw/master/csl-citation.json"} </w:instrText>
      </w:r>
      <w:r w:rsidR="00A04256">
        <w:fldChar w:fldCharType="separate"/>
      </w:r>
      <w:r w:rsidR="00A04256" w:rsidRPr="00A04256">
        <w:rPr>
          <w:rFonts w:ascii="Calibri" w:hAnsi="Calibri" w:cs="Calibri"/>
          <w:szCs w:val="24"/>
        </w:rPr>
        <w:t xml:space="preserve">(Carluer </w:t>
      </w:r>
      <w:r w:rsidR="00A04256" w:rsidRPr="00A04256">
        <w:rPr>
          <w:rFonts w:ascii="Calibri" w:hAnsi="Calibri" w:cs="Calibri"/>
          <w:i/>
          <w:iCs/>
          <w:szCs w:val="24"/>
        </w:rPr>
        <w:t>et al.</w:t>
      </w:r>
      <w:r w:rsidR="00A04256" w:rsidRPr="00A04256">
        <w:rPr>
          <w:rFonts w:ascii="Calibri" w:hAnsi="Calibri" w:cs="Calibri"/>
          <w:szCs w:val="24"/>
        </w:rPr>
        <w:t>, 2011)</w:t>
      </w:r>
      <w:r w:rsidR="00A04256">
        <w:fldChar w:fldCharType="end"/>
      </w:r>
      <w:r w:rsidR="00642006">
        <w:t>.</w:t>
      </w:r>
    </w:p>
    <w:p w14:paraId="5B664D9E" w14:textId="397655D5" w:rsidR="00A04256" w:rsidRDefault="00E312FC" w:rsidP="00F62683">
      <w:pPr>
        <w:spacing w:after="240" w:line="360" w:lineRule="auto"/>
        <w:jc w:val="both"/>
      </w:pPr>
      <w:r w:rsidRPr="00A04256">
        <w:rPr>
          <w:b/>
          <w:bCs/>
        </w:rPr>
        <w:t>Gestion de l'humidité du sol :</w:t>
      </w:r>
      <w:r>
        <w:t xml:space="preserve"> L'utilisation stricte des trois classes d'humidité antérieure (AMC) est souvent inadaptée aux régions humides et entraîne une forte dispersion des estimations de ruissellement</w:t>
      </w:r>
      <w:r w:rsidR="00A04256">
        <w:t xml:space="preserve"> </w:t>
      </w:r>
      <w:r w:rsidR="00A04256">
        <w:fldChar w:fldCharType="begin"/>
      </w:r>
      <w:r w:rsidR="00A04256">
        <w:instrText xml:space="preserve"> ADDIN ZOTERO_ITEM CSL_CITATION {"citationID":"iSXOiUhp","properties":{"formattedCitation":"(Perrone, Madramootoo, 1998)","plainCitation":"(Perrone, Madramootoo, 1998)","noteIndex":0},"citationItems":[{"id":470,"uris":["http://zotero.org/users/16716349/items/KTFR9G4E"],"itemData":{"id":470,"type":"article-journal","abstract":"The three antecedent moisture conditions used in the SCS (Soil Conservation Service) curve number method of surface runoff volume prediction have been shown to be inapplicable in humid regions such as the Ottawa - St. Lawrence Lowlands. The antecedent precipitation index is an alternative indicator of soil moisture. Using a hydrologic database, calibration curves were developed to correlate antecedent precipitation index to the SCS curve number. Curve numbers were then input to the AGNPS hydrologic model. When compared to the three antecedent moisture conditions in the SCS curve number method, use of antecedent precipitation index as a soil moisture indicator considerably improved surface runoff volume simulations. However, peak flow was generally overpredicted by the AGNPS model.Key words: AGNPS, antecedent moisture, curve number, peak flow, surface runoff, hydrologic modeling, precipitation.","container-title":"Canadian Journal of Civil Engineering","DOI":"10.1139/l98-007","ISSN":"0315-1468","issue":"4","journalAbbreviation":"Can. J. Civ. Eng.","page":"728-734","publisher":"NRC Research Press","source":"cdnsciencepub.com (Atypon)","title":"Improved curve number selection for runoff prediction","volume":"25","author":[{"family":"Perrone","given":"J"},{"family":"Madramootoo","given":"C A"}],"issued":{"date-parts":[["1998",8]]}}}],"schema":"https://github.com/citation-style-language/schema/raw/master/csl-citation.json"} </w:instrText>
      </w:r>
      <w:r w:rsidR="00A04256">
        <w:fldChar w:fldCharType="separate"/>
      </w:r>
      <w:r w:rsidR="00A04256" w:rsidRPr="00A04256">
        <w:rPr>
          <w:rFonts w:ascii="Calibri" w:hAnsi="Calibri" w:cs="Calibri"/>
        </w:rPr>
        <w:t>(Perrone, Madramootoo, 1998)</w:t>
      </w:r>
      <w:r w:rsidR="00A04256">
        <w:fldChar w:fldCharType="end"/>
      </w:r>
      <w:r>
        <w:t>. Pour y remédier dans les modélisations continues, des indicateurs dynamiques ont été développés. Par exemple, l'Indice de Précipitation Antécédente (API) ou les méthodes basées sur un Indice d'Humidité du Sol (SMI) permettent d'ajuster le CN de façon continue (souvent via des courbes de décroissance exponentielle), améliorant ainsi considérablement la précision des simulations de débits</w:t>
      </w:r>
      <w:r w:rsidR="00A04256">
        <w:t xml:space="preserve"> </w:t>
      </w:r>
      <w:r w:rsidR="00A04256">
        <w:fldChar w:fldCharType="begin"/>
      </w:r>
      <w:r w:rsidR="00A04256">
        <w:instrText xml:space="preserve"> ADDIN ZOTERO_ITEM CSL_CITATION {"citationID":"JMImCbAY","properties":{"formattedCitation":"(Perrone, Madramootoo, 1998; Williams {\\i{}et al.}, 2012)","plainCitation":"(Perrone, Madramootoo, 1998; Williams et al., 2012)","noteIndex":0},"citationItems":[{"id":470,"uris":["http://zotero.org/users/16716349/items/KTFR9G4E"],"itemData":{"id":470,"type":"article-journal","abstract":"The three antecedent moisture conditions used in the SCS (Soil Conservation Service) curve number method of surface runoff volume prediction have been shown to be inapplicable in humid regions such as the Ottawa - St. Lawrence Lowlands. The antecedent precipitation index is an alternative indicator of soil moisture. Using a hydrologic database, calibration curves were developed to correlate antecedent precipitation index to the SCS curve number. Curve numbers were then input to the AGNPS hydrologic model. When compared to the three antecedent moisture conditions in the SCS curve number method, use of antecedent precipitation index as a soil moisture indicator considerably improved surface runoff volume simulations. However, peak flow was generally overpredicted by the AGNPS model.Key words: AGNPS, antecedent moisture, curve number, peak flow, surface runoff, hydrologic modeling, precipitation.","container-title":"Canadian Journal of Civil Engineering","DOI":"10.1139/l98-007","ISSN":"0315-1468","issue":"4","journalAbbreviation":"Can. J. Civ. Eng.","page":"728-734","publisher":"NRC Research Press","source":"cdnsciencepub.com (Atypon)","title":"Improved curve number selection for runoff prediction","volume":"25","author":[{"family":"Perrone","given":"J"},{"family":"Madramootoo","given":"C A"}],"issued":{"date-parts":[["1998",8]]}}},{"id":468,"uris":["http://zotero.org/users/16716349/items/MUCY22HC"],"itemData":{"id":468,"type":"article-journal","abstract":"The Natural Resources Conservation Service (NRCS) [previously Soil Conservation Service (SCS)] developed the SCS runoff curve-number (CN) method for estimating direct runoff from storm rainfall. The NRCS uses the CN method for designing structures and for evaluating their effectiveness. Structural design is usually based on a single event of a certain probability of occurrence. During the years when many floodwater-retarding watershed projects were planned and constructed (1950-1980), the CN equation was used in a continuous mode to evaluate the projects. To operate CN in a continuous mode, runoff was estimated from a daily rainfall record of approximately 30 years. For each day of recorded rainfall, the five-day antecedent rainfall was used to assign a CN1 (dry condition), CN2 (average condition), or CN3 (wet condition), and runoff was estimated with the appropriate CN. With the development of continuous hydrologic simulation models, CN was related directly to soil water content or estimated using rainfall and potential evapotranspiration (PET) to drive an index. Several methods were attempted and used with different degrees of success over a period of many years. The purpose of this study is to describe the evolution of the continuous CN method and its recent developments. Test results on the basis of the direct-link soil-moisture approach and the revised soil-moisture index method are presented for demonstration purposes. The results indicate that the revised soil-moisture index method is robust and produces realistic runoff estimates over a wide range of soil properties. DOI: 10.1061/(ASCE)HE.1943-5584.0000529. (C) 2012 American Society of Civil Engineers.","container-title":"Journal of Hydrologic Engineering","DOI":"10.1061/(ASCE)HE.1943-5584.0000529","journalAbbreviation":"Journal of Hydrologic Engineering","page":"1221-1229","source":"ResearchGate","title":"Evolution of the SCS Runoff Curve Number Method and Its Application to Continuous Runoff Simulation","volume":"17","author":[{"literal":"Williams"},{"family":"Kannan","given":"Narayanan"},{"family":"Wang","given":"Xiuying (Susan)"},{"family":"Santhi","given":"C."},{"family":"Arnold","given":"Jeff"}],"issued":{"date-parts":[["2012",11,1]]}}}],"schema":"https://github.com/citation-style-language/schema/raw/master/csl-citation.json"} </w:instrText>
      </w:r>
      <w:r w:rsidR="00A04256">
        <w:fldChar w:fldCharType="separate"/>
      </w:r>
      <w:r w:rsidR="00A04256" w:rsidRPr="00A04256">
        <w:rPr>
          <w:rFonts w:ascii="Calibri" w:hAnsi="Calibri" w:cs="Calibri"/>
          <w:szCs w:val="24"/>
        </w:rPr>
        <w:t xml:space="preserve">(Perrone, Madramootoo, 1998; Williams </w:t>
      </w:r>
      <w:r w:rsidR="00A04256" w:rsidRPr="00A04256">
        <w:rPr>
          <w:rFonts w:ascii="Calibri" w:hAnsi="Calibri" w:cs="Calibri"/>
          <w:i/>
          <w:iCs/>
          <w:szCs w:val="24"/>
        </w:rPr>
        <w:t>et al.</w:t>
      </w:r>
      <w:r w:rsidR="00A04256" w:rsidRPr="00A04256">
        <w:rPr>
          <w:rFonts w:ascii="Calibri" w:hAnsi="Calibri" w:cs="Calibri"/>
          <w:szCs w:val="24"/>
        </w:rPr>
        <w:t>, 2012)</w:t>
      </w:r>
      <w:r w:rsidR="00A04256">
        <w:fldChar w:fldCharType="end"/>
      </w:r>
      <w:r>
        <w:t>.</w:t>
      </w:r>
    </w:p>
    <w:p w14:paraId="01898BA7" w14:textId="24AAD9C3" w:rsidR="00E312FC" w:rsidRDefault="00E312FC" w:rsidP="00F62683">
      <w:pPr>
        <w:spacing w:after="240" w:line="360" w:lineRule="auto"/>
        <w:jc w:val="both"/>
      </w:pPr>
      <w:r w:rsidRPr="00A04256">
        <w:rPr>
          <w:b/>
          <w:bCs/>
        </w:rPr>
        <w:t>Influence de la profondeur de nappe :</w:t>
      </w:r>
      <w:r>
        <w:t xml:space="preserve"> Le ruissellement n'est pas uniquement conditionné par la surface. La présence d'une nappe superficielle ou d'un horizon imperméable proche de la surface (entraînant un ruissellement par saturation) sature rapidement le potentiel de rétention et doit impérativement être intégrée dans le choix du groupe hydrologique</w:t>
      </w:r>
      <w:r w:rsidR="00A04256">
        <w:t xml:space="preserve"> </w:t>
      </w:r>
      <w:r w:rsidR="00A04256">
        <w:fldChar w:fldCharType="begin"/>
      </w:r>
      <w:r w:rsidR="00A04256">
        <w:instrText xml:space="preserve"> ADDIN ZOTERO_ITEM CSL_CITATION {"citationID":"zGNgtiHh","properties":{"formattedCitation":"(Carluer {\\i{}et al.}, 2011)","plainCitation":"(Carluer et al., 2011)","noteIndex":0},"citationItems":[{"id":380,"uris":["http://zotero.org/users/16716349/items/HVL7669S"],"itemData":{"id":380,"type":"article-journal","language":"fr","page":"p 29 -34","source":"Zotero","title":"Guide de dimensionnement des zones tampons enherbées ou boisées pour réduire la contamination des cours d'eau par les produits phytosanitaires","author":[{"family":"Carluer","given":"Nadia"},{"family":"Fontaine","given":"A"},{"family":"Lauvernet","given":"Claire"},{"family":"Carpena","given":"R Muñoz"}],"issued":{"date-parts":[["2011"]]}}}],"schema":"https://github.com/citation-style-language/schema/raw/master/csl-citation.json"} </w:instrText>
      </w:r>
      <w:r w:rsidR="00A04256">
        <w:fldChar w:fldCharType="separate"/>
      </w:r>
      <w:r w:rsidR="00A04256" w:rsidRPr="00A04256">
        <w:rPr>
          <w:rFonts w:ascii="Calibri" w:hAnsi="Calibri" w:cs="Calibri"/>
          <w:szCs w:val="24"/>
        </w:rPr>
        <w:t xml:space="preserve">(Carluer </w:t>
      </w:r>
      <w:r w:rsidR="00A04256" w:rsidRPr="00A04256">
        <w:rPr>
          <w:rFonts w:ascii="Calibri" w:hAnsi="Calibri" w:cs="Calibri"/>
          <w:i/>
          <w:iCs/>
          <w:szCs w:val="24"/>
        </w:rPr>
        <w:t>et al.</w:t>
      </w:r>
      <w:r w:rsidR="00A04256" w:rsidRPr="00A04256">
        <w:rPr>
          <w:rFonts w:ascii="Calibri" w:hAnsi="Calibri" w:cs="Calibri"/>
          <w:szCs w:val="24"/>
        </w:rPr>
        <w:t>, 2011)</w:t>
      </w:r>
      <w:r w:rsidR="00A04256">
        <w:fldChar w:fldCharType="end"/>
      </w:r>
      <w:r>
        <w:t>.</w:t>
      </w:r>
    </w:p>
    <w:p w14:paraId="06053B04" w14:textId="664A14D3" w:rsidR="00317D4C" w:rsidRPr="00317D4C" w:rsidRDefault="00E312FC" w:rsidP="00F62683">
      <w:pPr>
        <w:spacing w:after="240" w:line="360" w:lineRule="auto"/>
        <w:jc w:val="both"/>
      </w:pPr>
      <w:r>
        <w:t>Enfin, la littérature montre que la genèse du ruissellement est dépendante de l'échelle d'observation. Les coefficients de ruissellement observés à l'échelle d'une micro-parcelle d'un mètre carré sont généralement beaucoup plus élevés que ceux mesurés à l'exutoire d'un bassin versant de plusieurs hectares ou kilomètres carrés. Cette diminution (ou effet d'échelle) s'explique par les opportunités de ré-infiltration de l'eau le long des versants, la variabilité micro-topographique, et le rôle tampon des couverts végétaux interceptant l'eau avant qu'elle n'atteigne le réseau hydrographique</w:t>
      </w:r>
      <w:r w:rsidR="00A04256">
        <w:t xml:space="preserve"> </w:t>
      </w:r>
      <w:r w:rsidR="00A04256">
        <w:fldChar w:fldCharType="begin"/>
      </w:r>
      <w:r w:rsidR="00A04256">
        <w:instrText xml:space="preserve"> ADDIN ZOTERO_ITEM CSL_CITATION {"citationID":"VtbuyQWn","properties":{"formattedCitation":"(Le Bissonnais {\\i{}et al.}, 1996)","plainCitation":"(Le Bissonnais et al., 1996)","noteIndex":0},"citationItems":[{"id":472,"uris":["http://zotero.org/users/16716349/items/NTVBXXNU"],"itemData":{"id":472,"type":"article-journal","abstract":"Abstract Water erosion is one of the most active processes in soil formation. It is also at the origin of significant environmental problems. In order to assess the risks and to determine the most sensitive areas, it is necessary to study the influence of soil surface structure and cover management on runoff and sheet erosion. We are also investigating the influence of scale on runoff and erosion measurements from the m2 to small cultivated catchments. The experiment was held in the Pays de Caux (Normandy). The objective was to study and quantify runoff and interrill erosion at various scales. Measurements were done during spring on bare or sowed set-aside fields, and during winter on cereals. Results of runoff and erosion from 1 m2, 20 m2 and 500 m2 experimental plots are compared, as well as results from small catchments. The results allow the identification of the most important factors and mechanisms of runoff and erosion at the various scales. They also permit the development of relationships for spatial extrapolation from 1 m2 and 20 m2 scale to the cultivated field and catchment scales.","container-title":"Géomorphologie : relief, processus, environnement","DOI":"10.3406/morfo.1996.885","issue":"3","language":"fre","license":"free","page":"51-64","publisher":"Groupe Français de Géomorphologie","source":"www.persee.fr","title":"Genèse du ruissellement et de l'érosion diffuse sur sols limoneux : analyse du transfert d'échelle du m2 au bassin versant élémentaire agricole/Runoff and interrill erosion on silty loamy soils: analysis of scale tranfer from m2 to small cultivated catchments","title-short":"Genèse du ruissellement et de l'érosion diffuse sur sols limoneux","volume":"2","author":[{"family":"Le Bissonnais","given":"Yves"},{"family":"Benkhadra","given":"Hassan"},{"family":"Gallien","given":"E."},{"family":"Eimberck","given":"M."},{"family":"Fox","given":"D."},{"family":"Martin","given":"Philippe"},{"family":"Douyer","given":"C."},{"family":"Ligneau","given":"Laurence"},{"family":"Ouvry","given":"Jean-François"}],"issued":{"date-parts":[["1996"]]}}}],"schema":"https://github.com/citation-style-language/schema/raw/master/csl-citation.json"} </w:instrText>
      </w:r>
      <w:r w:rsidR="00A04256">
        <w:fldChar w:fldCharType="separate"/>
      </w:r>
      <w:r w:rsidR="00A04256" w:rsidRPr="00A04256">
        <w:rPr>
          <w:rFonts w:ascii="Calibri" w:hAnsi="Calibri" w:cs="Calibri"/>
          <w:szCs w:val="24"/>
        </w:rPr>
        <w:t xml:space="preserve">(Le Bissonnais </w:t>
      </w:r>
      <w:r w:rsidR="00A04256" w:rsidRPr="00A04256">
        <w:rPr>
          <w:rFonts w:ascii="Calibri" w:hAnsi="Calibri" w:cs="Calibri"/>
          <w:i/>
          <w:iCs/>
          <w:szCs w:val="24"/>
        </w:rPr>
        <w:t>et al.</w:t>
      </w:r>
      <w:r w:rsidR="00A04256" w:rsidRPr="00A04256">
        <w:rPr>
          <w:rFonts w:ascii="Calibri" w:hAnsi="Calibri" w:cs="Calibri"/>
          <w:szCs w:val="24"/>
        </w:rPr>
        <w:t>, 1996)</w:t>
      </w:r>
      <w:r w:rsidR="00A04256">
        <w:fldChar w:fldCharType="end"/>
      </w:r>
      <w:r w:rsidR="00A04256">
        <w:t>.</w:t>
      </w:r>
    </w:p>
    <w:p w14:paraId="32391E2F" w14:textId="2B8F7DFE" w:rsidR="009E4F5D" w:rsidRPr="0062540A" w:rsidRDefault="009E4F5D" w:rsidP="00F62683">
      <w:pPr>
        <w:spacing w:after="240" w:line="360" w:lineRule="auto"/>
        <w:jc w:val="both"/>
        <w:rPr>
          <w:b/>
          <w:bCs/>
          <w:highlight w:val="yellow"/>
        </w:rPr>
      </w:pPr>
      <w:r w:rsidRPr="0062540A">
        <w:rPr>
          <w:b/>
          <w:bCs/>
          <w:highlight w:val="yellow"/>
        </w:rPr>
        <w:t>FUITE</w:t>
      </w:r>
    </w:p>
    <w:p w14:paraId="3AE13EF5" w14:textId="6BDE14AF" w:rsidR="00A712E5" w:rsidRDefault="00A712E5" w:rsidP="00F62683">
      <w:pPr>
        <w:spacing w:after="240" w:line="360" w:lineRule="auto"/>
        <w:jc w:val="both"/>
        <w:rPr>
          <w:b/>
          <w:bCs/>
        </w:rPr>
      </w:pPr>
      <w:r w:rsidRPr="0062540A">
        <w:rPr>
          <w:b/>
          <w:bCs/>
          <w:highlight w:val="yellow"/>
        </w:rPr>
        <w:lastRenderedPageBreak/>
        <w:t>Biblio outil utiliser les grandes idées et tt.</w:t>
      </w:r>
    </w:p>
    <w:p w14:paraId="62B0BCCE" w14:textId="1201EF97" w:rsidR="00A712E5" w:rsidRDefault="00A712E5" w:rsidP="00DC5DFB">
      <w:pPr>
        <w:pStyle w:val="Titre1"/>
        <w:numPr>
          <w:ilvl w:val="0"/>
          <w:numId w:val="12"/>
        </w:numPr>
      </w:pPr>
      <w:bookmarkStart w:id="15" w:name="_Toc228373040"/>
      <w:r>
        <w:t>Méthodologie</w:t>
      </w:r>
      <w:bookmarkEnd w:id="15"/>
    </w:p>
    <w:p w14:paraId="7C92958F" w14:textId="56E799F4" w:rsidR="008144C2" w:rsidRDefault="00BB1723" w:rsidP="00F62683">
      <w:pPr>
        <w:spacing w:after="240" w:line="360" w:lineRule="auto"/>
        <w:jc w:val="both"/>
      </w:pPr>
      <w:r>
        <w:t xml:space="preserve">Le travail a été réalisé en plusieurs étapes, en essayant au maximum de rester fidèle aux dix étapes de modélisation et de pré-modélisation proposées par </w:t>
      </w:r>
      <w:proofErr w:type="spellStart"/>
      <w:r>
        <w:t>Jakeman</w:t>
      </w:r>
      <w:proofErr w:type="spellEnd"/>
      <w:r>
        <w:t xml:space="preserve"> et al. </w:t>
      </w:r>
      <w:r w:rsidR="004C506F">
        <w:fldChar w:fldCharType="begin"/>
      </w:r>
      <w:r w:rsidR="004C506F">
        <w:instrText xml:space="preserve"> ADDIN ZOTERO_ITEM CSL_CITATION {"citationID":"HNQPCCwn","properties":{"formattedCitation":"(Jakeman {\\i{}et al.}, 2006)","plainCitation":"(Jakeman et al., 2006)","noteIndex":0},"citationItems":[{"id":403,"uris":["http://zotero.org/users/16716349/items/BAM38ENW"],"itemData":{"id":403,"type":"article-journal","abstract":"Models are increasingly being relied upon to inform and support natural resource management. They are incorporating an ever broader range of disciplines and now often confront people without strong quantitative or model-building backgrounds. These trends imply a need for wider awareness of what constitutes good model-development practice, including reporting of models to users and sceptical review of models by users. To this end the paper outlines ten basic steps of good, disciplined model practice. The aim is to develop purposeful, credible models from data and prior knowledge, in consort with end-users, with every stage open to critical review and revision. Best practice entails identifying clearly the clients and objectives of the modelling exercise; documenting the nature (quantity, quality, limitations) of the data used to construct and test the model; providing a strong rationale for the choice of model family and features (encompassing review of alternative approaches); justifying the techniques used to calibrate the model; serious analysis, testing and discussion of model performance; and making a resultant statement of model assumptions, utility, accuracy, limitations, and scope for improvement. In natural resource management applications, these steps will be a learning process, even a partnership, between model developers, clients and other interested parties.","container-title":"Environmental Modelling &amp; Software","DOI":"10.1016/j.envsoft.2006.01.004","ISSN":"13648152","issue":"5","journalAbbreviation":"Environmental Modelling &amp; Software","language":"en","license":"https://www.elsevier.com/tdm/userlicense/1.0/","page":"602-614","source":"DOI.org (Crossref)","title":"Ten iterative steps in development and evaluation of environmental models","volume":"21","author":[{"family":"Jakeman","given":"A.J."},{"family":"Letcher","given":"R.A."},{"family":"Norton","given":"J.P."}],"issued":{"date-parts":[["2006",5]]}}}],"schema":"https://github.com/citation-style-language/schema/raw/master/csl-citation.json"} </w:instrText>
      </w:r>
      <w:r w:rsidR="004C506F">
        <w:fldChar w:fldCharType="separate"/>
      </w:r>
      <w:r w:rsidR="00E312FC" w:rsidRPr="00E312FC">
        <w:rPr>
          <w:rFonts w:ascii="Calibri" w:hAnsi="Calibri" w:cs="Calibri"/>
          <w:szCs w:val="24"/>
        </w:rPr>
        <w:t xml:space="preserve">(Jakeman </w:t>
      </w:r>
      <w:r w:rsidR="00E312FC" w:rsidRPr="00E312FC">
        <w:rPr>
          <w:rFonts w:ascii="Calibri" w:hAnsi="Calibri" w:cs="Calibri"/>
          <w:i/>
          <w:iCs/>
          <w:szCs w:val="24"/>
        </w:rPr>
        <w:t>et al.</w:t>
      </w:r>
      <w:r w:rsidR="00E312FC" w:rsidRPr="00E312FC">
        <w:rPr>
          <w:rFonts w:ascii="Calibri" w:hAnsi="Calibri" w:cs="Calibri"/>
          <w:szCs w:val="24"/>
        </w:rPr>
        <w:t>, 2006)</w:t>
      </w:r>
      <w:r w:rsidR="004C506F">
        <w:fldChar w:fldCharType="end"/>
      </w:r>
      <w:r>
        <w:t>. Le projet reste encadré par le projet LIFE Dombes par conséquent, plusieurs notions clés avaient déjà été discutées et décidées en amont avant le début du travail réalisé.</w:t>
      </w:r>
    </w:p>
    <w:p w14:paraId="7EBE4AAC" w14:textId="2E5BFCF5" w:rsidR="008144C2" w:rsidRDefault="008144C2" w:rsidP="00DC5DFB">
      <w:pPr>
        <w:pStyle w:val="Titre2"/>
        <w:numPr>
          <w:ilvl w:val="1"/>
          <w:numId w:val="12"/>
        </w:numPr>
      </w:pPr>
      <w:bookmarkStart w:id="16" w:name="_Toc228373041"/>
      <w:r>
        <w:t>Approche méthodologique générale</w:t>
      </w:r>
      <w:bookmarkEnd w:id="16"/>
    </w:p>
    <w:p w14:paraId="70F5CAE2" w14:textId="77777777" w:rsidR="008144C2" w:rsidRDefault="008144C2" w:rsidP="00F62683">
      <w:pPr>
        <w:spacing w:after="240" w:line="360" w:lineRule="auto"/>
        <w:jc w:val="both"/>
      </w:pPr>
      <w:r>
        <w:t>L'application de cette méthodologie s'organise autour de deux grandes phases de travail :</w:t>
      </w:r>
    </w:p>
    <w:p w14:paraId="4D2DE249" w14:textId="7AF83DEF" w:rsidR="008144C2" w:rsidRDefault="004F4621" w:rsidP="00F62683">
      <w:pPr>
        <w:pStyle w:val="Paragraphedeliste"/>
        <w:numPr>
          <w:ilvl w:val="0"/>
          <w:numId w:val="9"/>
        </w:numPr>
        <w:spacing w:after="240" w:line="360" w:lineRule="auto"/>
        <w:jc w:val="both"/>
      </w:pPr>
      <w:r>
        <w:t>Une</w:t>
      </w:r>
      <w:r w:rsidR="008144C2">
        <w:t xml:space="preserve"> première phase </w:t>
      </w:r>
      <w:r>
        <w:t xml:space="preserve">qui </w:t>
      </w:r>
      <w:r w:rsidR="008144C2">
        <w:t xml:space="preserve">correspond aux étapes </w:t>
      </w:r>
      <w:r w:rsidR="00B34E54">
        <w:t xml:space="preserve">qui fonde notre </w:t>
      </w:r>
      <w:r w:rsidR="008144C2">
        <w:t>modélisation</w:t>
      </w:r>
      <w:r>
        <w:t xml:space="preserve"> (Préparation, récupération des données et structuration)</w:t>
      </w:r>
      <w:r w:rsidR="008144C2">
        <w:t>. Elle comprend la clarification des objectifs du projet, la délimitation de la portée (échelle spatiale et temporelle), la récupération exhaustive des données disponibles, et la structuration d'une base de données robuste. Un accent particulier est mis sur le développement de méthodologies reproductibles et durables</w:t>
      </w:r>
      <w:r w:rsidR="00B34E54">
        <w:t xml:space="preserve">, la plus simple à refaire (automatisation de la plupart des </w:t>
      </w:r>
      <w:r w:rsidR="00B34E54">
        <w:rPr>
          <w:rStyle w:val="hgkelc"/>
        </w:rPr>
        <w:t>processus</w:t>
      </w:r>
      <w:r w:rsidR="00B34E54">
        <w:t>)</w:t>
      </w:r>
      <w:r w:rsidR="008144C2">
        <w:t xml:space="preserve">, car ce travail constitue le point de départ d'une approche qui se poursuivra sur sept ans à travers différentes zones d'étude du bassin versant dombiste. Cette reproductibilité est </w:t>
      </w:r>
      <w:r w:rsidR="00B34E54">
        <w:t>importante</w:t>
      </w:r>
      <w:r w:rsidR="008144C2">
        <w:t xml:space="preserve"> pour assurer la cohérence et la fiabilité des suivis futurs, ainsi que pour permettre un partage transparent des protocoles entre tous les acteurs du projet LIFE.</w:t>
      </w:r>
    </w:p>
    <w:p w14:paraId="1AC2CB02" w14:textId="5A2DA4F2" w:rsidR="00B34E54" w:rsidRDefault="004F4621" w:rsidP="00F62683">
      <w:pPr>
        <w:pStyle w:val="Paragraphedeliste"/>
        <w:numPr>
          <w:ilvl w:val="0"/>
          <w:numId w:val="9"/>
        </w:numPr>
        <w:spacing w:after="240" w:line="360" w:lineRule="auto"/>
        <w:jc w:val="both"/>
      </w:pPr>
      <w:r>
        <w:t>Une</w:t>
      </w:r>
      <w:r w:rsidR="008144C2">
        <w:t xml:space="preserve"> deuxième phase</w:t>
      </w:r>
      <w:r>
        <w:t xml:space="preserve"> qui</w:t>
      </w:r>
      <w:r w:rsidR="008144C2">
        <w:t xml:space="preserve"> vise à traduire l'ensemble des connaissances préparées en amont en un outil de simulation robuste. Elle s'articule autour de quatre axes complémentaires : la conceptualisation du fonctionnement hydraulique des chaînes d'étangs, la formalisation de l'équation de bilan hydrique</w:t>
      </w:r>
      <w:r w:rsidR="00B34E54">
        <w:t xml:space="preserve"> (présenter dans l’état de l’art)</w:t>
      </w:r>
      <w:r w:rsidR="008144C2">
        <w:t>, la calibration du modèle et les tests diagnostiques, et enfin l'évaluation globale de son adéquation aux objectifs. Le résultat attendu est un modélisateur opérationnel capable de simuler les flux d'eau quotidiens à l'échelle de la chaîne d'étangs, en intégrant les règles de gestion collectives (cycles d'assec, vidanges, débordements), et de produire des indicateurs de vulnérabilité climatique pour les horizons temporels pertinents (2050).</w:t>
      </w:r>
    </w:p>
    <w:p w14:paraId="5E5A80C2" w14:textId="510A6C3D" w:rsidR="00E97FD0" w:rsidRDefault="004F4621" w:rsidP="00F62683">
      <w:pPr>
        <w:spacing w:after="240" w:line="360" w:lineRule="auto"/>
        <w:jc w:val="both"/>
      </w:pPr>
      <w:r>
        <w:t>Ces deux phases se subdivise en plusieurs sous partie qu’on développera.</w:t>
      </w:r>
    </w:p>
    <w:p w14:paraId="492E3F10" w14:textId="7A3FDB38" w:rsidR="00B34E54" w:rsidRDefault="00B34E54" w:rsidP="00DC5DFB">
      <w:pPr>
        <w:pStyle w:val="Titre2"/>
        <w:numPr>
          <w:ilvl w:val="1"/>
          <w:numId w:val="12"/>
        </w:numPr>
      </w:pPr>
      <w:bookmarkStart w:id="17" w:name="_Toc228373042"/>
      <w:r w:rsidRPr="00B34E54">
        <w:t>Préparation, récupération des données et structuration</w:t>
      </w:r>
      <w:bookmarkEnd w:id="17"/>
    </w:p>
    <w:p w14:paraId="6F6E76D9" w14:textId="1751A7FF" w:rsidR="00B34E54" w:rsidRDefault="00B34E54" w:rsidP="00DC5DFB">
      <w:pPr>
        <w:pStyle w:val="Titre3"/>
        <w:numPr>
          <w:ilvl w:val="2"/>
          <w:numId w:val="12"/>
        </w:numPr>
      </w:pPr>
      <w:bookmarkStart w:id="18" w:name="_Toc228373043"/>
      <w:r>
        <w:lastRenderedPageBreak/>
        <w:t>Zone d'étude et délimitation spatiale</w:t>
      </w:r>
      <w:bookmarkEnd w:id="18"/>
    </w:p>
    <w:p w14:paraId="44153BB2" w14:textId="2D17F7BC" w:rsidR="000270A9" w:rsidRDefault="000270A9" w:rsidP="00F62683">
      <w:pPr>
        <w:spacing w:after="240" w:line="360" w:lineRule="auto"/>
        <w:jc w:val="both"/>
      </w:pPr>
      <w:r>
        <w:t xml:space="preserve">La zone d'étude a été prédéfinie dans le cadre du projet LIFE Dombes. Comme présenté précédemment, le travail se situe à l'échelle de </w:t>
      </w:r>
      <w:r w:rsidR="002A19D7">
        <w:t>c</w:t>
      </w:r>
      <w:r>
        <w:t>haîne d'étangs, unité spatiale fondamentale pour cette étude. Une chaîne d'étangs désigne un ensemble d'étangs interconnectés par des liens hydrologiques directs, où chaque retenue dépend des apports en eau des étangs situés en et contrôle les disponibilités hydriques des étangs en aval.</w:t>
      </w:r>
    </w:p>
    <w:p w14:paraId="7D9FF619" w14:textId="0B87B8E6" w:rsidR="000270A9" w:rsidRDefault="000270A9" w:rsidP="00F62683">
      <w:pPr>
        <w:spacing w:after="240" w:line="360" w:lineRule="auto"/>
        <w:jc w:val="both"/>
      </w:pPr>
      <w:r>
        <w:t xml:space="preserve">Ces chaînes d'étangs se répartissent dans la Dombes selon deux bassins versants principaux : celui de la rivière Chalaronne et celui de la Veyle. En totalité, le </w:t>
      </w:r>
      <w:r w:rsidR="002A19D7">
        <w:t>projet life</w:t>
      </w:r>
      <w:r>
        <w:t xml:space="preserve"> compte 23 chaînes d'étangs distinctes</w:t>
      </w:r>
      <w:r w:rsidR="002A19D7">
        <w:t xml:space="preserve"> </w:t>
      </w:r>
      <w:r>
        <w:t xml:space="preserve">à cartographier et à caractériser. </w:t>
      </w:r>
    </w:p>
    <w:p w14:paraId="43FEC581" w14:textId="3723BC9F" w:rsidR="000270A9" w:rsidRDefault="002A19D7" w:rsidP="00F62683">
      <w:pPr>
        <w:spacing w:after="240" w:line="360" w:lineRule="auto"/>
        <w:jc w:val="both"/>
      </w:pPr>
      <w:r w:rsidRPr="002A19D7">
        <w:t xml:space="preserve">Pour le développement du modélisateur, le travail se concentre en premier lieu sur deux chaînes de référence : la chaîne 2 (Chalamont) et la chaîne </w:t>
      </w:r>
      <w:r w:rsidR="00ED29A3">
        <w:t>23</w:t>
      </w:r>
      <w:r w:rsidRPr="002A19D7">
        <w:t xml:space="preserve"> (Joyeux). Ces deux chaînes ont été sélectionnées car elles disposent d'un suivi hydrologique sur quatre ans</w:t>
      </w:r>
      <w:r w:rsidR="00AC4704">
        <w:t xml:space="preserve"> grâce à un projet PSE (Paiements pour Services Environnementaux) déjà mise en </w:t>
      </w:r>
      <w:r w:rsidR="00ED29A3">
        <w:t>place, ces</w:t>
      </w:r>
      <w:r w:rsidRPr="002A19D7">
        <w:t xml:space="preserve"> données </w:t>
      </w:r>
      <w:r w:rsidR="00AC4704">
        <w:t xml:space="preserve">sont </w:t>
      </w:r>
      <w:r w:rsidRPr="002A19D7">
        <w:t>essentielles pour la calibration robuste du modèle. L'objectif est d'affiner progressivement l'outil de modélisation sur des systèmes où la majorité des variables et règles de gestion sont bien documentées et maîtrisées</w:t>
      </w:r>
      <w:r>
        <w:t>. Ce suivi inclut des mesures de niveaux d'eau, des enregistrements de gestion (dates et volumes de vidange, cycles d'assec), et des données météorologiques locales</w:t>
      </w:r>
      <w:r w:rsidR="00AC0876">
        <w:t xml:space="preserve"> avec des station météo mise localement</w:t>
      </w:r>
      <w:r>
        <w:t>. Ces données sont indispensables pour la calibration rigoureuse du modèle de bilan hydrique, phase critique durant laquelle les paramètres du simulateur sont ajustés pour reproduire au mieux les observations réelles</w:t>
      </w:r>
      <w:r w:rsidR="004C506F">
        <w:fldChar w:fldCharType="begin"/>
      </w:r>
      <w:r w:rsidR="004C506F">
        <w:instrText xml:space="preserve"> ADDIN ZOTERO_ITEM CSL_CITATION {"citationID":"DfaHlRzL","properties":{"formattedCitation":"(Jakeman {\\i{}et al.}, 2006)","plainCitation":"(Jakeman et al., 2006)","noteIndex":0},"citationItems":[{"id":403,"uris":["http://zotero.org/users/16716349/items/BAM38ENW"],"itemData":{"id":403,"type":"article-journal","abstract":"Models are increasingly being relied upon to inform and support natural resource management. They are incorporating an ever broader range of disciplines and now often confront people without strong quantitative or model-building backgrounds. These trends imply a need for wider awareness of what constitutes good model-development practice, including reporting of models to users and sceptical review of models by users. To this end the paper outlines ten basic steps of good, disciplined model practice. The aim is to develop purposeful, credible models from data and prior knowledge, in consort with end-users, with every stage open to critical review and revision. Best practice entails identifying clearly the clients and objectives of the modelling exercise; documenting the nature (quantity, quality, limitations) of the data used to construct and test the model; providing a strong rationale for the choice of model family and features (encompassing review of alternative approaches); justifying the techniques used to calibrate the model; serious analysis, testing and discussion of model performance; and making a resultant statement of model assumptions, utility, accuracy, limitations, and scope for improvement. In natural resource management applications, these steps will be a learning process, even a partnership, between model developers, clients and other interested parties.","container-title":"Environmental Modelling &amp; Software","DOI":"10.1016/j.envsoft.2006.01.004","ISSN":"13648152","issue":"5","journalAbbreviation":"Environmental Modelling &amp; Software","language":"en","license":"https://www.elsevier.com/tdm/userlicense/1.0/","page":"602-614","source":"DOI.org (Crossref)","title":"Ten iterative steps in development and evaluation of environmental models","volume":"21","author":[{"family":"Jakeman","given":"A.J."},{"family":"Letcher","given":"R.A."},{"family":"Norton","given":"J.P."}],"issued":{"date-parts":[["2006",5]]}}}],"schema":"https://github.com/citation-style-language/schema/raw/master/csl-citation.json"} </w:instrText>
      </w:r>
      <w:r w:rsidR="004C506F">
        <w:fldChar w:fldCharType="separate"/>
      </w:r>
      <w:r w:rsidR="004C506F" w:rsidRPr="004C506F">
        <w:rPr>
          <w:rFonts w:ascii="Calibri" w:hAnsi="Calibri" w:cs="Calibri"/>
          <w:szCs w:val="24"/>
        </w:rPr>
        <w:t xml:space="preserve">(Jakeman </w:t>
      </w:r>
      <w:r w:rsidR="004C506F" w:rsidRPr="004C506F">
        <w:rPr>
          <w:rFonts w:ascii="Calibri" w:hAnsi="Calibri" w:cs="Calibri"/>
          <w:i/>
          <w:iCs/>
          <w:szCs w:val="24"/>
        </w:rPr>
        <w:t>et al.</w:t>
      </w:r>
      <w:r w:rsidR="004C506F" w:rsidRPr="004C506F">
        <w:rPr>
          <w:rFonts w:ascii="Calibri" w:hAnsi="Calibri" w:cs="Calibri"/>
          <w:szCs w:val="24"/>
        </w:rPr>
        <w:t>, 2006)</w:t>
      </w:r>
      <w:r w:rsidR="004C506F">
        <w:fldChar w:fldCharType="end"/>
      </w:r>
      <w:r>
        <w:t>.</w:t>
      </w:r>
    </w:p>
    <w:p w14:paraId="69DD4ED0" w14:textId="238B2F1D" w:rsidR="000270A9" w:rsidRDefault="000270A9" w:rsidP="00F62683">
      <w:pPr>
        <w:spacing w:after="240" w:line="360" w:lineRule="auto"/>
        <w:jc w:val="both"/>
      </w:pPr>
      <w:r>
        <w:t>L'objectif de cette première étape est donc de produire un modélisateur sur des systèmes où l'incertitude liée aux données manquantes est réduite au minimum. Cela permet d'identifier les mécanismes hydrauliques clés, de tester la cohérence interne du modèle, et d'assurer que les écarts entre simulations et observations sont liés à des phénomènes physiques mal représentés plutôt qu'à des lacunes de données.</w:t>
      </w:r>
    </w:p>
    <w:p w14:paraId="38F69AF1" w14:textId="5F912FA0" w:rsidR="000270A9" w:rsidRDefault="000270A9" w:rsidP="00F62683">
      <w:pPr>
        <w:spacing w:after="240" w:line="360" w:lineRule="auto"/>
        <w:jc w:val="both"/>
      </w:pPr>
      <w:r>
        <w:t xml:space="preserve">En parallèle de la calibration sur les chaînes </w:t>
      </w:r>
      <w:r w:rsidR="00ED29A3">
        <w:t>de Chalamont</w:t>
      </w:r>
      <w:r>
        <w:t xml:space="preserve"> et </w:t>
      </w:r>
      <w:r w:rsidR="00ED29A3">
        <w:t>Joyeux</w:t>
      </w:r>
      <w:r>
        <w:t xml:space="preserve">, deux chaînes supplémentaires sont traitées dès la phase </w:t>
      </w:r>
      <w:r w:rsidR="00AC0876">
        <w:t>initiale,</w:t>
      </w:r>
      <w:r>
        <w:t xml:space="preserve"> l</w:t>
      </w:r>
      <w:r w:rsidR="00ED29A3">
        <w:t>es</w:t>
      </w:r>
      <w:r>
        <w:t xml:space="preserve"> chaîne</w:t>
      </w:r>
      <w:r w:rsidR="00ED29A3">
        <w:t>s</w:t>
      </w:r>
      <w:r>
        <w:t xml:space="preserve"> 1 et 19. Ces deux cas présentent un profil radicalement différen</w:t>
      </w:r>
      <w:r w:rsidR="002A19D7">
        <w:t>t</w:t>
      </w:r>
      <w:r w:rsidR="00ED29A3">
        <w:t>,</w:t>
      </w:r>
      <w:r w:rsidR="002A19D7">
        <w:t xml:space="preserve"> ces </w:t>
      </w:r>
      <w:r w:rsidR="00AC0876">
        <w:t>deux chaines</w:t>
      </w:r>
      <w:r w:rsidR="002A19D7">
        <w:t xml:space="preserve"> ne sont pas </w:t>
      </w:r>
      <w:r w:rsidR="00ED29A3">
        <w:t>suivies</w:t>
      </w:r>
      <w:r w:rsidR="002A19D7">
        <w:t xml:space="preserve"> avec </w:t>
      </w:r>
      <w:r w:rsidR="00AC0876">
        <w:t>des capteurs</w:t>
      </w:r>
      <w:r w:rsidR="002A19D7">
        <w:t xml:space="preserve"> et donc </w:t>
      </w:r>
      <w:r w:rsidR="00AC0876">
        <w:t>on n’a pas</w:t>
      </w:r>
      <w:r w:rsidR="002A19D7">
        <w:t xml:space="preserve"> </w:t>
      </w:r>
      <w:r w:rsidR="00AC0876">
        <w:t xml:space="preserve">toute </w:t>
      </w:r>
      <w:r w:rsidR="002A19D7">
        <w:t>la donner réelle. Et donc e</w:t>
      </w:r>
      <w:r>
        <w:t>lles servent de leviers de test pour évaluer la robustesse et la généralisation du modèle</w:t>
      </w:r>
      <w:r w:rsidR="002A19D7">
        <w:t xml:space="preserve"> face aux incertitudes réelles et pour identifier les paramètres sensibles qui pourraient être biaisés par une calibration trop ajustée sur les chaînes mieux connues. Cette approche évite une sur-adaptation </w:t>
      </w:r>
      <w:r w:rsidR="002A19D7">
        <w:lastRenderedPageBreak/>
        <w:t>du modèle aux spécificités des deux premières chaînes, qui pourrait réduire sa capacité de généralisation aux 19 autres chaînes non encore modélisées.</w:t>
      </w:r>
    </w:p>
    <w:p w14:paraId="7BD26893" w14:textId="6C82BA5C" w:rsidR="00B34E54" w:rsidRDefault="00B34E54" w:rsidP="00DC5DFB">
      <w:pPr>
        <w:pStyle w:val="Titre3"/>
        <w:numPr>
          <w:ilvl w:val="2"/>
          <w:numId w:val="12"/>
        </w:numPr>
      </w:pPr>
      <w:bookmarkStart w:id="19" w:name="_Toc228373044"/>
      <w:r>
        <w:t>Données et sources</w:t>
      </w:r>
      <w:bookmarkEnd w:id="19"/>
    </w:p>
    <w:p w14:paraId="1DC08FE4" w14:textId="6A394A30" w:rsidR="00245BFF" w:rsidRDefault="00245BFF" w:rsidP="00F62683">
      <w:pPr>
        <w:spacing w:after="240" w:line="360" w:lineRule="auto"/>
        <w:jc w:val="both"/>
      </w:pPr>
      <w:r>
        <w:t>Suite au cadrage de la zone d’étude, la première étape a consisté à mettre en place une méthodologie rigoureuse d’acquisition et de prétraitement des données avant leur intégration dans le simulateur.</w:t>
      </w:r>
    </w:p>
    <w:p w14:paraId="1AC3B6D0" w14:textId="25C05D4E" w:rsidR="00245BFF" w:rsidRDefault="00245BFF" w:rsidP="00F62683">
      <w:pPr>
        <w:spacing w:after="240" w:line="360" w:lineRule="auto"/>
        <w:jc w:val="both"/>
      </w:pPr>
      <w:r>
        <w:t xml:space="preserve">Afin d'affiner les contours de bassins versants globaux fournis initialement par le projet LIFE, une analyse automatisée a été développée sous </w:t>
      </w:r>
      <w:r w:rsidR="00D33529">
        <w:t>R</w:t>
      </w:r>
      <w:r w:rsidR="00D80EA3">
        <w:t xml:space="preserve"> </w:t>
      </w:r>
      <w:r w:rsidR="00D33529">
        <w:t>(</w:t>
      </w:r>
      <w:r w:rsidR="00D80EA3">
        <w:t>R 4.5.2</w:t>
      </w:r>
      <w:r w:rsidR="00D33529">
        <w:t>)</w:t>
      </w:r>
      <w:r>
        <w:t xml:space="preserve">. En utilisant une suite d'outils géospatiaux (GRASS GIS via les fonctions </w:t>
      </w:r>
      <w:proofErr w:type="spellStart"/>
      <w:proofErr w:type="gramStart"/>
      <w:r>
        <w:t>r.watershed</w:t>
      </w:r>
      <w:proofErr w:type="spellEnd"/>
      <w:proofErr w:type="gramEnd"/>
      <w:r>
        <w:t xml:space="preserve"> et </w:t>
      </w:r>
      <w:proofErr w:type="spellStart"/>
      <w:r>
        <w:t>r.water.outlet</w:t>
      </w:r>
      <w:proofErr w:type="spellEnd"/>
      <w:r>
        <w:t xml:space="preserve">), nous avons pu délimiter les bassins versants spécifiques à chaque étang et à chaque chaîne. Ce travail de modélisation a été couplé à des prospections de terrain et des entretiens avec les gestionnaires (réalisés avec l'appui d'étudiants) pour localiser précisément les ouvrages hydrauliques. L'utilisation des données </w:t>
      </w:r>
      <w:proofErr w:type="spellStart"/>
      <w:r>
        <w:t>LiDAR</w:t>
      </w:r>
      <w:proofErr w:type="spellEnd"/>
      <w:r>
        <w:t xml:space="preserve"> (résolution 50 cm) a permis d'atteindre une précision topographique indispensable pour identifier les </w:t>
      </w:r>
      <w:proofErr w:type="spellStart"/>
      <w:r>
        <w:t>micro-reliefs</w:t>
      </w:r>
      <w:proofErr w:type="spellEnd"/>
      <w:r>
        <w:t>.</w:t>
      </w:r>
    </w:p>
    <w:p w14:paraId="15639A8F" w14:textId="203081F9" w:rsidR="00245BFF" w:rsidRDefault="00245BFF" w:rsidP="00F62683">
      <w:pPr>
        <w:spacing w:after="240" w:line="360" w:lineRule="auto"/>
        <w:jc w:val="both"/>
      </w:pPr>
      <w:r>
        <w:t xml:space="preserve">En parallèle, des informations sur les pratiques de gestion ont été collectées auprès des propriétaires et exploitants. Ces données concernent principalement les calendriers d'assec, de pêche et d'évolage de chaque étang. L'ensemble de ces variables a été consigné dans des tables attributaires liées spatialement aux chaînes d’étangs, permettant ainsi au simulateur d'intégrer les cycles humains dans le bilan hydrique. Toute donner d’assec manquante a était corriger grâce </w:t>
      </w:r>
      <w:proofErr w:type="spellStart"/>
      <w:r>
        <w:t>a</w:t>
      </w:r>
      <w:proofErr w:type="spellEnd"/>
      <w:r>
        <w:t xml:space="preserve"> des photos satellites.</w:t>
      </w:r>
    </w:p>
    <w:p w14:paraId="1CA845A0" w14:textId="353789AD" w:rsidR="00245BFF" w:rsidRPr="00F203C5" w:rsidRDefault="00245BFF" w:rsidP="00F62683">
      <w:pPr>
        <w:spacing w:after="240" w:line="360" w:lineRule="auto"/>
        <w:jc w:val="both"/>
      </w:pPr>
      <w:r>
        <w:t xml:space="preserve">La connaissance précise des volumes d'eau stockés est fondamentale pour tester la sensibilité du modèle. Pour éviter de se baser uniquement sur des volumes moyens théoriques qui pourraient biaiser les résultats, des campagnes de bathymétrie ont été menées dans le cadre </w:t>
      </w:r>
      <w:r w:rsidR="00AC4704">
        <w:t>du</w:t>
      </w:r>
      <w:r>
        <w:t xml:space="preserve"> projet PSE</w:t>
      </w:r>
      <w:r w:rsidR="00AC4704">
        <w:t xml:space="preserve">. </w:t>
      </w:r>
      <w:r>
        <w:t xml:space="preserve">Des relevés de profondeur ont été effectués sur le terrain sur les chaînes de Joyeux et Chalamont, puis traités via QGIS et </w:t>
      </w:r>
      <w:proofErr w:type="spellStart"/>
      <w:r>
        <w:t>RStudio</w:t>
      </w:r>
      <w:proofErr w:type="spellEnd"/>
      <w:r>
        <w:t>. Ces analyses ont permis de générer des courbes de volume et de déterminer la capacité réelle des étangs, offrant ainsi une base solide pour valider la robustesse du simulateur face à la variabilité morphologique des plans d'eau.</w:t>
      </w:r>
    </w:p>
    <w:p w14:paraId="0348C1E9" w14:textId="4D3FE8E5" w:rsidR="00B34E54" w:rsidRPr="0062540A" w:rsidRDefault="00B34E54" w:rsidP="00DC5DFB">
      <w:pPr>
        <w:pStyle w:val="Titre3"/>
        <w:numPr>
          <w:ilvl w:val="2"/>
          <w:numId w:val="12"/>
        </w:numPr>
      </w:pPr>
      <w:bookmarkStart w:id="20" w:name="_Toc228373045"/>
      <w:r w:rsidRPr="0062540A">
        <w:t xml:space="preserve">Base de données et structure </w:t>
      </w:r>
      <w:proofErr w:type="spellStart"/>
      <w:r w:rsidRPr="0062540A">
        <w:t>GeoPackage</w:t>
      </w:r>
      <w:proofErr w:type="spellEnd"/>
      <w:r w:rsidRPr="0062540A">
        <w:t xml:space="preserve"> </w:t>
      </w:r>
      <w:r w:rsidR="005E2382" w:rsidRPr="0062540A">
        <w:t>(GPKG)</w:t>
      </w:r>
      <w:bookmarkEnd w:id="20"/>
    </w:p>
    <w:p w14:paraId="7CA2A130" w14:textId="73B1E678" w:rsidR="005E2382" w:rsidRDefault="005E2382" w:rsidP="00F62683">
      <w:pPr>
        <w:spacing w:after="240" w:line="360" w:lineRule="auto"/>
        <w:jc w:val="both"/>
      </w:pPr>
      <w:r w:rsidRPr="0062540A">
        <w:t xml:space="preserve">Suite </w:t>
      </w:r>
      <w:proofErr w:type="spellStart"/>
      <w:r w:rsidRPr="0062540A">
        <w:t>a</w:t>
      </w:r>
      <w:proofErr w:type="spellEnd"/>
      <w:r w:rsidRPr="0062540A">
        <w:t xml:space="preserve"> la récupération de ces donner tout est stocker sous des </w:t>
      </w:r>
      <w:proofErr w:type="spellStart"/>
      <w:r w:rsidRPr="0062540A">
        <w:t>GeoPackage</w:t>
      </w:r>
      <w:proofErr w:type="spellEnd"/>
      <w:r w:rsidRPr="0062540A">
        <w:t xml:space="preserve"> (GPKG) ces qui facilite la transmission des </w:t>
      </w:r>
      <w:r w:rsidR="00F854DC" w:rsidRPr="0062540A">
        <w:t>données</w:t>
      </w:r>
      <w:r w:rsidRPr="0062540A">
        <w:t xml:space="preserve"> entre les diffèrent partenaire du projet.</w:t>
      </w:r>
    </w:p>
    <w:p w14:paraId="06D022E7" w14:textId="0AB87E3C" w:rsidR="00B34E54" w:rsidRDefault="00B34E54" w:rsidP="00DC5DFB">
      <w:pPr>
        <w:pStyle w:val="Titre2"/>
        <w:numPr>
          <w:ilvl w:val="1"/>
          <w:numId w:val="12"/>
        </w:numPr>
        <w:rPr>
          <w:rStyle w:val="Titre4Car"/>
          <w:b/>
          <w:iCs w:val="0"/>
        </w:rPr>
      </w:pPr>
      <w:bookmarkStart w:id="21" w:name="_Toc228373046"/>
      <w:r w:rsidRPr="007328B8">
        <w:rPr>
          <w:rStyle w:val="Titre4Car"/>
          <w:rFonts w:cs="Times New Roman"/>
          <w:b/>
          <w:iCs w:val="0"/>
          <w:color w:val="auto"/>
        </w:rPr>
        <w:t>Développement du modélisateur de bilan hydrique</w:t>
      </w:r>
      <w:bookmarkEnd w:id="21"/>
    </w:p>
    <w:p w14:paraId="7FB99CF1" w14:textId="19989BC7" w:rsidR="00282D6F" w:rsidRPr="00282D6F" w:rsidRDefault="00B76239" w:rsidP="00B76239">
      <w:pPr>
        <w:pStyle w:val="Titre3"/>
        <w:numPr>
          <w:ilvl w:val="2"/>
          <w:numId w:val="12"/>
        </w:numPr>
      </w:pPr>
      <w:bookmarkStart w:id="22" w:name="_Toc228373047"/>
      <w:r>
        <w:t>Choix des</w:t>
      </w:r>
      <w:r w:rsidR="005E2382">
        <w:t xml:space="preserve"> variables du modèle</w:t>
      </w:r>
      <w:bookmarkEnd w:id="22"/>
      <w:r w:rsidR="00B34E54">
        <w:t xml:space="preserve"> </w:t>
      </w:r>
    </w:p>
    <w:p w14:paraId="5BCFE732" w14:textId="3DBFBCC5" w:rsidR="00012DB1" w:rsidRPr="00282D6F" w:rsidRDefault="00012DB1" w:rsidP="00F62683">
      <w:pPr>
        <w:spacing w:after="240" w:line="360" w:lineRule="auto"/>
      </w:pPr>
      <w:r w:rsidRPr="00282D6F">
        <w:t>Comme détaillé dans l'état de l'art, le simulateur repose sur l'équation appliquée à chaque étang, calculée à un pas de temps journalier :</w:t>
      </w:r>
    </w:p>
    <w:p w14:paraId="096499B1" w14:textId="77777777" w:rsidR="00012DB1" w:rsidRPr="00CB72CF" w:rsidRDefault="00012DB1" w:rsidP="00F62683">
      <w:pPr>
        <w:spacing w:after="240" w:line="360" w:lineRule="auto"/>
        <w:jc w:val="center"/>
        <w:rPr>
          <w:sz w:val="24"/>
          <w:szCs w:val="24"/>
        </w:rPr>
      </w:pPr>
      <w:r w:rsidRPr="00CB72CF">
        <w:rPr>
          <w:sz w:val="24"/>
          <w:szCs w:val="24"/>
        </w:rPr>
        <w:lastRenderedPageBreak/>
        <w:t>V (t) = V(t-1) + P (t) + R (t) + A (t) – E (t) – D (t)</w:t>
      </w:r>
    </w:p>
    <w:p w14:paraId="6FF723B0" w14:textId="0D1511EE" w:rsidR="00012DB1" w:rsidRPr="00012DB1" w:rsidRDefault="00012DB1" w:rsidP="00F62683">
      <w:pPr>
        <w:spacing w:after="240" w:line="360" w:lineRule="auto"/>
        <w:jc w:val="both"/>
        <w:rPr>
          <w:sz w:val="24"/>
          <w:szCs w:val="24"/>
        </w:rPr>
      </w:pPr>
      <w:r w:rsidRPr="00012DB1">
        <w:rPr>
          <w:sz w:val="24"/>
          <w:szCs w:val="24"/>
        </w:rPr>
        <w:t>L'un des défis majeurs du développement a été de sélectionner les forçages et les variables les plus adaptés à une modélisation systémique des chaînes d'étangs.</w:t>
      </w:r>
    </w:p>
    <w:p w14:paraId="3784F1B2" w14:textId="77777777" w:rsidR="00012DB1" w:rsidRDefault="00012DB1" w:rsidP="00F62683">
      <w:pPr>
        <w:spacing w:after="240" w:line="360" w:lineRule="auto"/>
        <w:jc w:val="both"/>
        <w:rPr>
          <w:sz w:val="24"/>
          <w:szCs w:val="24"/>
        </w:rPr>
      </w:pPr>
      <w:r w:rsidRPr="00012DB1">
        <w:rPr>
          <w:rStyle w:val="Titre4Car"/>
        </w:rPr>
        <w:t>Précipitations (P) :</w:t>
      </w:r>
      <w:r w:rsidRPr="00012DB1">
        <w:rPr>
          <w:sz w:val="24"/>
          <w:szCs w:val="24"/>
        </w:rPr>
        <w:t xml:space="preserve"> Bien que des stations locales soient disponibles, les données SAFRAN ont été privilégiées pour la généralisation du modèle à l'ensemble des bassins versants. Ce choix garantit une continuité temporelle et spatiale indispensable pour les projections à long terme. Néanmoins, les données météo locales récoltées sur le terrain servent de base pour la phase de calibration, permettant d'affiner la réponse du modèle (notamment le ruissellement) lors d'événements spécifiques.</w:t>
      </w:r>
    </w:p>
    <w:p w14:paraId="66CCE8AA" w14:textId="73A5B7B1" w:rsidR="00012DB1" w:rsidRPr="00012DB1" w:rsidRDefault="00012DB1" w:rsidP="00F62683">
      <w:pPr>
        <w:spacing w:after="240" w:line="360" w:lineRule="auto"/>
        <w:jc w:val="both"/>
        <w:rPr>
          <w:sz w:val="24"/>
          <w:szCs w:val="24"/>
        </w:rPr>
      </w:pPr>
      <w:r w:rsidRPr="00012DB1">
        <w:rPr>
          <w:rStyle w:val="Titre4Car"/>
        </w:rPr>
        <w:t>Évapotranspiration (E) :</w:t>
      </w:r>
      <w:r w:rsidRPr="00012DB1">
        <w:rPr>
          <w:sz w:val="24"/>
          <w:szCs w:val="24"/>
        </w:rPr>
        <w:t xml:space="preserve"> En l'absence de données systématiques sur la température de l'eau pour chaque étang, la formule de </w:t>
      </w:r>
      <w:proofErr w:type="spellStart"/>
      <w:r w:rsidRPr="00012DB1">
        <w:rPr>
          <w:sz w:val="24"/>
          <w:szCs w:val="24"/>
        </w:rPr>
        <w:t>Penman-Monteith</w:t>
      </w:r>
      <w:proofErr w:type="spellEnd"/>
      <w:r w:rsidRPr="00012DB1">
        <w:rPr>
          <w:sz w:val="24"/>
          <w:szCs w:val="24"/>
        </w:rPr>
        <w:t xml:space="preserve"> a été retenue. Elle offre le meilleur compromis physique en intégrant le rayonnement et le vent, compensant ainsi l'absence de mesures directes de température de surface.</w:t>
      </w:r>
    </w:p>
    <w:p w14:paraId="3E973A68" w14:textId="67B16FEF" w:rsidR="00012DB1" w:rsidRDefault="00012DB1" w:rsidP="00F62683">
      <w:pPr>
        <w:spacing w:after="240" w:line="360" w:lineRule="auto"/>
        <w:jc w:val="both"/>
      </w:pPr>
      <w:r w:rsidRPr="00A73FBD">
        <w:rPr>
          <w:rStyle w:val="Titre4Car"/>
        </w:rPr>
        <w:t>Ruissellement (R) :</w:t>
      </w:r>
      <w:r w:rsidR="00A73FBD">
        <w:t xml:space="preserve"> Le calcul du volume ruisselé constitue la variable la plus sensible du modèle. Pour l'estimer, nous utilisons la méthode du </w:t>
      </w:r>
      <w:r w:rsidR="00A73FBD" w:rsidRPr="00026BC0">
        <w:t xml:space="preserve">SCS </w:t>
      </w:r>
      <w:proofErr w:type="spellStart"/>
      <w:r w:rsidR="00A73FBD" w:rsidRPr="00026BC0">
        <w:t>Curve</w:t>
      </w:r>
      <w:proofErr w:type="spellEnd"/>
      <w:r w:rsidR="00A73FBD" w:rsidRPr="00026BC0">
        <w:t xml:space="preserve"> </w:t>
      </w:r>
      <w:proofErr w:type="spellStart"/>
      <w:r w:rsidR="00A73FBD" w:rsidRPr="00026BC0">
        <w:t>Number</w:t>
      </w:r>
      <w:proofErr w:type="spellEnd"/>
      <w:r w:rsidR="00A73FBD">
        <w:t xml:space="preserve"> (SCS-CN).</w:t>
      </w:r>
    </w:p>
    <w:p w14:paraId="665FF056" w14:textId="77777777" w:rsidR="00012DB1" w:rsidRPr="00012DB1" w:rsidRDefault="00012DB1" w:rsidP="00F62683">
      <w:pPr>
        <w:spacing w:after="240" w:line="360" w:lineRule="auto"/>
        <w:jc w:val="both"/>
      </w:pPr>
    </w:p>
    <w:p w14:paraId="4A4E0A6A" w14:textId="1A0CE6E0" w:rsidR="00237DBA" w:rsidRDefault="00B34E54" w:rsidP="00B76239">
      <w:pPr>
        <w:pStyle w:val="Titre3"/>
        <w:numPr>
          <w:ilvl w:val="2"/>
          <w:numId w:val="12"/>
        </w:numPr>
      </w:pPr>
      <w:bookmarkStart w:id="23" w:name="_Toc228373048"/>
      <w:r>
        <w:t>Structure du modélisateur R</w:t>
      </w:r>
      <w:bookmarkEnd w:id="23"/>
      <w:r>
        <w:t xml:space="preserve"> </w:t>
      </w:r>
    </w:p>
    <w:p w14:paraId="7AFEDB94" w14:textId="12E5D0BC" w:rsidR="00F26237" w:rsidRPr="00F26237" w:rsidRDefault="00F26237" w:rsidP="00F26237"/>
    <w:p w14:paraId="49C2834D" w14:textId="7D566A89" w:rsidR="00D5060C" w:rsidRDefault="00D5060C" w:rsidP="00F62683">
      <w:pPr>
        <w:spacing w:after="240" w:line="360" w:lineRule="auto"/>
        <w:jc w:val="both"/>
      </w:pPr>
      <w:r>
        <w:t>Le développement du simulateur a été réalisé sous l'environnement R, en adoptant une architecture modulaire pour garantir la clarté et la maintenance du code. Le projet est structuré autour de trois scripts principaux :</w:t>
      </w:r>
    </w:p>
    <w:p w14:paraId="53942A73" w14:textId="681E7C7B" w:rsidR="00D5060C" w:rsidRDefault="00D5060C" w:rsidP="00DC5DFB">
      <w:pPr>
        <w:pStyle w:val="Paragraphedeliste"/>
        <w:numPr>
          <w:ilvl w:val="0"/>
          <w:numId w:val="18"/>
        </w:numPr>
        <w:spacing w:after="240" w:line="360" w:lineRule="auto"/>
        <w:jc w:val="both"/>
      </w:pPr>
      <w:r w:rsidRPr="00D5060C">
        <w:rPr>
          <w:rStyle w:val="Titre4Car"/>
        </w:rPr>
        <w:t>Script d'importation :</w:t>
      </w:r>
      <w:r>
        <w:t xml:space="preserve"> Il assure la lecture et le prétraitement des données d'entrée (SAFRAN, données géométriques des étangs, calendriers de gestion).</w:t>
      </w:r>
    </w:p>
    <w:p w14:paraId="449B392A" w14:textId="2556B549" w:rsidR="00D5060C" w:rsidRDefault="00D5060C" w:rsidP="00DC5DFB">
      <w:pPr>
        <w:pStyle w:val="Paragraphedeliste"/>
        <w:numPr>
          <w:ilvl w:val="0"/>
          <w:numId w:val="18"/>
        </w:numPr>
        <w:spacing w:after="240" w:line="360" w:lineRule="auto"/>
        <w:jc w:val="both"/>
      </w:pPr>
      <w:r w:rsidRPr="00D5060C">
        <w:rPr>
          <w:rStyle w:val="Titre4Car"/>
        </w:rPr>
        <w:t>Script moteur (Simulateur) :</w:t>
      </w:r>
      <w:r>
        <w:t xml:space="preserve"> Il orchestre la boucle de simulation journalière et fait le lien entre les différents étangs de la chaîne.</w:t>
      </w:r>
    </w:p>
    <w:p w14:paraId="47D672FA" w14:textId="0308318F" w:rsidR="00D5060C" w:rsidRDefault="00D5060C" w:rsidP="00DC5DFB">
      <w:pPr>
        <w:pStyle w:val="Paragraphedeliste"/>
        <w:numPr>
          <w:ilvl w:val="0"/>
          <w:numId w:val="18"/>
        </w:numPr>
        <w:spacing w:after="240" w:line="360" w:lineRule="auto"/>
        <w:jc w:val="both"/>
      </w:pPr>
      <w:r w:rsidRPr="00D5060C">
        <w:rPr>
          <w:rStyle w:val="Titre4Car"/>
        </w:rPr>
        <w:t>Script de fonctions :</w:t>
      </w:r>
      <w:r>
        <w:t xml:space="preserve"> Il regroupe l'ensemble des bibliothèques de calculs physiques (</w:t>
      </w:r>
      <w:proofErr w:type="spellStart"/>
      <w:r>
        <w:t>Penman-Monteith</w:t>
      </w:r>
      <w:proofErr w:type="spellEnd"/>
      <w:r>
        <w:t>, SCS-CN) et la logique métier propre au fonctionnement hydraulique.</w:t>
      </w:r>
    </w:p>
    <w:p w14:paraId="3B2A3ED4" w14:textId="599712BC" w:rsidR="00D5060C" w:rsidRDefault="00136B91" w:rsidP="00F62683">
      <w:pPr>
        <w:spacing w:after="240" w:line="360" w:lineRule="auto"/>
        <w:jc w:val="both"/>
      </w:pPr>
      <w:r>
        <w:rPr>
          <w:noProof/>
        </w:rPr>
        <w:lastRenderedPageBreak/>
        <mc:AlternateContent>
          <mc:Choice Requires="wps">
            <w:drawing>
              <wp:anchor distT="0" distB="0" distL="114300" distR="114300" simplePos="0" relativeHeight="251671552" behindDoc="0" locked="0" layoutInCell="1" allowOverlap="1" wp14:anchorId="6CDDCB1B" wp14:editId="43810399">
                <wp:simplePos x="0" y="0"/>
                <wp:positionH relativeFrom="column">
                  <wp:posOffset>220684</wp:posOffset>
                </wp:positionH>
                <wp:positionV relativeFrom="paragraph">
                  <wp:posOffset>3611393</wp:posOffset>
                </wp:positionV>
                <wp:extent cx="4848225" cy="635"/>
                <wp:effectExtent l="0" t="0" r="0" b="0"/>
                <wp:wrapTopAndBottom/>
                <wp:docPr id="4" name="Zone de texte 4"/>
                <wp:cNvGraphicFramePr/>
                <a:graphic xmlns:a="http://schemas.openxmlformats.org/drawingml/2006/main">
                  <a:graphicData uri="http://schemas.microsoft.com/office/word/2010/wordprocessingShape">
                    <wps:wsp>
                      <wps:cNvSpPr txBox="1"/>
                      <wps:spPr>
                        <a:xfrm>
                          <a:off x="0" y="0"/>
                          <a:ext cx="4848225" cy="635"/>
                        </a:xfrm>
                        <a:prstGeom prst="rect">
                          <a:avLst/>
                        </a:prstGeom>
                        <a:solidFill>
                          <a:prstClr val="white"/>
                        </a:solidFill>
                        <a:ln>
                          <a:noFill/>
                        </a:ln>
                      </wps:spPr>
                      <wps:txbx>
                        <w:txbxContent>
                          <w:p w14:paraId="1B1703FF" w14:textId="46694E23" w:rsidR="00F26237" w:rsidRPr="0069693A" w:rsidRDefault="00F26237" w:rsidP="00F26237">
                            <w:pPr>
                              <w:pStyle w:val="Lgende"/>
                              <w:rPr>
                                <w:noProof/>
                              </w:rPr>
                            </w:pPr>
                            <w:r>
                              <w:t xml:space="preserve">Figure </w:t>
                            </w:r>
                            <w:r w:rsidR="00415A4E">
                              <w:fldChar w:fldCharType="begin"/>
                            </w:r>
                            <w:r w:rsidR="00415A4E">
                              <w:instrText xml:space="preserve"> SEQ Figure \* ARABIC </w:instrText>
                            </w:r>
                            <w:r w:rsidR="00415A4E">
                              <w:fldChar w:fldCharType="separate"/>
                            </w:r>
                            <w:r w:rsidR="0074233B">
                              <w:rPr>
                                <w:noProof/>
                              </w:rPr>
                              <w:t>3</w:t>
                            </w:r>
                            <w:r w:rsidR="00415A4E">
                              <w:rPr>
                                <w:noProof/>
                              </w:rPr>
                              <w:fldChar w:fldCharType="end"/>
                            </w:r>
                            <w:r>
                              <w:t>: Organigramme des différents dossiers du projet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DDCB1B" id="Zone de texte 4" o:spid="_x0000_s1028" type="#_x0000_t202" style="position:absolute;left:0;text-align:left;margin-left:17.4pt;margin-top:284.35pt;width:381.7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" stroked="f">
                <v:textbox style="mso-fit-shape-to-text:t" inset="0,0,0,0">
                  <w:txbxContent>
                    <w:p w14:paraId="1B1703FF" w14:textId="46694E23" w:rsidR="00F26237" w:rsidRPr="0069693A" w:rsidRDefault="00F26237" w:rsidP="00F26237">
                      <w:pPr>
                        <w:pStyle w:val="Lgende"/>
                        <w:rPr>
                          <w:noProof/>
                        </w:rPr>
                      </w:pPr>
                      <w:r>
                        <w:t xml:space="preserve">Figure </w:t>
                      </w:r>
                      <w:r w:rsidR="00415A4E">
                        <w:fldChar w:fldCharType="begin"/>
                      </w:r>
                      <w:r w:rsidR="00415A4E">
                        <w:instrText xml:space="preserve"> SEQ Figure \* ARABIC </w:instrText>
                      </w:r>
                      <w:r w:rsidR="00415A4E">
                        <w:fldChar w:fldCharType="separate"/>
                      </w:r>
                      <w:r w:rsidR="0074233B">
                        <w:rPr>
                          <w:noProof/>
                        </w:rPr>
                        <w:t>3</w:t>
                      </w:r>
                      <w:r w:rsidR="00415A4E">
                        <w:rPr>
                          <w:noProof/>
                        </w:rPr>
                        <w:fldChar w:fldCharType="end"/>
                      </w:r>
                      <w:r>
                        <w:t>: Organigramme des différents dossiers du projet</w:t>
                      </w:r>
                    </w:p>
                  </w:txbxContent>
                </v:textbox>
                <w10:wrap type="topAndBottom"/>
              </v:shape>
            </w:pict>
          </mc:Fallback>
        </mc:AlternateContent>
      </w:r>
      <w:r>
        <w:rPr>
          <w:noProof/>
        </w:rPr>
        <w:drawing>
          <wp:anchor distT="0" distB="0" distL="114300" distR="114300" simplePos="0" relativeHeight="251669504" behindDoc="0" locked="0" layoutInCell="1" allowOverlap="1" wp14:anchorId="6D4012D2" wp14:editId="6D769EDB">
            <wp:simplePos x="0" y="0"/>
            <wp:positionH relativeFrom="margin">
              <wp:posOffset>231318</wp:posOffset>
            </wp:positionH>
            <wp:positionV relativeFrom="paragraph">
              <wp:posOffset>913883</wp:posOffset>
            </wp:positionV>
            <wp:extent cx="4848225" cy="2725420"/>
            <wp:effectExtent l="0" t="0" r="9525" b="0"/>
            <wp:wrapTopAndBottom/>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48225" cy="2725420"/>
                    </a:xfrm>
                    <a:prstGeom prst="rect">
                      <a:avLst/>
                    </a:prstGeom>
                    <a:noFill/>
                    <a:ln>
                      <a:noFill/>
                    </a:ln>
                  </pic:spPr>
                </pic:pic>
              </a:graphicData>
            </a:graphic>
          </wp:anchor>
        </w:drawing>
      </w:r>
      <w:r w:rsidR="00D5060C">
        <w:t>Afin de sécuriser le développement et de suivre l'évolution des algorithmes, le projet a été versionné à l'aide de GitHub. Cet outil a permis de documenter chaque étape de modification, facilitant l'intégration des ajustements issus de la bibliographie.</w:t>
      </w:r>
    </w:p>
    <w:p w14:paraId="1AF5F2D5" w14:textId="2CDA9BC8" w:rsidR="00136B91" w:rsidRDefault="00136B91" w:rsidP="00136B91">
      <w:pPr>
        <w:spacing w:after="240" w:line="360" w:lineRule="auto"/>
        <w:jc w:val="both"/>
      </w:pPr>
      <w:r>
        <w:t>Si les calculs mathématiques du bilan hydrique restent assez classiques, la vraie difficulté a été de transformer les pratiques de terrain en code informatique. Programmer les périodes d'assec, le temps que prend vraiment une vidange, ou encore définir qui de l'étang amont ou aval est prioritaire pour se remplir a demandé pas mal d'ajustements. Il a fallu s'y reprendre à plusieurs fois pour coller fidèlement à la réalité et corriger les petits problèmes de logique du départ.</w:t>
      </w:r>
    </w:p>
    <w:p w14:paraId="6871A8C6" w14:textId="77777777" w:rsidR="00136B91" w:rsidRDefault="00136B91" w:rsidP="00136B91">
      <w:pPr>
        <w:spacing w:after="240" w:line="360" w:lineRule="auto"/>
        <w:jc w:val="both"/>
      </w:pPr>
    </w:p>
    <w:p w14:paraId="71D0186B" w14:textId="0C93E540" w:rsidR="009B4072" w:rsidRPr="009B4072" w:rsidRDefault="00136B91" w:rsidP="00136B91">
      <w:pPr>
        <w:spacing w:after="240" w:line="360" w:lineRule="auto"/>
        <w:jc w:val="both"/>
      </w:pPr>
      <w:r>
        <w:t xml:space="preserve">Pour faciliter ce travail, nous avons développé une interface interactive avec le package </w:t>
      </w:r>
      <w:proofErr w:type="spellStart"/>
      <w:r>
        <w:t>Shiny</w:t>
      </w:r>
      <w:proofErr w:type="spellEnd"/>
      <w:r>
        <w:t>. Cette application a permis de visualiser très simplement les résultats et les courbes du modèle. Surtout, elle a rendu l'étape de calibration beaucoup plus intuitive : on pouvait tester directement nos hypothèses et ajuster les réglages en direct, au fur et à mesure de nos réflexions sur le projet.</w:t>
      </w:r>
    </w:p>
    <w:p w14:paraId="4BC5AAD2" w14:textId="71CCB3E6" w:rsidR="00D80EA3" w:rsidRDefault="00B34E54" w:rsidP="000074E5">
      <w:pPr>
        <w:pStyle w:val="Titre2"/>
        <w:numPr>
          <w:ilvl w:val="1"/>
          <w:numId w:val="12"/>
        </w:numPr>
        <w:spacing w:after="240" w:line="360" w:lineRule="auto"/>
      </w:pPr>
      <w:bookmarkStart w:id="24" w:name="_Toc228373049"/>
      <w:r>
        <w:t>Calibration et validation</w:t>
      </w:r>
      <w:bookmarkEnd w:id="24"/>
      <w:r>
        <w:t xml:space="preserve"> </w:t>
      </w:r>
    </w:p>
    <w:p w14:paraId="0BEB488C" w14:textId="6EAF07A8" w:rsidR="00BD0A2B" w:rsidRPr="00D80EA3" w:rsidRDefault="00BD0A2B" w:rsidP="00F62683">
      <w:pPr>
        <w:spacing w:after="240" w:line="360" w:lineRule="auto"/>
      </w:pPr>
      <w:r w:rsidRPr="00D80EA3">
        <w:t>Pauser des hypothèses</w:t>
      </w:r>
    </w:p>
    <w:p w14:paraId="6E01B581" w14:textId="54FD701E" w:rsidR="00F1323A" w:rsidRPr="00D80EA3" w:rsidRDefault="00F1323A" w:rsidP="00F62683">
      <w:pPr>
        <w:spacing w:after="240" w:line="360" w:lineRule="auto"/>
      </w:pPr>
      <w:r w:rsidRPr="00D80EA3">
        <w:t xml:space="preserve">Premier code complet avec une petite application qui facilite la visualisation et donc nous permet de prendre des décisions qui peut être améliorons le modèle </w:t>
      </w:r>
    </w:p>
    <w:p w14:paraId="47C7F3FC" w14:textId="4451C494" w:rsidR="00F1323A" w:rsidRPr="00D80EA3" w:rsidRDefault="00F1323A" w:rsidP="00F62683">
      <w:pPr>
        <w:spacing w:after="240" w:line="360" w:lineRule="auto"/>
      </w:pPr>
      <w:r w:rsidRPr="00D80EA3">
        <w:t>Mettre en place un plan d’expérimentation.</w:t>
      </w:r>
    </w:p>
    <w:p w14:paraId="6D522861" w14:textId="265C5F9F" w:rsidR="00F1323A" w:rsidRPr="00D80EA3" w:rsidRDefault="00F1323A" w:rsidP="00F62683">
      <w:pPr>
        <w:spacing w:after="240" w:line="360" w:lineRule="auto"/>
      </w:pPr>
      <w:r w:rsidRPr="00D80EA3">
        <w:lastRenderedPageBreak/>
        <w:t>1</w:t>
      </w:r>
      <w:r w:rsidRPr="00D80EA3">
        <w:rPr>
          <w:vertAlign w:val="superscript"/>
        </w:rPr>
        <w:t>er</w:t>
      </w:r>
      <w:r w:rsidRPr="00D80EA3">
        <w:t xml:space="preserve"> soupçon le nombre courbe.</w:t>
      </w:r>
    </w:p>
    <w:p w14:paraId="6C21D88B" w14:textId="3637B2B4" w:rsidR="00F1323A" w:rsidRDefault="00F1323A" w:rsidP="00F62683">
      <w:pPr>
        <w:spacing w:after="240" w:line="360" w:lineRule="auto"/>
      </w:pPr>
      <w:r w:rsidRPr="00D80EA3">
        <w:t>2eme la restitution passive de l’eau qui tombe sur les parcelles a l’étangs</w:t>
      </w:r>
    </w:p>
    <w:p w14:paraId="083D29AA" w14:textId="77777777" w:rsidR="00F1323A" w:rsidRPr="00F1323A" w:rsidRDefault="00F1323A" w:rsidP="00F62683">
      <w:pPr>
        <w:spacing w:after="240" w:line="360" w:lineRule="auto"/>
      </w:pPr>
    </w:p>
    <w:p w14:paraId="4F0A04C3" w14:textId="27097047" w:rsidR="00B34E54" w:rsidRDefault="00B34E54" w:rsidP="00B76239">
      <w:pPr>
        <w:pStyle w:val="Titre3"/>
        <w:numPr>
          <w:ilvl w:val="2"/>
          <w:numId w:val="12"/>
        </w:numPr>
      </w:pPr>
      <w:bookmarkStart w:id="25" w:name="_Toc228373050"/>
      <w:r>
        <w:t>Indicateurs de vulnérabilité climatique</w:t>
      </w:r>
      <w:bookmarkEnd w:id="25"/>
      <w:r>
        <w:t xml:space="preserve">  </w:t>
      </w:r>
    </w:p>
    <w:p w14:paraId="5C6927FB" w14:textId="77777777" w:rsidR="00BB1723" w:rsidRDefault="00BB1723" w:rsidP="00F62683">
      <w:pPr>
        <w:spacing w:after="240" w:line="360" w:lineRule="auto"/>
        <w:jc w:val="both"/>
      </w:pPr>
    </w:p>
    <w:p w14:paraId="46F1091D" w14:textId="5CEEE8E6" w:rsidR="00BB1723" w:rsidRDefault="00BB1723" w:rsidP="00F62683">
      <w:pPr>
        <w:spacing w:after="240" w:line="360" w:lineRule="auto"/>
        <w:jc w:val="both"/>
      </w:pPr>
    </w:p>
    <w:p w14:paraId="5559B016" w14:textId="7300F54E" w:rsidR="00BB1723" w:rsidRDefault="00CC00D3" w:rsidP="00B76239">
      <w:pPr>
        <w:pStyle w:val="Titre1"/>
        <w:numPr>
          <w:ilvl w:val="0"/>
          <w:numId w:val="12"/>
        </w:numPr>
      </w:pPr>
      <w:bookmarkStart w:id="26" w:name="_Toc228373051"/>
      <w:r>
        <w:t>Analyse des résultats</w:t>
      </w:r>
      <w:bookmarkEnd w:id="26"/>
    </w:p>
    <w:p w14:paraId="695F00C4" w14:textId="262FD9FD" w:rsidR="00C33505" w:rsidRDefault="00C33505" w:rsidP="00C33505">
      <w:pPr>
        <w:pStyle w:val="Titre2"/>
        <w:numPr>
          <w:ilvl w:val="1"/>
          <w:numId w:val="12"/>
        </w:numPr>
      </w:pPr>
      <w:bookmarkStart w:id="27" w:name="_Toc228373052"/>
      <w:r>
        <w:t>Première</w:t>
      </w:r>
      <w:r w:rsidR="00F025FB" w:rsidRPr="00990C87">
        <w:t xml:space="preserve"> sortie et </w:t>
      </w:r>
      <w:r w:rsidR="00CC00D3">
        <w:t>comparaison terrain Chalam</w:t>
      </w:r>
      <w:r w:rsidR="00D80EA3">
        <w:t>ont</w:t>
      </w:r>
      <w:bookmarkEnd w:id="27"/>
    </w:p>
    <w:p w14:paraId="41AE87F2" w14:textId="6029887F" w:rsidR="00C33505" w:rsidRDefault="00C33505" w:rsidP="00C33505">
      <w:pPr>
        <w:pStyle w:val="Titre2"/>
        <w:numPr>
          <w:ilvl w:val="1"/>
          <w:numId w:val="12"/>
        </w:numPr>
      </w:pPr>
      <w:bookmarkStart w:id="28" w:name="_Toc228373053"/>
      <w:r>
        <w:t>Calibration</w:t>
      </w:r>
      <w:bookmarkEnd w:id="28"/>
    </w:p>
    <w:p w14:paraId="01259DA3" w14:textId="573F3E14" w:rsidR="00CC00D3" w:rsidRDefault="00CC00D3" w:rsidP="00C33505">
      <w:pPr>
        <w:pStyle w:val="Titre3"/>
        <w:numPr>
          <w:ilvl w:val="2"/>
          <w:numId w:val="12"/>
        </w:numPr>
        <w:spacing w:after="240" w:line="360" w:lineRule="auto"/>
      </w:pPr>
      <w:bookmarkStart w:id="29" w:name="_Toc228373054"/>
      <w:r>
        <w:t>Calibration Chalamont.</w:t>
      </w:r>
      <w:bookmarkEnd w:id="29"/>
    </w:p>
    <w:p w14:paraId="0B30CE3F" w14:textId="16C6EB33" w:rsidR="00CC00D3" w:rsidRDefault="00CC00D3" w:rsidP="00C33505">
      <w:pPr>
        <w:pStyle w:val="Titre3"/>
        <w:numPr>
          <w:ilvl w:val="2"/>
          <w:numId w:val="12"/>
        </w:numPr>
        <w:spacing w:after="240" w:line="360" w:lineRule="auto"/>
      </w:pPr>
      <w:bookmarkStart w:id="30" w:name="_Toc228373055"/>
      <w:r>
        <w:t>Calibration Joyeux.</w:t>
      </w:r>
      <w:bookmarkEnd w:id="30"/>
    </w:p>
    <w:p w14:paraId="2CE89142" w14:textId="30BBC7C5" w:rsidR="00CC00D3" w:rsidRPr="00CC00D3" w:rsidRDefault="0004232B" w:rsidP="00C33505">
      <w:pPr>
        <w:pStyle w:val="Titre2"/>
        <w:numPr>
          <w:ilvl w:val="1"/>
          <w:numId w:val="12"/>
        </w:numPr>
      </w:pPr>
      <w:bookmarkStart w:id="31" w:name="_Toc228373056"/>
      <w:r>
        <w:t>Résultat sur les BV 1 et 19</w:t>
      </w:r>
      <w:bookmarkEnd w:id="31"/>
    </w:p>
    <w:p w14:paraId="56F2694A" w14:textId="05DB18FD" w:rsidR="00F025FB" w:rsidRDefault="00F025FB" w:rsidP="00C33505">
      <w:pPr>
        <w:pStyle w:val="Titre2"/>
        <w:numPr>
          <w:ilvl w:val="1"/>
          <w:numId w:val="12"/>
        </w:numPr>
      </w:pPr>
      <w:bookmarkStart w:id="32" w:name="_Toc228373057"/>
      <w:r w:rsidRPr="00990C87">
        <w:t xml:space="preserve">Analyse </w:t>
      </w:r>
      <w:r w:rsidR="0004232B">
        <w:t>de vulnérabilité</w:t>
      </w:r>
      <w:bookmarkEnd w:id="32"/>
    </w:p>
    <w:p w14:paraId="27991767" w14:textId="20A31A56" w:rsidR="00E677E3" w:rsidRPr="00E677E3" w:rsidRDefault="00E677E3" w:rsidP="00C33505">
      <w:pPr>
        <w:pStyle w:val="Titre1"/>
        <w:numPr>
          <w:ilvl w:val="0"/>
          <w:numId w:val="12"/>
        </w:numPr>
        <w:spacing w:after="240" w:line="360" w:lineRule="auto"/>
      </w:pPr>
      <w:bookmarkStart w:id="33" w:name="_Toc228373058"/>
      <w:r>
        <w:t>D</w:t>
      </w:r>
      <w:r w:rsidRPr="00990C87">
        <w:t>iscussion, limites</w:t>
      </w:r>
      <w:bookmarkEnd w:id="33"/>
    </w:p>
    <w:p w14:paraId="2CBE17E5" w14:textId="31C8454C" w:rsidR="00F025FB" w:rsidRDefault="00F025FB" w:rsidP="00C33505">
      <w:pPr>
        <w:pStyle w:val="Titre1"/>
        <w:numPr>
          <w:ilvl w:val="0"/>
          <w:numId w:val="12"/>
        </w:numPr>
      </w:pPr>
      <w:bookmarkStart w:id="34" w:name="_Toc228373059"/>
      <w:r w:rsidRPr="00990C87">
        <w:t>Conclusion</w:t>
      </w:r>
      <w:bookmarkEnd w:id="34"/>
      <w:r w:rsidRPr="00990C87">
        <w:t xml:space="preserve"> </w:t>
      </w:r>
    </w:p>
    <w:p w14:paraId="71B44FE7" w14:textId="694154D7" w:rsidR="00F025FB" w:rsidRDefault="00F025FB" w:rsidP="005A3422">
      <w:pPr>
        <w:spacing w:line="360" w:lineRule="auto"/>
        <w:jc w:val="both"/>
        <w:rPr>
          <w:b/>
          <w:bCs/>
        </w:rPr>
      </w:pPr>
    </w:p>
    <w:p w14:paraId="0A60B2A5" w14:textId="3AB2250E" w:rsidR="000F5603" w:rsidRDefault="000F5603" w:rsidP="009834C3">
      <w:pPr>
        <w:spacing w:line="360" w:lineRule="auto"/>
        <w:ind w:left="360"/>
        <w:jc w:val="both"/>
        <w:rPr>
          <w:b/>
          <w:bCs/>
        </w:rPr>
      </w:pPr>
    </w:p>
    <w:p w14:paraId="5F445E01" w14:textId="5CD736FC" w:rsidR="000F5603" w:rsidRDefault="000F5603" w:rsidP="009834C3">
      <w:pPr>
        <w:spacing w:line="360" w:lineRule="auto"/>
        <w:ind w:left="360"/>
        <w:jc w:val="both"/>
        <w:rPr>
          <w:b/>
          <w:bCs/>
        </w:rPr>
      </w:pPr>
    </w:p>
    <w:p w14:paraId="47654D98" w14:textId="145E9737" w:rsidR="000F5603" w:rsidRDefault="000F5603" w:rsidP="009834C3">
      <w:pPr>
        <w:spacing w:line="360" w:lineRule="auto"/>
        <w:ind w:left="360"/>
        <w:jc w:val="both"/>
        <w:rPr>
          <w:b/>
          <w:bCs/>
        </w:rPr>
      </w:pPr>
    </w:p>
    <w:p w14:paraId="0BDBC80A" w14:textId="13E3BA2C" w:rsidR="000F5603" w:rsidRDefault="000F5603" w:rsidP="009834C3">
      <w:pPr>
        <w:spacing w:line="360" w:lineRule="auto"/>
        <w:ind w:left="360"/>
        <w:jc w:val="both"/>
        <w:rPr>
          <w:b/>
          <w:bCs/>
        </w:rPr>
      </w:pPr>
    </w:p>
    <w:p w14:paraId="7817AA72" w14:textId="747772EA" w:rsidR="000F5603" w:rsidRDefault="000F5603" w:rsidP="000F5603">
      <w:pPr>
        <w:pStyle w:val="Titre2"/>
      </w:pPr>
      <w:bookmarkStart w:id="35" w:name="_Toc228373060"/>
      <w:r>
        <w:t>Bibliographie :</w:t>
      </w:r>
      <w:bookmarkEnd w:id="35"/>
    </w:p>
    <w:p w14:paraId="49B566C1" w14:textId="77777777" w:rsidR="005A51C5" w:rsidRPr="005A51C5" w:rsidRDefault="000F5603" w:rsidP="005A51C5">
      <w:pPr>
        <w:pStyle w:val="Bibliographie"/>
      </w:pPr>
      <w:r>
        <w:fldChar w:fldCharType="begin"/>
      </w:r>
      <w:r w:rsidR="00E312FC">
        <w:instrText xml:space="preserve"> ADDIN ZOTERO_BIBL {"uncited":[],"omitted":[],"custom":[]} CSL_BIBLIOGRAPHY </w:instrText>
      </w:r>
      <w:r>
        <w:fldChar w:fldCharType="separate"/>
      </w:r>
      <w:r w:rsidR="005A51C5" w:rsidRPr="005A51C5">
        <w:t xml:space="preserve">AL DOMANY, Mohammad, 2017. </w:t>
      </w:r>
      <w:r w:rsidR="005A51C5" w:rsidRPr="005A51C5">
        <w:rPr>
          <w:i/>
          <w:iCs/>
        </w:rPr>
        <w:t>L’évaporation dans le bilan hydrologique des étangs du Centre-Ouest de la France (Brenne et Limousin)</w:t>
      </w:r>
      <w:r w:rsidR="005A51C5" w:rsidRPr="005A51C5">
        <w:t xml:space="preserve"> [en ligne]. Theses. Université d’Orléans. [Consulté le 13 avril 2026]. Disponible à l’adresse : https://theses.hal.science/tel-01661489</w:t>
      </w:r>
    </w:p>
    <w:p w14:paraId="4F33C604" w14:textId="77777777" w:rsidR="005A51C5" w:rsidRPr="005A51C5" w:rsidRDefault="005A51C5" w:rsidP="005A51C5">
      <w:pPr>
        <w:pStyle w:val="Bibliographie"/>
      </w:pPr>
      <w:r w:rsidRPr="005A51C5">
        <w:t xml:space="preserve">AL DOMANY, Mohammad, TOUCHART, Laurent et BARTOUT, Pascal, 2015. L’évaporation et le bilan hydrologique des étangs pélliculaires. L’exemple de l’étang Cistude en Brenne. In : . 27 mars 2015. </w:t>
      </w:r>
    </w:p>
    <w:p w14:paraId="1040615F" w14:textId="77777777" w:rsidR="005A51C5" w:rsidRPr="005A51C5" w:rsidRDefault="005A51C5" w:rsidP="005A51C5">
      <w:pPr>
        <w:pStyle w:val="Bibliographie"/>
      </w:pPr>
      <w:r w:rsidRPr="005A51C5">
        <w:lastRenderedPageBreak/>
        <w:t xml:space="preserve">AL DOMANY, Mohammad, TOUCHART, Laurent, BARTOUT, Pascal et NEDJAÏ, Rachid, 2013. The evaporation from ponds in the French Midwest. </w:t>
      </w:r>
      <w:r w:rsidRPr="005A51C5">
        <w:rPr>
          <w:i/>
          <w:iCs/>
        </w:rPr>
        <w:t>Lakes, Reservoirs and Ponds, Romanian Journal of Limnology</w:t>
      </w:r>
      <w:r w:rsidRPr="005A51C5">
        <w:t>. 2013. Vol. 7, n° 2, pp. 75</w:t>
      </w:r>
      <w:r w:rsidRPr="005A51C5">
        <w:rPr>
          <w:rFonts w:ascii="Cambria Math" w:hAnsi="Cambria Math" w:cs="Cambria Math"/>
        </w:rPr>
        <w:t>‑</w:t>
      </w:r>
      <w:r w:rsidRPr="005A51C5">
        <w:t xml:space="preserve">88. </w:t>
      </w:r>
    </w:p>
    <w:p w14:paraId="10E42BCB" w14:textId="77777777" w:rsidR="005A51C5" w:rsidRPr="005A51C5" w:rsidRDefault="005A51C5" w:rsidP="005A51C5">
      <w:pPr>
        <w:pStyle w:val="Bibliographie"/>
      </w:pPr>
      <w:r w:rsidRPr="005A51C5">
        <w:t xml:space="preserve">BÉRARD, L et MARCHENAY, P, 2008. Les étangs de la Dombes (France). </w:t>
      </w:r>
      <w:r w:rsidRPr="005A51C5">
        <w:rPr>
          <w:i/>
          <w:iCs/>
        </w:rPr>
        <w:t>AGRICULTURES SINGULIÈRES</w:t>
      </w:r>
      <w:r w:rsidRPr="005A51C5">
        <w:t xml:space="preserve">. 2008. </w:t>
      </w:r>
    </w:p>
    <w:p w14:paraId="1C70B9A7" w14:textId="77777777" w:rsidR="005A51C5" w:rsidRPr="005A51C5" w:rsidRDefault="005A51C5" w:rsidP="005A51C5">
      <w:pPr>
        <w:pStyle w:val="Bibliographie"/>
      </w:pPr>
      <w:r w:rsidRPr="005A51C5">
        <w:t xml:space="preserve">CARLUER, Nadia, FONTAINE, A, LAUVERNET, Claire et CARPENA, R Muñoz, 2011. Guide de dimensionnement des zones tampons enherbées ou boisées pour réduire la contamination des cours d’eau par les produits phytosanitaires. . 2011. pp. p 29-34. </w:t>
      </w:r>
    </w:p>
    <w:p w14:paraId="2B8F0A45" w14:textId="77777777" w:rsidR="005A51C5" w:rsidRPr="005A51C5" w:rsidRDefault="005A51C5" w:rsidP="005A51C5">
      <w:pPr>
        <w:pStyle w:val="Bibliographie"/>
      </w:pPr>
      <w:r w:rsidRPr="005A51C5">
        <w:t>CLIMATE-DATA, 2026. Ambérieux-en-Dombes climate: Weather Ambérieux-en-Dombes &amp; temperature by month. [en ligne]. 2026. [Consulté le 10 avril 2026]. Disponible à l’adresse : https://en.climate-data.org/europe/france/rhone-alpes/amberieux-en-dombes-100639/</w:t>
      </w:r>
    </w:p>
    <w:p w14:paraId="2989C14D" w14:textId="77777777" w:rsidR="005A51C5" w:rsidRPr="005A51C5" w:rsidRDefault="005A51C5" w:rsidP="005A51C5">
      <w:pPr>
        <w:pStyle w:val="Bibliographie"/>
      </w:pPr>
      <w:r w:rsidRPr="005A51C5">
        <w:t>DRIAS, 2014. DRIAS, Les futurs du climat - Accompagnement. [en ligne]. 2014. [Consulté le 10 avril 2026]. Disponible à l’adresse : https://www.drias-climat.fr/accompagnement/sections/182</w:t>
      </w:r>
    </w:p>
    <w:p w14:paraId="24C95E59" w14:textId="77777777" w:rsidR="005A51C5" w:rsidRPr="005A51C5" w:rsidRDefault="005A51C5" w:rsidP="005A51C5">
      <w:pPr>
        <w:pStyle w:val="Bibliographie"/>
      </w:pPr>
      <w:r w:rsidRPr="005A51C5">
        <w:t xml:space="preserve">EMMANUEL, I., ANDRIEU, H., LEBLOIS, E. et JANEY, N., 2016. Influence de la variabilité spatiale des champs pluvieux pour la modélisation pluie-débit de petits bassins versants: Une approche par simulation. </w:t>
      </w:r>
      <w:r w:rsidRPr="005A51C5">
        <w:rPr>
          <w:i/>
          <w:iCs/>
        </w:rPr>
        <w:t>La Houille Blanche - Revue internationale de l’eau</w:t>
      </w:r>
      <w:r w:rsidRPr="005A51C5">
        <w:t>. 2016. N° 2, pp. 47</w:t>
      </w:r>
      <w:r w:rsidRPr="005A51C5">
        <w:rPr>
          <w:rFonts w:ascii="Cambria Math" w:hAnsi="Cambria Math" w:cs="Cambria Math"/>
        </w:rPr>
        <w:t>‑</w:t>
      </w:r>
      <w:r w:rsidRPr="005A51C5">
        <w:t xml:space="preserve">55. </w:t>
      </w:r>
    </w:p>
    <w:p w14:paraId="5C3538B9" w14:textId="77777777" w:rsidR="005A51C5" w:rsidRPr="005A51C5" w:rsidRDefault="005A51C5" w:rsidP="005A51C5">
      <w:pPr>
        <w:pStyle w:val="Bibliographie"/>
      </w:pPr>
      <w:r w:rsidRPr="005A51C5">
        <w:t xml:space="preserve">FRÉCAUT, René, 1979. Les bilans hydrologiques des lacs. </w:t>
      </w:r>
      <w:r w:rsidRPr="005A51C5">
        <w:rPr>
          <w:i/>
          <w:iCs/>
        </w:rPr>
        <w:t>Annales de géographie</w:t>
      </w:r>
      <w:r w:rsidRPr="005A51C5">
        <w:t>. 1979. Vol. 88, n° 485, pp. 1</w:t>
      </w:r>
      <w:r w:rsidRPr="005A51C5">
        <w:rPr>
          <w:rFonts w:ascii="Cambria Math" w:hAnsi="Cambria Math" w:cs="Cambria Math"/>
        </w:rPr>
        <w:t>‑</w:t>
      </w:r>
      <w:r w:rsidRPr="005A51C5">
        <w:t>15. DOI</w:t>
      </w:r>
      <w:r w:rsidRPr="005A51C5">
        <w:rPr>
          <w:rFonts w:ascii="Calibri" w:hAnsi="Calibri" w:cs="Calibri"/>
        </w:rPr>
        <w:t> </w:t>
      </w:r>
      <w:r w:rsidRPr="005A51C5">
        <w:t xml:space="preserve">10.3406/geo.1979.19836. </w:t>
      </w:r>
    </w:p>
    <w:p w14:paraId="00CDFA7C" w14:textId="77777777" w:rsidR="005A51C5" w:rsidRPr="005A51C5" w:rsidRDefault="005A51C5" w:rsidP="005A51C5">
      <w:pPr>
        <w:pStyle w:val="Bibliographie"/>
      </w:pPr>
      <w:r w:rsidRPr="005A51C5">
        <w:t xml:space="preserve">FÜSSEL, Hans-Martin et KLEIN, Richard J. T., 2006. Climate Change Vulnerability Assessments: An Evolution of Conceptual Thinking. </w:t>
      </w:r>
      <w:r w:rsidRPr="005A51C5">
        <w:rPr>
          <w:i/>
          <w:iCs/>
        </w:rPr>
        <w:t>Climatic Change</w:t>
      </w:r>
      <w:r w:rsidRPr="005A51C5">
        <w:t>. 1 avril 2006. Vol. 75, n° 3, pp. 301</w:t>
      </w:r>
      <w:r w:rsidRPr="005A51C5">
        <w:rPr>
          <w:rFonts w:ascii="Cambria Math" w:hAnsi="Cambria Math" w:cs="Cambria Math"/>
        </w:rPr>
        <w:t>‑</w:t>
      </w:r>
      <w:r w:rsidRPr="005A51C5">
        <w:t>329. DOI</w:t>
      </w:r>
      <w:r w:rsidRPr="005A51C5">
        <w:rPr>
          <w:rFonts w:ascii="Calibri" w:hAnsi="Calibri" w:cs="Calibri"/>
        </w:rPr>
        <w:t> </w:t>
      </w:r>
      <w:r w:rsidRPr="005A51C5">
        <w:t xml:space="preserve">10.1007/s10584-006-0329-3. </w:t>
      </w:r>
    </w:p>
    <w:p w14:paraId="790F2263" w14:textId="77777777" w:rsidR="005A51C5" w:rsidRPr="005A51C5" w:rsidRDefault="005A51C5" w:rsidP="005A51C5">
      <w:pPr>
        <w:pStyle w:val="Bibliographie"/>
      </w:pPr>
      <w:r w:rsidRPr="005A51C5">
        <w:t>GÉOPORTAIL, 2026. Géoportail. [en ligne]. 2026. [Consulté le 8 avril 2026]. Disponible à l’adresse : https://www.geoportail.gouv.fr/</w:t>
      </w:r>
    </w:p>
    <w:p w14:paraId="54A72AC6" w14:textId="77777777" w:rsidR="005A51C5" w:rsidRPr="005A51C5" w:rsidRDefault="005A51C5" w:rsidP="005A51C5">
      <w:pPr>
        <w:pStyle w:val="Bibliographie"/>
      </w:pPr>
      <w:r w:rsidRPr="005A51C5">
        <w:t xml:space="preserve">GIEC, 2021. </w:t>
      </w:r>
      <w:r w:rsidRPr="005A51C5">
        <w:rPr>
          <w:i/>
          <w:iCs/>
        </w:rPr>
        <w:t>France Villes et territoires Durables</w:t>
      </w:r>
      <w:r w:rsidRPr="005A51C5">
        <w:t xml:space="preserve"> [en ligne]. 2021. [Consulté le 20 mars 2026]. Disponible à l’adresse : https://francevilledurable.fr/outils/rapport-du-groupe-de-travail-n-1-du-giec-changement-climatique-2021-les-bases-des-sciences-physiques/</w:t>
      </w:r>
    </w:p>
    <w:p w14:paraId="2C20C838" w14:textId="77777777" w:rsidR="005A51C5" w:rsidRPr="005A51C5" w:rsidRDefault="005A51C5" w:rsidP="005A51C5">
      <w:pPr>
        <w:pStyle w:val="Bibliographie"/>
      </w:pPr>
      <w:r w:rsidRPr="005A51C5">
        <w:t xml:space="preserve">GRIMONPREZ, Benoît, 2020. Le stockage agricole de l’eau: l’adaptation idéale au changement climatique? . 13 août 2020. </w:t>
      </w:r>
    </w:p>
    <w:p w14:paraId="00ADE177" w14:textId="77777777" w:rsidR="005A51C5" w:rsidRPr="005A51C5" w:rsidRDefault="005A51C5" w:rsidP="005A51C5">
      <w:pPr>
        <w:pStyle w:val="Bibliographie"/>
      </w:pPr>
      <w:r w:rsidRPr="005A51C5">
        <w:t xml:space="preserve">HAWKINS, Richard H., WOODWARD, Donald E., JIANG, Ruiyun, HJELMFELT, JR., Allen T., VAN MULLEM, Joseph A. et QUAN, Quan D., 2003. Runoff Curve Number Method: Examination of the Initial Abstraction Ratio. In : </w:t>
      </w:r>
      <w:r w:rsidRPr="005A51C5">
        <w:rPr>
          <w:i/>
          <w:iCs/>
        </w:rPr>
        <w:t>World Water &amp;amp; Environmental Resources Congress 2003</w:t>
      </w:r>
      <w:r w:rsidRPr="005A51C5">
        <w:t xml:space="preserve"> [en ligne]. Philadelphia, Pennsylvania, United States : American Society of Civil Engineers. 17 juin 2003. pp. 1</w:t>
      </w:r>
      <w:r w:rsidRPr="005A51C5">
        <w:rPr>
          <w:rFonts w:ascii="Cambria Math" w:hAnsi="Cambria Math" w:cs="Cambria Math"/>
        </w:rPr>
        <w:t>‑</w:t>
      </w:r>
      <w:r w:rsidRPr="005A51C5">
        <w:t>10. [Consult</w:t>
      </w:r>
      <w:r w:rsidRPr="005A51C5">
        <w:rPr>
          <w:rFonts w:ascii="Calibri" w:hAnsi="Calibri" w:cs="Calibri"/>
        </w:rPr>
        <w:t>é </w:t>
      </w:r>
      <w:r w:rsidRPr="005A51C5">
        <w:t>le</w:t>
      </w:r>
      <w:r w:rsidRPr="005A51C5">
        <w:rPr>
          <w:rFonts w:ascii="Calibri" w:hAnsi="Calibri" w:cs="Calibri"/>
        </w:rPr>
        <w:t> </w:t>
      </w:r>
      <w:r w:rsidRPr="005A51C5">
        <w:t>13</w:t>
      </w:r>
      <w:r w:rsidRPr="005A51C5">
        <w:rPr>
          <w:rFonts w:ascii="Calibri" w:hAnsi="Calibri" w:cs="Calibri"/>
        </w:rPr>
        <w:t> </w:t>
      </w:r>
      <w:r w:rsidRPr="005A51C5">
        <w:t>février 2026]. ISBN 978-0-7844-0685-4. Disponible à l’adresse : http://ascelibrary.org/doi/abs/10.1061/40685%282003%29308</w:t>
      </w:r>
    </w:p>
    <w:p w14:paraId="29AF52E5" w14:textId="77777777" w:rsidR="005A51C5" w:rsidRPr="005A51C5" w:rsidRDefault="005A51C5" w:rsidP="005A51C5">
      <w:pPr>
        <w:pStyle w:val="Bibliographie"/>
      </w:pPr>
      <w:r w:rsidRPr="005A51C5">
        <w:t>IPCC, 2014. AR5 Synthesis Report: Climate Change 2014 — IPCC. [en ligne]. 2014. [Consulté le 9 avril 2026]. Disponible à l’adresse : https://www.ipcc.ch/report/ar5/syr/</w:t>
      </w:r>
    </w:p>
    <w:p w14:paraId="460BEBAA" w14:textId="77777777" w:rsidR="005A51C5" w:rsidRPr="005A51C5" w:rsidRDefault="005A51C5" w:rsidP="005A51C5">
      <w:pPr>
        <w:pStyle w:val="Bibliographie"/>
      </w:pPr>
      <w:r w:rsidRPr="005A51C5">
        <w:t xml:space="preserve">JAKEMAN, A.J., LETCHER, R.A. et NORTON, J.P., 2006. Ten iterative steps in development and evaluation of environmental models. </w:t>
      </w:r>
      <w:r w:rsidRPr="005A51C5">
        <w:rPr>
          <w:i/>
          <w:iCs/>
        </w:rPr>
        <w:t>Environmental Modelling &amp; Software</w:t>
      </w:r>
      <w:r w:rsidRPr="005A51C5">
        <w:t>. mai 2006. Vol. 21, n° 5, pp. 602</w:t>
      </w:r>
      <w:r w:rsidRPr="005A51C5">
        <w:rPr>
          <w:rFonts w:ascii="Cambria Math" w:hAnsi="Cambria Math" w:cs="Cambria Math"/>
        </w:rPr>
        <w:t>‑</w:t>
      </w:r>
      <w:r w:rsidRPr="005A51C5">
        <w:t>614. DOI</w:t>
      </w:r>
      <w:r w:rsidRPr="005A51C5">
        <w:rPr>
          <w:rFonts w:ascii="Calibri" w:hAnsi="Calibri" w:cs="Calibri"/>
        </w:rPr>
        <w:t> </w:t>
      </w:r>
      <w:r w:rsidRPr="005A51C5">
        <w:t xml:space="preserve">10.1016/j.envsoft.2006.01.004. </w:t>
      </w:r>
    </w:p>
    <w:p w14:paraId="525CC13F" w14:textId="77777777" w:rsidR="005A51C5" w:rsidRPr="005A51C5" w:rsidRDefault="005A51C5" w:rsidP="005A51C5">
      <w:pPr>
        <w:pStyle w:val="Bibliographie"/>
      </w:pPr>
      <w:r w:rsidRPr="005A51C5">
        <w:lastRenderedPageBreak/>
        <w:t xml:space="preserve">KONIKOW, Leonard F. et BREDEHOEFT, John D., 1992. Ground-water models cannot be validated. </w:t>
      </w:r>
      <w:r w:rsidRPr="005A51C5">
        <w:rPr>
          <w:i/>
          <w:iCs/>
        </w:rPr>
        <w:t>Advances in Water Resources</w:t>
      </w:r>
      <w:r w:rsidRPr="005A51C5">
        <w:t>. 1 janvier 1992. Vol. 15, n° 1, pp. 75</w:t>
      </w:r>
      <w:r w:rsidRPr="005A51C5">
        <w:rPr>
          <w:rFonts w:ascii="Cambria Math" w:hAnsi="Cambria Math" w:cs="Cambria Math"/>
        </w:rPr>
        <w:t>‑</w:t>
      </w:r>
      <w:r w:rsidRPr="005A51C5">
        <w:t>83. DOI</w:t>
      </w:r>
      <w:r w:rsidRPr="005A51C5">
        <w:rPr>
          <w:rFonts w:ascii="Calibri" w:hAnsi="Calibri" w:cs="Calibri"/>
        </w:rPr>
        <w:t> </w:t>
      </w:r>
      <w:r w:rsidRPr="005A51C5">
        <w:t xml:space="preserve">10.1016/0309-1708(92)90033-X. </w:t>
      </w:r>
    </w:p>
    <w:p w14:paraId="4B6E6002" w14:textId="77777777" w:rsidR="005A51C5" w:rsidRPr="005A51C5" w:rsidRDefault="005A51C5" w:rsidP="005A51C5">
      <w:pPr>
        <w:pStyle w:val="Bibliographie"/>
      </w:pPr>
      <w:r w:rsidRPr="005A51C5">
        <w:t xml:space="preserve">LAURENT, RAYNAL, 2005. </w:t>
      </w:r>
      <w:r w:rsidRPr="005A51C5">
        <w:rPr>
          <w:i/>
          <w:iCs/>
        </w:rPr>
        <w:t>Coutumes et usages des étangs de la Dombes</w:t>
      </w:r>
      <w:r w:rsidRPr="005A51C5">
        <w:t xml:space="preserve"> [en ligne]. Ministère de l’Education Nationale de l’Enseignement Supérieur et de la Recherche. 72000 LE MANS. [Consulté le 8 avril 2026]. Disponible à l’adresse : https://side.developpement-durable.gouv.fr/Default/doc/SYRACUSE/139999/coutumes-et-usages-des-etangs-de-la-dombes</w:t>
      </w:r>
    </w:p>
    <w:p w14:paraId="64660990" w14:textId="77777777" w:rsidR="005A51C5" w:rsidRPr="005A51C5" w:rsidRDefault="005A51C5" w:rsidP="005A51C5">
      <w:pPr>
        <w:pStyle w:val="Bibliographie"/>
      </w:pPr>
      <w:r w:rsidRPr="005A51C5">
        <w:t xml:space="preserve">LE BISSONNAIS, Yves, BENKHADRA, Hassan, GALLIEN, E., EIMBERCK, M., FOX, D., MARTIN, Philippe, DOUYER, C., LIGNEAU, Laurence et OUVRY, Jean-François, 1996. Genèse du ruissellement et de l’érosion diffuse sur sols limoneux : analyse du transfert d’échelle du m2 au bassin versant élémentaire agricole/Runoff and interrill erosion on silty loamy soils: analysis of scale tranfer from m2 to small cultivated catchments. </w:t>
      </w:r>
      <w:r w:rsidRPr="005A51C5">
        <w:rPr>
          <w:i/>
          <w:iCs/>
        </w:rPr>
        <w:t>Géomorphologie : relief, processus, environnement</w:t>
      </w:r>
      <w:r w:rsidRPr="005A51C5">
        <w:t>. 1996. Vol. 2, n° 3, pp. 51</w:t>
      </w:r>
      <w:r w:rsidRPr="005A51C5">
        <w:rPr>
          <w:rFonts w:ascii="Cambria Math" w:hAnsi="Cambria Math" w:cs="Cambria Math"/>
        </w:rPr>
        <w:t>‑</w:t>
      </w:r>
      <w:r w:rsidRPr="005A51C5">
        <w:t>64. DOI</w:t>
      </w:r>
      <w:r w:rsidRPr="005A51C5">
        <w:rPr>
          <w:rFonts w:ascii="Calibri" w:hAnsi="Calibri" w:cs="Calibri"/>
        </w:rPr>
        <w:t> </w:t>
      </w:r>
      <w:r w:rsidRPr="005A51C5">
        <w:t xml:space="preserve">10.3406/morfo.1996.885. </w:t>
      </w:r>
    </w:p>
    <w:p w14:paraId="3989B52D" w14:textId="77777777" w:rsidR="005A51C5" w:rsidRPr="005A51C5" w:rsidRDefault="005A51C5" w:rsidP="005A51C5">
      <w:pPr>
        <w:pStyle w:val="Bibliographie"/>
      </w:pPr>
      <w:r w:rsidRPr="005A51C5">
        <w:t xml:space="preserve">M. ZENDE, Abhijit et KISHOR PATIL, Sachin, 2015. SURFACE RUNOFF ANALYSIS FOR CHAND RIVER BASIN USING SCS-CN METHOD AND GEOGRAPHIC INFORMATION SYSTEM. In : </w:t>
      </w:r>
      <w:r w:rsidRPr="005A51C5">
        <w:rPr>
          <w:i/>
          <w:iCs/>
        </w:rPr>
        <w:t>ResearchGate</w:t>
      </w:r>
      <w:r w:rsidRPr="005A51C5">
        <w:t xml:space="preserve"> [en ligne]. 2015. [Consulté le 10 février 2026]. Disponible à l’adresse : https://www.researchgate.net/publication/354372407_SURFACE_RUNOFF_ANALYSIS_FOR_CHAND_RIVER_BASIN_USING_SCS-CN_METHOD_AND_GEOGRAPHIC_INFORMATION_SYSTEM</w:t>
      </w:r>
    </w:p>
    <w:p w14:paraId="72F84D58" w14:textId="77777777" w:rsidR="005A51C5" w:rsidRPr="005A51C5" w:rsidRDefault="005A51C5" w:rsidP="005A51C5">
      <w:pPr>
        <w:pStyle w:val="Bibliographie"/>
      </w:pPr>
      <w:r w:rsidRPr="005A51C5">
        <w:t>MÉTÉO-FRANCE, 2020. Météo-France éclaire le climat en France jusqu’en 2100. [en ligne]. 1 janvier 2020. [Consulté le 10 avril 2026]. Disponible à l’adresse : https://www.adaptation-changement-climatique.gouv.fr/agir/espace-documentaire/meteo-france-eclaire-climat-en-france-jusquen-2100</w:t>
      </w:r>
    </w:p>
    <w:p w14:paraId="3ABC2C8B" w14:textId="77777777" w:rsidR="005A51C5" w:rsidRPr="005A51C5" w:rsidRDefault="005A51C5" w:rsidP="005A51C5">
      <w:pPr>
        <w:pStyle w:val="Bibliographie"/>
      </w:pPr>
      <w:r w:rsidRPr="005A51C5">
        <w:t>MINISTÈRES AMÉNAGEMENT DU TERRITOIRE TRANSITION ÉCOLOGIQUE, 2024. Exposition sur le changement climatique | Ministères Aménagement du territoire Transition écologique. [en ligne]. 2024. [Consulté le 20 mars 2026]. Disponible à l’adresse : https://www.ecologie.gouv.fr/politiques-publiques/exposition-changement-climatique</w:t>
      </w:r>
    </w:p>
    <w:p w14:paraId="6005A8D6" w14:textId="77777777" w:rsidR="005A51C5" w:rsidRPr="005A51C5" w:rsidRDefault="005A51C5" w:rsidP="005A51C5">
      <w:pPr>
        <w:pStyle w:val="Bibliographie"/>
      </w:pPr>
      <w:r w:rsidRPr="005A51C5">
        <w:t xml:space="preserve">PANTHI, Jeeban, ARYAL, Suman, DAHAL, Piyush, BHANDARI, Parashuram, KRAKAUER, Nir et PANDEY, Vishnu, 2015. Livelihood vulnerability approach to assessing climate change impacts on mixed agro-livestock smallholders around the Gandaki River Basin in Nepal. </w:t>
      </w:r>
      <w:r w:rsidRPr="005A51C5">
        <w:rPr>
          <w:i/>
          <w:iCs/>
        </w:rPr>
        <w:t>Regional Environmental Change</w:t>
      </w:r>
      <w:r w:rsidRPr="005A51C5">
        <w:t xml:space="preserve">. 5 juillet 2015. Vol. 16. DOI 10.1007/s10113-015-0833-y. </w:t>
      </w:r>
    </w:p>
    <w:p w14:paraId="542AF980" w14:textId="77777777" w:rsidR="005A51C5" w:rsidRPr="005A51C5" w:rsidRDefault="005A51C5" w:rsidP="005A51C5">
      <w:pPr>
        <w:pStyle w:val="Bibliographie"/>
      </w:pPr>
      <w:r w:rsidRPr="005A51C5">
        <w:t xml:space="preserve">PERRONE, J et MADRAMOOTOO, C A, 1998. Improved curve number selection for runoff prediction. </w:t>
      </w:r>
      <w:r w:rsidRPr="005A51C5">
        <w:rPr>
          <w:i/>
          <w:iCs/>
        </w:rPr>
        <w:t>Canadian Journal of Civil Engineering</w:t>
      </w:r>
      <w:r w:rsidRPr="005A51C5">
        <w:t>. août 1998. Vol. 25, n° 4, pp. 728</w:t>
      </w:r>
      <w:r w:rsidRPr="005A51C5">
        <w:rPr>
          <w:rFonts w:ascii="Cambria Math" w:hAnsi="Cambria Math" w:cs="Cambria Math"/>
        </w:rPr>
        <w:t>‑</w:t>
      </w:r>
      <w:r w:rsidRPr="005A51C5">
        <w:t>734. DOI</w:t>
      </w:r>
      <w:r w:rsidRPr="005A51C5">
        <w:rPr>
          <w:rFonts w:ascii="Calibri" w:hAnsi="Calibri" w:cs="Calibri"/>
        </w:rPr>
        <w:t> </w:t>
      </w:r>
      <w:r w:rsidRPr="005A51C5">
        <w:t xml:space="preserve">10.1139/l98-007. </w:t>
      </w:r>
    </w:p>
    <w:p w14:paraId="0FB28296" w14:textId="77777777" w:rsidR="005A51C5" w:rsidRPr="005A51C5" w:rsidRDefault="005A51C5" w:rsidP="005A51C5">
      <w:pPr>
        <w:pStyle w:val="Bibliographie"/>
      </w:pPr>
      <w:r w:rsidRPr="005A51C5">
        <w:t xml:space="preserve">QUINTANA-SEGUÍ, P., MOIGNE, P. Le, DURAND, Y., MARTIN, E., HABETS, F., BAILLON, M., CANELLAS, C., FRANCHISTEGUY, L. et MOREL, S., 2008. Analysis of Near-Surface Atmospheric Variables: Validation of the SAFRAN Analysis over France. </w:t>
      </w:r>
      <w:r w:rsidRPr="005A51C5">
        <w:rPr>
          <w:i/>
          <w:iCs/>
        </w:rPr>
        <w:t>Journal of Applied Meteorology and Climatology</w:t>
      </w:r>
      <w:r w:rsidRPr="005A51C5">
        <w:t>. 1 janvier 2008. Vol. 47, n° 1, pp. 92</w:t>
      </w:r>
      <w:r w:rsidRPr="005A51C5">
        <w:rPr>
          <w:rFonts w:ascii="Cambria Math" w:hAnsi="Cambria Math" w:cs="Cambria Math"/>
        </w:rPr>
        <w:t>‑</w:t>
      </w:r>
      <w:r w:rsidRPr="005A51C5">
        <w:t>107. DOI</w:t>
      </w:r>
      <w:r w:rsidRPr="005A51C5">
        <w:rPr>
          <w:rFonts w:ascii="Calibri" w:hAnsi="Calibri" w:cs="Calibri"/>
        </w:rPr>
        <w:t> </w:t>
      </w:r>
      <w:r w:rsidRPr="005A51C5">
        <w:t xml:space="preserve">10.1175/2007JAMC1636.1. </w:t>
      </w:r>
    </w:p>
    <w:p w14:paraId="4E487B39" w14:textId="77777777" w:rsidR="005A51C5" w:rsidRPr="005A51C5" w:rsidRDefault="005A51C5" w:rsidP="005A51C5">
      <w:pPr>
        <w:pStyle w:val="Bibliographie"/>
      </w:pPr>
      <w:r w:rsidRPr="005A51C5">
        <w:t xml:space="preserve">SCOT, 2020. L’annexe 2 : le diagnostic agricole. </w:t>
      </w:r>
      <w:r w:rsidRPr="005A51C5">
        <w:rPr>
          <w:i/>
          <w:iCs/>
        </w:rPr>
        <w:t>Communauté de Communes de la Dombes</w:t>
      </w:r>
      <w:r w:rsidRPr="005A51C5">
        <w:t xml:space="preserve"> [en ligne]. 2020. [Consulté le 8 avril 2026]. Disponible à l’adresse : https://www.ccdombes.fr/vivre/amenagement-du-territoire/schema-de-coherence-territoriale-scot/</w:t>
      </w:r>
    </w:p>
    <w:p w14:paraId="4DAC2587" w14:textId="77777777" w:rsidR="005A51C5" w:rsidRPr="005A51C5" w:rsidRDefault="005A51C5" w:rsidP="005A51C5">
      <w:pPr>
        <w:pStyle w:val="Bibliographie"/>
      </w:pPr>
      <w:r w:rsidRPr="005A51C5">
        <w:t xml:space="preserve">SECRÉTARIAT DE LA CONVENTION DE RAMSAR, 2018. GWO 2018. </w:t>
      </w:r>
      <w:r w:rsidRPr="005A51C5">
        <w:rPr>
          <w:i/>
          <w:iCs/>
        </w:rPr>
        <w:t>Global Wetland Outlook</w:t>
      </w:r>
      <w:r w:rsidRPr="005A51C5">
        <w:t xml:space="preserve"> [en ligne]. 2018. [Consulté le 8 avril 2026]. Disponible à l’adresse : https://www.global-wetland-outlook.ramsar.org/gwo-2018</w:t>
      </w:r>
    </w:p>
    <w:p w14:paraId="6028947E" w14:textId="77777777" w:rsidR="005A51C5" w:rsidRPr="005A51C5" w:rsidRDefault="005A51C5" w:rsidP="005A51C5">
      <w:pPr>
        <w:pStyle w:val="Bibliographie"/>
      </w:pPr>
      <w:r w:rsidRPr="005A51C5">
        <w:lastRenderedPageBreak/>
        <w:t>SECRÉTARIAT DE LA CONVENTION SUR LES ZONES HUMIDES, 2024. Introducing the Convention on Wetlands | The Convention on Wetlands. [en ligne]. 2024. [Consulté le 8 avril 2026]. Disponible à l’adresse : https://www.ramsar.org/document/introducing-convention-wetlands</w:t>
      </w:r>
    </w:p>
    <w:p w14:paraId="0FD5878F" w14:textId="77777777" w:rsidR="005A51C5" w:rsidRPr="005A51C5" w:rsidRDefault="005A51C5" w:rsidP="005A51C5">
      <w:pPr>
        <w:pStyle w:val="Bibliographie"/>
      </w:pPr>
      <w:r w:rsidRPr="005A51C5">
        <w:t xml:space="preserve">SOUBEYROUX, J. M., VIDAL, Jean-Philippe, NAJAC, J., KITOVA, N., BLANCHARD, M., DANDIN, P., MARTIN, Eric, PAGÉ, Christian et HABETS, F., 2011. </w:t>
      </w:r>
      <w:r w:rsidRPr="005A51C5">
        <w:rPr>
          <w:i/>
          <w:iCs/>
        </w:rPr>
        <w:t>Projet ClimSec. Impact du changement climatique en France sur la sécheresse et l’eau du sol. Rapport final</w:t>
      </w:r>
      <w:r w:rsidRPr="005A51C5">
        <w:t xml:space="preserve"> [en ligne]. report. irstea. [Consulté le 30 mars 2026]. Disponible à l’adresse : https://hal.inrae.fr/hal-02595492</w:t>
      </w:r>
    </w:p>
    <w:p w14:paraId="0DBE2E00" w14:textId="77777777" w:rsidR="005A51C5" w:rsidRPr="005A51C5" w:rsidRDefault="005A51C5" w:rsidP="005A51C5">
      <w:pPr>
        <w:pStyle w:val="Bibliographie"/>
      </w:pPr>
      <w:r w:rsidRPr="005A51C5">
        <w:t xml:space="preserve">SOUBEYROUX, Jean-Michel, MARTIN, Eric, FRANCHISTEGUY, Laurent, HABETS, Florence, NOILHAN, Joel, BAILLON, Martine, ROUSSET, Fabienne, VIDAL, Jean-Philippe, LEMOIGNE, Patrick et MOREL, Sophie, 2008. Safran-Isba-Modcou (SIM) : Un outil pour le suivi hydrométéorologique opérationnel et les études. </w:t>
      </w:r>
      <w:r w:rsidRPr="005A51C5">
        <w:rPr>
          <w:i/>
          <w:iCs/>
        </w:rPr>
        <w:t>La Météorologie</w:t>
      </w:r>
      <w:r w:rsidRPr="005A51C5">
        <w:t>. 1 novembre 2008. pp. 40</w:t>
      </w:r>
      <w:r w:rsidRPr="005A51C5">
        <w:rPr>
          <w:rFonts w:ascii="Cambria Math" w:hAnsi="Cambria Math" w:cs="Cambria Math"/>
        </w:rPr>
        <w:t>‑</w:t>
      </w:r>
      <w:r w:rsidRPr="005A51C5">
        <w:t>45. DOI</w:t>
      </w:r>
      <w:r w:rsidRPr="005A51C5">
        <w:rPr>
          <w:rFonts w:ascii="Calibri" w:hAnsi="Calibri" w:cs="Calibri"/>
        </w:rPr>
        <w:t> </w:t>
      </w:r>
      <w:r w:rsidRPr="005A51C5">
        <w:t xml:space="preserve">10.4267/2042/21890. </w:t>
      </w:r>
    </w:p>
    <w:p w14:paraId="53F7808E" w14:textId="77777777" w:rsidR="005A51C5" w:rsidRPr="005A51C5" w:rsidRDefault="005A51C5" w:rsidP="005A51C5">
      <w:pPr>
        <w:pStyle w:val="Bibliographie"/>
      </w:pPr>
      <w:r w:rsidRPr="005A51C5">
        <w:t xml:space="preserve">UNKS, Ryan, KING, Elizabeth, NELSON, Don, WACHIRA, Naiputari et GERMAN, Laura, 2019. Constraints, multiple stressors, and stratified adaptation: Pastoralist livelihood vulnerability in a semi-arid wildlife conservation context in Central Kenya. </w:t>
      </w:r>
      <w:r w:rsidRPr="005A51C5">
        <w:rPr>
          <w:i/>
          <w:iCs/>
        </w:rPr>
        <w:t>Global Environmental Change</w:t>
      </w:r>
      <w:r w:rsidRPr="005A51C5">
        <w:t>. 1 janvier 2019. Vol. 54, pp. 124</w:t>
      </w:r>
      <w:r w:rsidRPr="005A51C5">
        <w:rPr>
          <w:rFonts w:ascii="Cambria Math" w:hAnsi="Cambria Math" w:cs="Cambria Math"/>
        </w:rPr>
        <w:t>‑</w:t>
      </w:r>
      <w:r w:rsidRPr="005A51C5">
        <w:t>134. DOI</w:t>
      </w:r>
      <w:r w:rsidRPr="005A51C5">
        <w:rPr>
          <w:rFonts w:ascii="Calibri" w:hAnsi="Calibri" w:cs="Calibri"/>
        </w:rPr>
        <w:t> </w:t>
      </w:r>
      <w:r w:rsidRPr="005A51C5">
        <w:t xml:space="preserve">10.1016/j.gloenvcha.2018.11.013. </w:t>
      </w:r>
    </w:p>
    <w:p w14:paraId="590B9729" w14:textId="77777777" w:rsidR="005A51C5" w:rsidRPr="005A51C5" w:rsidRDefault="005A51C5" w:rsidP="005A51C5">
      <w:pPr>
        <w:pStyle w:val="Bibliographie"/>
      </w:pPr>
      <w:r w:rsidRPr="005A51C5">
        <w:t xml:space="preserve">VERDIER, Jean et VIOLLET, Pierre-Louis, 2015. Les tensions sur l’eau en Europe et dans le bassin méditerranéen. Des crises de l’eau d’ici 2050. </w:t>
      </w:r>
      <w:r w:rsidRPr="005A51C5">
        <w:rPr>
          <w:i/>
          <w:iCs/>
        </w:rPr>
        <w:t>La Houille Blanche</w:t>
      </w:r>
      <w:r w:rsidRPr="005A51C5">
        <w:t>. 1 décembre 2015. Vol. 101, n° 6, pp. 102</w:t>
      </w:r>
      <w:r w:rsidRPr="005A51C5">
        <w:rPr>
          <w:rFonts w:ascii="Cambria Math" w:hAnsi="Cambria Math" w:cs="Cambria Math"/>
        </w:rPr>
        <w:t>‑</w:t>
      </w:r>
      <w:r w:rsidRPr="005A51C5">
        <w:t>107. DOI</w:t>
      </w:r>
      <w:r w:rsidRPr="005A51C5">
        <w:rPr>
          <w:rFonts w:ascii="Calibri" w:hAnsi="Calibri" w:cs="Calibri"/>
        </w:rPr>
        <w:t> </w:t>
      </w:r>
      <w:r w:rsidRPr="005A51C5">
        <w:t xml:space="preserve">10.1051/lhb/20150075. </w:t>
      </w:r>
    </w:p>
    <w:p w14:paraId="2CB2D5FD" w14:textId="77777777" w:rsidR="005A51C5" w:rsidRPr="005A51C5" w:rsidRDefault="005A51C5" w:rsidP="005A51C5">
      <w:pPr>
        <w:pStyle w:val="Bibliographie"/>
      </w:pPr>
      <w:r w:rsidRPr="005A51C5">
        <w:t xml:space="preserve">VIDAL, Jean-Philippe, MARTIN, Eric, FRANCHISTÉGUY, Laurent, BAILLON, Martine et SOUBEYROUX, Jean-Michel, 2010. A 50-year high-resolution atmospheric reanalysis over France with the Safran system. </w:t>
      </w:r>
      <w:r w:rsidRPr="005A51C5">
        <w:rPr>
          <w:i/>
          <w:iCs/>
        </w:rPr>
        <w:t>International Journal of Climatology</w:t>
      </w:r>
      <w:r w:rsidRPr="005A51C5">
        <w:t>. 2010. Vol. 30, n° 11, pp. 1627</w:t>
      </w:r>
      <w:r w:rsidRPr="005A51C5">
        <w:rPr>
          <w:rFonts w:ascii="Cambria Math" w:hAnsi="Cambria Math" w:cs="Cambria Math"/>
        </w:rPr>
        <w:t>‑</w:t>
      </w:r>
      <w:r w:rsidRPr="005A51C5">
        <w:t>1644. DOI</w:t>
      </w:r>
      <w:r w:rsidRPr="005A51C5">
        <w:rPr>
          <w:rFonts w:ascii="Calibri" w:hAnsi="Calibri" w:cs="Calibri"/>
        </w:rPr>
        <w:t> </w:t>
      </w:r>
      <w:r w:rsidRPr="005A51C5">
        <w:t xml:space="preserve">10.1002/joc.2003. </w:t>
      </w:r>
    </w:p>
    <w:p w14:paraId="63C8196F" w14:textId="77777777" w:rsidR="005A51C5" w:rsidRPr="005A51C5" w:rsidRDefault="005A51C5" w:rsidP="005A51C5">
      <w:pPr>
        <w:pStyle w:val="Bibliographie"/>
      </w:pPr>
      <w:r w:rsidRPr="005A51C5">
        <w:t xml:space="preserve">WILLIAMS, KANNAN, Narayanan, WANG, Xiuying (Susan), SANTHI, C. et ARNOLD, Jeff, 2012. Evolution of the SCS Runoff Curve Number Method and Its Application to Continuous Runoff Simulation. </w:t>
      </w:r>
      <w:r w:rsidRPr="005A51C5">
        <w:rPr>
          <w:i/>
          <w:iCs/>
        </w:rPr>
        <w:t>Journal of Hydrologic Engineering</w:t>
      </w:r>
      <w:r w:rsidRPr="005A51C5">
        <w:t>. 1 novembre 2012. Vol. 17, pp. 1221</w:t>
      </w:r>
      <w:r w:rsidRPr="005A51C5">
        <w:rPr>
          <w:rFonts w:ascii="Cambria Math" w:hAnsi="Cambria Math" w:cs="Cambria Math"/>
        </w:rPr>
        <w:t>‑</w:t>
      </w:r>
      <w:r w:rsidRPr="005A51C5">
        <w:t>1229. DOI</w:t>
      </w:r>
      <w:r w:rsidRPr="005A51C5">
        <w:rPr>
          <w:rFonts w:ascii="Calibri" w:hAnsi="Calibri" w:cs="Calibri"/>
        </w:rPr>
        <w:t> </w:t>
      </w:r>
      <w:r w:rsidRPr="005A51C5">
        <w:t xml:space="preserve">10.1061/(ASCE)HE.1943-5584.0000529. </w:t>
      </w:r>
    </w:p>
    <w:p w14:paraId="0E849EF4" w14:textId="77777777" w:rsidR="005A51C5" w:rsidRPr="005A51C5" w:rsidRDefault="005A51C5" w:rsidP="005A51C5">
      <w:pPr>
        <w:pStyle w:val="Bibliographie"/>
      </w:pPr>
      <w:r w:rsidRPr="005A51C5">
        <w:t xml:space="preserve">ZAATRA, Abderraouf, REQUIER-DESJARDINS, Mélanie, REY-VALETTE, Hélène, BLAYAC, Thierry et BELHOUCHETTE, Hatem, 2025. Assessment of farm vulnerability to climate change in Southern France. </w:t>
      </w:r>
      <w:r w:rsidRPr="005A51C5">
        <w:rPr>
          <w:i/>
          <w:iCs/>
        </w:rPr>
        <w:t>Land</w:t>
      </w:r>
      <w:r w:rsidRPr="005A51C5">
        <w:t xml:space="preserve">. 1 juillet 2025. Vol. 14, n° 7, pp. 1388. DOI 10.3390/land14071388. </w:t>
      </w:r>
    </w:p>
    <w:p w14:paraId="40E64F23" w14:textId="2CA486BB" w:rsidR="000F5603" w:rsidRDefault="000F5603" w:rsidP="000F5603">
      <w:pPr>
        <w:pStyle w:val="Titre2"/>
      </w:pPr>
      <w:r>
        <w:fldChar w:fldCharType="end"/>
      </w:r>
    </w:p>
    <w:sectPr w:rsidR="000F5603" w:rsidSect="00302BE9">
      <w:footerReference w:type="default" r:id="rId14"/>
      <w:pgSz w:w="11906" w:h="16838"/>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D8FE9C" w14:textId="77777777" w:rsidR="00415A4E" w:rsidRDefault="00415A4E" w:rsidP="007E3AE2">
      <w:pPr>
        <w:spacing w:after="0" w:line="240" w:lineRule="auto"/>
      </w:pPr>
      <w:r>
        <w:separator/>
      </w:r>
    </w:p>
  </w:endnote>
  <w:endnote w:type="continuationSeparator" w:id="0">
    <w:p w14:paraId="76F2580C" w14:textId="77777777" w:rsidR="00415A4E" w:rsidRDefault="00415A4E" w:rsidP="007E3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9D6D07" w14:textId="682B8357" w:rsidR="00302BE9" w:rsidRDefault="00302BE9" w:rsidP="00302BE9">
    <w:pPr>
      <w:pStyle w:val="Pieddepage"/>
    </w:pPr>
  </w:p>
  <w:p w14:paraId="7DB286DD" w14:textId="77777777" w:rsidR="007E3AE2" w:rsidRDefault="007E3AE2">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56590564"/>
      <w:docPartObj>
        <w:docPartGallery w:val="Page Numbers (Bottom of Page)"/>
        <w:docPartUnique/>
      </w:docPartObj>
    </w:sdtPr>
    <w:sdtEndPr/>
    <w:sdtContent>
      <w:p w14:paraId="149DAF8F" w14:textId="77777777" w:rsidR="00302BE9" w:rsidRDefault="00302BE9">
        <w:pPr>
          <w:pStyle w:val="Pieddepage"/>
          <w:jc w:val="center"/>
        </w:pPr>
        <w:r>
          <w:fldChar w:fldCharType="begin"/>
        </w:r>
        <w:r>
          <w:instrText>PAGE   \* MERGEFORMAT</w:instrText>
        </w:r>
        <w:r>
          <w:fldChar w:fldCharType="separate"/>
        </w:r>
        <w:r>
          <w:t>2</w:t>
        </w:r>
        <w:r>
          <w:fldChar w:fldCharType="end"/>
        </w:r>
      </w:p>
    </w:sdtContent>
  </w:sdt>
  <w:p w14:paraId="0064C836" w14:textId="77777777" w:rsidR="00302BE9" w:rsidRDefault="00302BE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0F90B9" w14:textId="77777777" w:rsidR="00415A4E" w:rsidRDefault="00415A4E" w:rsidP="007E3AE2">
      <w:pPr>
        <w:spacing w:after="0" w:line="240" w:lineRule="auto"/>
      </w:pPr>
      <w:r>
        <w:separator/>
      </w:r>
    </w:p>
  </w:footnote>
  <w:footnote w:type="continuationSeparator" w:id="0">
    <w:p w14:paraId="37D05B71" w14:textId="77777777" w:rsidR="00415A4E" w:rsidRDefault="00415A4E" w:rsidP="007E3A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D4117"/>
    <w:multiLevelType w:val="hybridMultilevel"/>
    <w:tmpl w:val="B6D6E13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99D4A04"/>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AA30C0E"/>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C9B25BF"/>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06C10A6"/>
    <w:multiLevelType w:val="hybridMultilevel"/>
    <w:tmpl w:val="A516E8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1EB5E47"/>
    <w:multiLevelType w:val="hybridMultilevel"/>
    <w:tmpl w:val="3A6EE9C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59153A7"/>
    <w:multiLevelType w:val="hybridMultilevel"/>
    <w:tmpl w:val="E09663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66A6291"/>
    <w:multiLevelType w:val="multilevel"/>
    <w:tmpl w:val="2E4A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E94D3A"/>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B35429E"/>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B8B2475"/>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7613CC5"/>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32817B2"/>
    <w:multiLevelType w:val="hybridMultilevel"/>
    <w:tmpl w:val="7292C0E8"/>
    <w:lvl w:ilvl="0" w:tplc="10E0BB68">
      <w:start w:val="1"/>
      <w:numFmt w:val="bullet"/>
      <w:lvlText w:val="•"/>
      <w:lvlJc w:val="left"/>
      <w:pPr>
        <w:tabs>
          <w:tab w:val="num" w:pos="720"/>
        </w:tabs>
        <w:ind w:left="720" w:hanging="360"/>
      </w:pPr>
      <w:rPr>
        <w:rFonts w:ascii="Arial" w:hAnsi="Arial" w:hint="default"/>
      </w:rPr>
    </w:lvl>
    <w:lvl w:ilvl="1" w:tplc="F90CE986" w:tentative="1">
      <w:start w:val="1"/>
      <w:numFmt w:val="bullet"/>
      <w:lvlText w:val="•"/>
      <w:lvlJc w:val="left"/>
      <w:pPr>
        <w:tabs>
          <w:tab w:val="num" w:pos="1440"/>
        </w:tabs>
        <w:ind w:left="1440" w:hanging="360"/>
      </w:pPr>
      <w:rPr>
        <w:rFonts w:ascii="Arial" w:hAnsi="Arial" w:hint="default"/>
      </w:rPr>
    </w:lvl>
    <w:lvl w:ilvl="2" w:tplc="66DA5150" w:tentative="1">
      <w:start w:val="1"/>
      <w:numFmt w:val="bullet"/>
      <w:lvlText w:val="•"/>
      <w:lvlJc w:val="left"/>
      <w:pPr>
        <w:tabs>
          <w:tab w:val="num" w:pos="2160"/>
        </w:tabs>
        <w:ind w:left="2160" w:hanging="360"/>
      </w:pPr>
      <w:rPr>
        <w:rFonts w:ascii="Arial" w:hAnsi="Arial" w:hint="default"/>
      </w:rPr>
    </w:lvl>
    <w:lvl w:ilvl="3" w:tplc="C79059A2" w:tentative="1">
      <w:start w:val="1"/>
      <w:numFmt w:val="bullet"/>
      <w:lvlText w:val="•"/>
      <w:lvlJc w:val="left"/>
      <w:pPr>
        <w:tabs>
          <w:tab w:val="num" w:pos="2880"/>
        </w:tabs>
        <w:ind w:left="2880" w:hanging="360"/>
      </w:pPr>
      <w:rPr>
        <w:rFonts w:ascii="Arial" w:hAnsi="Arial" w:hint="default"/>
      </w:rPr>
    </w:lvl>
    <w:lvl w:ilvl="4" w:tplc="1F58E120" w:tentative="1">
      <w:start w:val="1"/>
      <w:numFmt w:val="bullet"/>
      <w:lvlText w:val="•"/>
      <w:lvlJc w:val="left"/>
      <w:pPr>
        <w:tabs>
          <w:tab w:val="num" w:pos="3600"/>
        </w:tabs>
        <w:ind w:left="3600" w:hanging="360"/>
      </w:pPr>
      <w:rPr>
        <w:rFonts w:ascii="Arial" w:hAnsi="Arial" w:hint="default"/>
      </w:rPr>
    </w:lvl>
    <w:lvl w:ilvl="5" w:tplc="331E870A" w:tentative="1">
      <w:start w:val="1"/>
      <w:numFmt w:val="bullet"/>
      <w:lvlText w:val="•"/>
      <w:lvlJc w:val="left"/>
      <w:pPr>
        <w:tabs>
          <w:tab w:val="num" w:pos="4320"/>
        </w:tabs>
        <w:ind w:left="4320" w:hanging="360"/>
      </w:pPr>
      <w:rPr>
        <w:rFonts w:ascii="Arial" w:hAnsi="Arial" w:hint="default"/>
      </w:rPr>
    </w:lvl>
    <w:lvl w:ilvl="6" w:tplc="F44A789E" w:tentative="1">
      <w:start w:val="1"/>
      <w:numFmt w:val="bullet"/>
      <w:lvlText w:val="•"/>
      <w:lvlJc w:val="left"/>
      <w:pPr>
        <w:tabs>
          <w:tab w:val="num" w:pos="5040"/>
        </w:tabs>
        <w:ind w:left="5040" w:hanging="360"/>
      </w:pPr>
      <w:rPr>
        <w:rFonts w:ascii="Arial" w:hAnsi="Arial" w:hint="default"/>
      </w:rPr>
    </w:lvl>
    <w:lvl w:ilvl="7" w:tplc="BC360554" w:tentative="1">
      <w:start w:val="1"/>
      <w:numFmt w:val="bullet"/>
      <w:lvlText w:val="•"/>
      <w:lvlJc w:val="left"/>
      <w:pPr>
        <w:tabs>
          <w:tab w:val="num" w:pos="5760"/>
        </w:tabs>
        <w:ind w:left="5760" w:hanging="360"/>
      </w:pPr>
      <w:rPr>
        <w:rFonts w:ascii="Arial" w:hAnsi="Arial" w:hint="default"/>
      </w:rPr>
    </w:lvl>
    <w:lvl w:ilvl="8" w:tplc="C5BA04BA"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4392786A"/>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7D84E71"/>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99567FD"/>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08A5FC8"/>
    <w:multiLevelType w:val="hybridMultilevel"/>
    <w:tmpl w:val="E6307EB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7" w15:restartNumberingAfterBreak="0">
    <w:nsid w:val="630C16C8"/>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8E86C25"/>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C456FA1"/>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D7625AC"/>
    <w:multiLevelType w:val="hybridMultilevel"/>
    <w:tmpl w:val="06FC61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6FC93C08"/>
    <w:multiLevelType w:val="hybridMultilevel"/>
    <w:tmpl w:val="A95A7E0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6FD92A6F"/>
    <w:multiLevelType w:val="multilevel"/>
    <w:tmpl w:val="23F6E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966550"/>
    <w:multiLevelType w:val="multilevel"/>
    <w:tmpl w:val="D28E2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5CB48D4"/>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7B80FFE"/>
    <w:multiLevelType w:val="hybridMultilevel"/>
    <w:tmpl w:val="78086D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786503A0"/>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7"/>
  </w:num>
  <w:num w:numId="2">
    <w:abstractNumId w:val="20"/>
  </w:num>
  <w:num w:numId="3">
    <w:abstractNumId w:val="22"/>
  </w:num>
  <w:num w:numId="4">
    <w:abstractNumId w:val="12"/>
  </w:num>
  <w:num w:numId="5">
    <w:abstractNumId w:val="25"/>
  </w:num>
  <w:num w:numId="6">
    <w:abstractNumId w:val="21"/>
  </w:num>
  <w:num w:numId="7">
    <w:abstractNumId w:val="23"/>
  </w:num>
  <w:num w:numId="8">
    <w:abstractNumId w:val="6"/>
  </w:num>
  <w:num w:numId="9">
    <w:abstractNumId w:val="4"/>
  </w:num>
  <w:num w:numId="10">
    <w:abstractNumId w:val="0"/>
  </w:num>
  <w:num w:numId="11">
    <w:abstractNumId w:val="5"/>
  </w:num>
  <w:num w:numId="12">
    <w:abstractNumId w:val="19"/>
  </w:num>
  <w:num w:numId="13">
    <w:abstractNumId w:val="9"/>
  </w:num>
  <w:num w:numId="14">
    <w:abstractNumId w:val="1"/>
  </w:num>
  <w:num w:numId="15">
    <w:abstractNumId w:val="11"/>
  </w:num>
  <w:num w:numId="16">
    <w:abstractNumId w:val="15"/>
  </w:num>
  <w:num w:numId="17">
    <w:abstractNumId w:val="17"/>
  </w:num>
  <w:num w:numId="18">
    <w:abstractNumId w:val="16"/>
  </w:num>
  <w:num w:numId="19">
    <w:abstractNumId w:val="10"/>
  </w:num>
  <w:num w:numId="20">
    <w:abstractNumId w:val="24"/>
  </w:num>
  <w:num w:numId="21">
    <w:abstractNumId w:val="3"/>
  </w:num>
  <w:num w:numId="22">
    <w:abstractNumId w:val="2"/>
  </w:num>
  <w:num w:numId="23">
    <w:abstractNumId w:val="13"/>
  </w:num>
  <w:num w:numId="24">
    <w:abstractNumId w:val="8"/>
  </w:num>
  <w:num w:numId="25">
    <w:abstractNumId w:val="14"/>
  </w:num>
  <w:num w:numId="26">
    <w:abstractNumId w:val="26"/>
  </w:num>
  <w:num w:numId="2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3BC"/>
    <w:rsid w:val="0000008B"/>
    <w:rsid w:val="00004D07"/>
    <w:rsid w:val="00012DB1"/>
    <w:rsid w:val="00016F3F"/>
    <w:rsid w:val="000177B7"/>
    <w:rsid w:val="00026BC0"/>
    <w:rsid w:val="000270A9"/>
    <w:rsid w:val="00027A40"/>
    <w:rsid w:val="0004232B"/>
    <w:rsid w:val="0004556B"/>
    <w:rsid w:val="00063484"/>
    <w:rsid w:val="00064067"/>
    <w:rsid w:val="00065EA6"/>
    <w:rsid w:val="00081E79"/>
    <w:rsid w:val="00092867"/>
    <w:rsid w:val="00092EC2"/>
    <w:rsid w:val="000A29E0"/>
    <w:rsid w:val="000A3033"/>
    <w:rsid w:val="000A71CA"/>
    <w:rsid w:val="000C2859"/>
    <w:rsid w:val="000D114D"/>
    <w:rsid w:val="000E024F"/>
    <w:rsid w:val="000E1AC8"/>
    <w:rsid w:val="000E3498"/>
    <w:rsid w:val="000F47DC"/>
    <w:rsid w:val="000F5603"/>
    <w:rsid w:val="000F6240"/>
    <w:rsid w:val="00102522"/>
    <w:rsid w:val="00102606"/>
    <w:rsid w:val="00110E9F"/>
    <w:rsid w:val="00122EB0"/>
    <w:rsid w:val="00136B91"/>
    <w:rsid w:val="00152AEF"/>
    <w:rsid w:val="001A5B48"/>
    <w:rsid w:val="001B0162"/>
    <w:rsid w:val="001C0F7D"/>
    <w:rsid w:val="001F3B09"/>
    <w:rsid w:val="002106F7"/>
    <w:rsid w:val="00230B37"/>
    <w:rsid w:val="00237DBA"/>
    <w:rsid w:val="0024472B"/>
    <w:rsid w:val="00245BFF"/>
    <w:rsid w:val="00271017"/>
    <w:rsid w:val="00282D6F"/>
    <w:rsid w:val="00287AB1"/>
    <w:rsid w:val="002906B5"/>
    <w:rsid w:val="00296602"/>
    <w:rsid w:val="002A19D7"/>
    <w:rsid w:val="002B0EF3"/>
    <w:rsid w:val="002B1952"/>
    <w:rsid w:val="002B2417"/>
    <w:rsid w:val="002D2498"/>
    <w:rsid w:val="002E5BC9"/>
    <w:rsid w:val="00302BE9"/>
    <w:rsid w:val="00317D4C"/>
    <w:rsid w:val="00331D9A"/>
    <w:rsid w:val="0033448D"/>
    <w:rsid w:val="003417E9"/>
    <w:rsid w:val="00355AA4"/>
    <w:rsid w:val="00360C71"/>
    <w:rsid w:val="00361161"/>
    <w:rsid w:val="00361AE5"/>
    <w:rsid w:val="003726B7"/>
    <w:rsid w:val="0038030E"/>
    <w:rsid w:val="003901BF"/>
    <w:rsid w:val="0039469C"/>
    <w:rsid w:val="00396E77"/>
    <w:rsid w:val="00396EF9"/>
    <w:rsid w:val="003B2C17"/>
    <w:rsid w:val="003F0430"/>
    <w:rsid w:val="003F2070"/>
    <w:rsid w:val="003F30C1"/>
    <w:rsid w:val="00414C1F"/>
    <w:rsid w:val="00415A4E"/>
    <w:rsid w:val="004422DE"/>
    <w:rsid w:val="00446376"/>
    <w:rsid w:val="004465E0"/>
    <w:rsid w:val="00455BE7"/>
    <w:rsid w:val="00457111"/>
    <w:rsid w:val="00483F64"/>
    <w:rsid w:val="0048493E"/>
    <w:rsid w:val="0049284B"/>
    <w:rsid w:val="00497192"/>
    <w:rsid w:val="00497B10"/>
    <w:rsid w:val="004B1702"/>
    <w:rsid w:val="004C506F"/>
    <w:rsid w:val="004C6BB0"/>
    <w:rsid w:val="004D1584"/>
    <w:rsid w:val="004D59CD"/>
    <w:rsid w:val="004D640A"/>
    <w:rsid w:val="004E1D6E"/>
    <w:rsid w:val="004F4621"/>
    <w:rsid w:val="00522E1D"/>
    <w:rsid w:val="0052648E"/>
    <w:rsid w:val="0053242B"/>
    <w:rsid w:val="00570AE1"/>
    <w:rsid w:val="00573032"/>
    <w:rsid w:val="005A3422"/>
    <w:rsid w:val="005A51C5"/>
    <w:rsid w:val="005C4CF7"/>
    <w:rsid w:val="005E2382"/>
    <w:rsid w:val="005E60C7"/>
    <w:rsid w:val="006069EA"/>
    <w:rsid w:val="00615603"/>
    <w:rsid w:val="00615D0E"/>
    <w:rsid w:val="00622010"/>
    <w:rsid w:val="0062540A"/>
    <w:rsid w:val="00635949"/>
    <w:rsid w:val="00642006"/>
    <w:rsid w:val="00652285"/>
    <w:rsid w:val="00652D88"/>
    <w:rsid w:val="00676BE1"/>
    <w:rsid w:val="0067742B"/>
    <w:rsid w:val="00680677"/>
    <w:rsid w:val="006913B9"/>
    <w:rsid w:val="006A64D0"/>
    <w:rsid w:val="006A6EBC"/>
    <w:rsid w:val="006C0468"/>
    <w:rsid w:val="006C464F"/>
    <w:rsid w:val="006C4BF8"/>
    <w:rsid w:val="006D47DE"/>
    <w:rsid w:val="006E7991"/>
    <w:rsid w:val="00731870"/>
    <w:rsid w:val="007319F3"/>
    <w:rsid w:val="007328B8"/>
    <w:rsid w:val="0074233B"/>
    <w:rsid w:val="00742DDE"/>
    <w:rsid w:val="00762AC2"/>
    <w:rsid w:val="00783136"/>
    <w:rsid w:val="007963BC"/>
    <w:rsid w:val="007A4BB0"/>
    <w:rsid w:val="007D20FA"/>
    <w:rsid w:val="007D4ED6"/>
    <w:rsid w:val="007E3AE2"/>
    <w:rsid w:val="007E7058"/>
    <w:rsid w:val="007F1ACF"/>
    <w:rsid w:val="007F68BE"/>
    <w:rsid w:val="008062E2"/>
    <w:rsid w:val="008144C2"/>
    <w:rsid w:val="00835946"/>
    <w:rsid w:val="0085023E"/>
    <w:rsid w:val="00856708"/>
    <w:rsid w:val="00892405"/>
    <w:rsid w:val="008B08A7"/>
    <w:rsid w:val="008C4375"/>
    <w:rsid w:val="008D3701"/>
    <w:rsid w:val="008D6296"/>
    <w:rsid w:val="008E6356"/>
    <w:rsid w:val="009204A4"/>
    <w:rsid w:val="00923676"/>
    <w:rsid w:val="00952DD6"/>
    <w:rsid w:val="0095525E"/>
    <w:rsid w:val="0096621E"/>
    <w:rsid w:val="00971B78"/>
    <w:rsid w:val="00974BCD"/>
    <w:rsid w:val="0098212E"/>
    <w:rsid w:val="009834C3"/>
    <w:rsid w:val="00990C87"/>
    <w:rsid w:val="0099497A"/>
    <w:rsid w:val="009B4072"/>
    <w:rsid w:val="009E10FA"/>
    <w:rsid w:val="009E3AC6"/>
    <w:rsid w:val="009E4F5D"/>
    <w:rsid w:val="00A04256"/>
    <w:rsid w:val="00A31901"/>
    <w:rsid w:val="00A40837"/>
    <w:rsid w:val="00A42366"/>
    <w:rsid w:val="00A4299C"/>
    <w:rsid w:val="00A66AD1"/>
    <w:rsid w:val="00A712E5"/>
    <w:rsid w:val="00A73FBD"/>
    <w:rsid w:val="00A77433"/>
    <w:rsid w:val="00A8292E"/>
    <w:rsid w:val="00A91920"/>
    <w:rsid w:val="00AB2180"/>
    <w:rsid w:val="00AB3E83"/>
    <w:rsid w:val="00AB6674"/>
    <w:rsid w:val="00AB7ABF"/>
    <w:rsid w:val="00AC0876"/>
    <w:rsid w:val="00AC3F85"/>
    <w:rsid w:val="00AC4704"/>
    <w:rsid w:val="00AE161C"/>
    <w:rsid w:val="00AE3B2B"/>
    <w:rsid w:val="00AF7449"/>
    <w:rsid w:val="00B23987"/>
    <w:rsid w:val="00B25CD7"/>
    <w:rsid w:val="00B34E54"/>
    <w:rsid w:val="00B66AA9"/>
    <w:rsid w:val="00B67F9A"/>
    <w:rsid w:val="00B76239"/>
    <w:rsid w:val="00B820B8"/>
    <w:rsid w:val="00B91811"/>
    <w:rsid w:val="00B96434"/>
    <w:rsid w:val="00BB1723"/>
    <w:rsid w:val="00BB4E06"/>
    <w:rsid w:val="00BB582A"/>
    <w:rsid w:val="00BC6E00"/>
    <w:rsid w:val="00BD0A2B"/>
    <w:rsid w:val="00BD0CD3"/>
    <w:rsid w:val="00BF49A1"/>
    <w:rsid w:val="00C01B55"/>
    <w:rsid w:val="00C139D2"/>
    <w:rsid w:val="00C33505"/>
    <w:rsid w:val="00C352FF"/>
    <w:rsid w:val="00C41E7E"/>
    <w:rsid w:val="00C60CA4"/>
    <w:rsid w:val="00C62ACC"/>
    <w:rsid w:val="00C67A14"/>
    <w:rsid w:val="00C819C5"/>
    <w:rsid w:val="00C81A4E"/>
    <w:rsid w:val="00C86798"/>
    <w:rsid w:val="00C973E2"/>
    <w:rsid w:val="00CA0C83"/>
    <w:rsid w:val="00CA138F"/>
    <w:rsid w:val="00CB605C"/>
    <w:rsid w:val="00CB6C0E"/>
    <w:rsid w:val="00CB72CF"/>
    <w:rsid w:val="00CC00D3"/>
    <w:rsid w:val="00CE588B"/>
    <w:rsid w:val="00CF4590"/>
    <w:rsid w:val="00D140FD"/>
    <w:rsid w:val="00D1662B"/>
    <w:rsid w:val="00D21224"/>
    <w:rsid w:val="00D33529"/>
    <w:rsid w:val="00D5060C"/>
    <w:rsid w:val="00D66181"/>
    <w:rsid w:val="00D80EA3"/>
    <w:rsid w:val="00D969AF"/>
    <w:rsid w:val="00DA0902"/>
    <w:rsid w:val="00DA30B4"/>
    <w:rsid w:val="00DA602C"/>
    <w:rsid w:val="00DB4771"/>
    <w:rsid w:val="00DB62CC"/>
    <w:rsid w:val="00DC17D6"/>
    <w:rsid w:val="00DC5DFB"/>
    <w:rsid w:val="00DC77ED"/>
    <w:rsid w:val="00DE0A45"/>
    <w:rsid w:val="00DF1CCB"/>
    <w:rsid w:val="00E06684"/>
    <w:rsid w:val="00E312FC"/>
    <w:rsid w:val="00E32723"/>
    <w:rsid w:val="00E4759D"/>
    <w:rsid w:val="00E56BAC"/>
    <w:rsid w:val="00E61706"/>
    <w:rsid w:val="00E63843"/>
    <w:rsid w:val="00E66384"/>
    <w:rsid w:val="00E677E3"/>
    <w:rsid w:val="00E75EF4"/>
    <w:rsid w:val="00E93C3B"/>
    <w:rsid w:val="00E97FD0"/>
    <w:rsid w:val="00EA4724"/>
    <w:rsid w:val="00ED0129"/>
    <w:rsid w:val="00ED29A3"/>
    <w:rsid w:val="00ED2ADC"/>
    <w:rsid w:val="00EE1A6D"/>
    <w:rsid w:val="00EF1B4B"/>
    <w:rsid w:val="00F025FB"/>
    <w:rsid w:val="00F04DF2"/>
    <w:rsid w:val="00F120FE"/>
    <w:rsid w:val="00F1323A"/>
    <w:rsid w:val="00F203C5"/>
    <w:rsid w:val="00F26237"/>
    <w:rsid w:val="00F47683"/>
    <w:rsid w:val="00F62683"/>
    <w:rsid w:val="00F803B3"/>
    <w:rsid w:val="00F854DC"/>
    <w:rsid w:val="00F85E95"/>
    <w:rsid w:val="00FA71ED"/>
    <w:rsid w:val="00FB6557"/>
    <w:rsid w:val="00FB7D37"/>
    <w:rsid w:val="00FE476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E4860"/>
  <w15:chartTrackingRefBased/>
  <w15:docId w15:val="{5FD1865D-8B58-4E87-BC78-C052FD913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834C3"/>
    <w:pPr>
      <w:keepNext/>
      <w:keepLines/>
      <w:spacing w:before="240" w:after="0"/>
      <w:outlineLvl w:val="0"/>
    </w:pPr>
    <w:rPr>
      <w:rFonts w:asciiTheme="majorHAnsi" w:eastAsiaTheme="majorEastAsia" w:hAnsiTheme="majorHAnsi" w:cstheme="majorBidi"/>
      <w:b/>
      <w:color w:val="000000" w:themeColor="text1"/>
      <w:sz w:val="32"/>
      <w:szCs w:val="32"/>
    </w:rPr>
  </w:style>
  <w:style w:type="paragraph" w:styleId="Titre2">
    <w:name w:val="heading 2"/>
    <w:basedOn w:val="Normal"/>
    <w:link w:val="Titre2Car"/>
    <w:uiPriority w:val="9"/>
    <w:qFormat/>
    <w:rsid w:val="009834C3"/>
    <w:pPr>
      <w:spacing w:before="100" w:beforeAutospacing="1" w:after="100" w:afterAutospacing="1" w:line="240" w:lineRule="auto"/>
      <w:outlineLvl w:val="1"/>
    </w:pPr>
    <w:rPr>
      <w:rFonts w:asciiTheme="majorHAnsi" w:eastAsia="Times New Roman" w:hAnsiTheme="majorHAnsi" w:cs="Times New Roman"/>
      <w:b/>
      <w:bCs/>
      <w:sz w:val="28"/>
      <w:szCs w:val="36"/>
      <w:lang w:eastAsia="fr-FR"/>
    </w:rPr>
  </w:style>
  <w:style w:type="paragraph" w:styleId="Titre3">
    <w:name w:val="heading 3"/>
    <w:basedOn w:val="Normal"/>
    <w:next w:val="Normal"/>
    <w:link w:val="Titre3Car"/>
    <w:uiPriority w:val="9"/>
    <w:unhideWhenUsed/>
    <w:qFormat/>
    <w:rsid w:val="008B08A7"/>
    <w:pPr>
      <w:keepNext/>
      <w:keepLines/>
      <w:spacing w:before="40" w:after="0"/>
      <w:outlineLvl w:val="2"/>
    </w:pPr>
    <w:rPr>
      <w:rFonts w:asciiTheme="majorHAnsi" w:eastAsiaTheme="majorEastAsia" w:hAnsiTheme="majorHAnsi" w:cstheme="majorBidi"/>
      <w:b/>
      <w:color w:val="000000" w:themeColor="text1"/>
      <w:sz w:val="24"/>
      <w:szCs w:val="24"/>
    </w:rPr>
  </w:style>
  <w:style w:type="paragraph" w:styleId="Titre4">
    <w:name w:val="heading 4"/>
    <w:basedOn w:val="Normal"/>
    <w:next w:val="Normal"/>
    <w:link w:val="Titre4Car"/>
    <w:uiPriority w:val="9"/>
    <w:unhideWhenUsed/>
    <w:qFormat/>
    <w:rsid w:val="003901BF"/>
    <w:pPr>
      <w:keepNext/>
      <w:keepLines/>
      <w:spacing w:before="40" w:after="0"/>
      <w:outlineLvl w:val="3"/>
    </w:pPr>
    <w:rPr>
      <w:rFonts w:asciiTheme="majorHAnsi" w:eastAsiaTheme="majorEastAsia" w:hAnsiTheme="majorHAnsi" w:cstheme="majorBidi"/>
      <w:b/>
      <w:iCs/>
      <w:color w:val="000000" w:themeColor="tex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AB3E83"/>
    <w:rPr>
      <w:color w:val="0563C1" w:themeColor="hyperlink"/>
      <w:u w:val="single"/>
    </w:rPr>
  </w:style>
  <w:style w:type="character" w:styleId="Mentionnonrsolue">
    <w:name w:val="Unresolved Mention"/>
    <w:basedOn w:val="Policepardfaut"/>
    <w:uiPriority w:val="99"/>
    <w:semiHidden/>
    <w:unhideWhenUsed/>
    <w:rsid w:val="00AB3E83"/>
    <w:rPr>
      <w:color w:val="605E5C"/>
      <w:shd w:val="clear" w:color="auto" w:fill="E1DFDD"/>
    </w:rPr>
  </w:style>
  <w:style w:type="paragraph" w:styleId="NormalWeb">
    <w:name w:val="Normal (Web)"/>
    <w:basedOn w:val="Normal"/>
    <w:uiPriority w:val="99"/>
    <w:semiHidden/>
    <w:unhideWhenUsed/>
    <w:rsid w:val="0092367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mord">
    <w:name w:val="mord"/>
    <w:basedOn w:val="Policepardfaut"/>
    <w:rsid w:val="00923676"/>
  </w:style>
  <w:style w:type="character" w:customStyle="1" w:styleId="vlist-s">
    <w:name w:val="vlist-s"/>
    <w:basedOn w:val="Policepardfaut"/>
    <w:rsid w:val="00923676"/>
  </w:style>
  <w:style w:type="character" w:customStyle="1" w:styleId="mrel">
    <w:name w:val="mrel"/>
    <w:basedOn w:val="Policepardfaut"/>
    <w:rsid w:val="00923676"/>
  </w:style>
  <w:style w:type="character" w:customStyle="1" w:styleId="mbin">
    <w:name w:val="mbin"/>
    <w:basedOn w:val="Policepardfaut"/>
    <w:rsid w:val="00923676"/>
  </w:style>
  <w:style w:type="paragraph" w:styleId="Paragraphedeliste">
    <w:name w:val="List Paragraph"/>
    <w:basedOn w:val="Normal"/>
    <w:uiPriority w:val="34"/>
    <w:qFormat/>
    <w:rsid w:val="00923676"/>
    <w:pPr>
      <w:ind w:left="720"/>
      <w:contextualSpacing/>
    </w:pPr>
  </w:style>
  <w:style w:type="character" w:customStyle="1" w:styleId="citation-71">
    <w:name w:val="citation-71"/>
    <w:basedOn w:val="Policepardfaut"/>
    <w:rsid w:val="003F2070"/>
  </w:style>
  <w:style w:type="character" w:customStyle="1" w:styleId="citation-70">
    <w:name w:val="citation-70"/>
    <w:basedOn w:val="Policepardfaut"/>
    <w:rsid w:val="003F2070"/>
  </w:style>
  <w:style w:type="character" w:customStyle="1" w:styleId="citation-69">
    <w:name w:val="citation-69"/>
    <w:basedOn w:val="Policepardfaut"/>
    <w:rsid w:val="003F2070"/>
  </w:style>
  <w:style w:type="character" w:customStyle="1" w:styleId="citation-131">
    <w:name w:val="citation-131"/>
    <w:basedOn w:val="Policepardfaut"/>
    <w:rsid w:val="00A77433"/>
  </w:style>
  <w:style w:type="character" w:customStyle="1" w:styleId="citation-130">
    <w:name w:val="citation-130"/>
    <w:basedOn w:val="Policepardfaut"/>
    <w:rsid w:val="00A77433"/>
  </w:style>
  <w:style w:type="character" w:customStyle="1" w:styleId="citation-164">
    <w:name w:val="citation-164"/>
    <w:basedOn w:val="Policepardfaut"/>
    <w:rsid w:val="007D4ED6"/>
  </w:style>
  <w:style w:type="character" w:customStyle="1" w:styleId="Titre2Car">
    <w:name w:val="Titre 2 Car"/>
    <w:basedOn w:val="Policepardfaut"/>
    <w:link w:val="Titre2"/>
    <w:uiPriority w:val="9"/>
    <w:rsid w:val="009834C3"/>
    <w:rPr>
      <w:rFonts w:asciiTheme="majorHAnsi" w:eastAsia="Times New Roman" w:hAnsiTheme="majorHAnsi" w:cs="Times New Roman"/>
      <w:b/>
      <w:bCs/>
      <w:sz w:val="28"/>
      <w:szCs w:val="36"/>
      <w:lang w:eastAsia="fr-FR"/>
    </w:rPr>
  </w:style>
  <w:style w:type="paragraph" w:customStyle="1" w:styleId="ng-tns-c1344907397-96">
    <w:name w:val="ng-tns-c1344907397-96"/>
    <w:basedOn w:val="Normal"/>
    <w:rsid w:val="009204A4"/>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citation-272">
    <w:name w:val="citation-272"/>
    <w:basedOn w:val="Policepardfaut"/>
    <w:rsid w:val="009204A4"/>
  </w:style>
  <w:style w:type="character" w:customStyle="1" w:styleId="citation-271">
    <w:name w:val="citation-271"/>
    <w:basedOn w:val="Policepardfaut"/>
    <w:rsid w:val="009204A4"/>
  </w:style>
  <w:style w:type="character" w:customStyle="1" w:styleId="citation-270">
    <w:name w:val="citation-270"/>
    <w:basedOn w:val="Policepardfaut"/>
    <w:rsid w:val="009204A4"/>
  </w:style>
  <w:style w:type="character" w:customStyle="1" w:styleId="citation-269">
    <w:name w:val="citation-269"/>
    <w:basedOn w:val="Policepardfaut"/>
    <w:rsid w:val="009204A4"/>
  </w:style>
  <w:style w:type="character" w:customStyle="1" w:styleId="citation-296">
    <w:name w:val="citation-296"/>
    <w:basedOn w:val="Policepardfaut"/>
    <w:rsid w:val="00B96434"/>
  </w:style>
  <w:style w:type="character" w:customStyle="1" w:styleId="citation-295">
    <w:name w:val="citation-295"/>
    <w:basedOn w:val="Policepardfaut"/>
    <w:rsid w:val="00B96434"/>
  </w:style>
  <w:style w:type="character" w:customStyle="1" w:styleId="citation-294">
    <w:name w:val="citation-294"/>
    <w:basedOn w:val="Policepardfaut"/>
    <w:rsid w:val="00B96434"/>
  </w:style>
  <w:style w:type="character" w:customStyle="1" w:styleId="citation-293">
    <w:name w:val="citation-293"/>
    <w:basedOn w:val="Policepardfaut"/>
    <w:rsid w:val="00B96434"/>
  </w:style>
  <w:style w:type="character" w:customStyle="1" w:styleId="citation-292">
    <w:name w:val="citation-292"/>
    <w:basedOn w:val="Policepardfaut"/>
    <w:rsid w:val="00B96434"/>
  </w:style>
  <w:style w:type="character" w:customStyle="1" w:styleId="button-label">
    <w:name w:val="button-label"/>
    <w:basedOn w:val="Policepardfaut"/>
    <w:rsid w:val="00B96434"/>
  </w:style>
  <w:style w:type="character" w:customStyle="1" w:styleId="citation-291">
    <w:name w:val="citation-291"/>
    <w:basedOn w:val="Policepardfaut"/>
    <w:rsid w:val="00B96434"/>
  </w:style>
  <w:style w:type="character" w:customStyle="1" w:styleId="citation-290">
    <w:name w:val="citation-290"/>
    <w:basedOn w:val="Policepardfaut"/>
    <w:rsid w:val="00B96434"/>
  </w:style>
  <w:style w:type="character" w:customStyle="1" w:styleId="citation-289">
    <w:name w:val="citation-289"/>
    <w:basedOn w:val="Policepardfaut"/>
    <w:rsid w:val="00B96434"/>
  </w:style>
  <w:style w:type="character" w:customStyle="1" w:styleId="citation-185">
    <w:name w:val="citation-185"/>
    <w:basedOn w:val="Policepardfaut"/>
    <w:rsid w:val="000A29E0"/>
  </w:style>
  <w:style w:type="character" w:customStyle="1" w:styleId="citation-184">
    <w:name w:val="citation-184"/>
    <w:basedOn w:val="Policepardfaut"/>
    <w:rsid w:val="000A29E0"/>
  </w:style>
  <w:style w:type="character" w:customStyle="1" w:styleId="citation-183">
    <w:name w:val="citation-183"/>
    <w:basedOn w:val="Policepardfaut"/>
    <w:rsid w:val="000A29E0"/>
  </w:style>
  <w:style w:type="character" w:customStyle="1" w:styleId="citation-182">
    <w:name w:val="citation-182"/>
    <w:basedOn w:val="Policepardfaut"/>
    <w:rsid w:val="000A29E0"/>
  </w:style>
  <w:style w:type="character" w:customStyle="1" w:styleId="citation-181">
    <w:name w:val="citation-181"/>
    <w:basedOn w:val="Policepardfaut"/>
    <w:rsid w:val="000A29E0"/>
  </w:style>
  <w:style w:type="character" w:customStyle="1" w:styleId="citation-180">
    <w:name w:val="citation-180"/>
    <w:basedOn w:val="Policepardfaut"/>
    <w:rsid w:val="000A29E0"/>
  </w:style>
  <w:style w:type="character" w:customStyle="1" w:styleId="citation-179">
    <w:name w:val="citation-179"/>
    <w:basedOn w:val="Policepardfaut"/>
    <w:rsid w:val="000A29E0"/>
  </w:style>
  <w:style w:type="character" w:customStyle="1" w:styleId="citation-343">
    <w:name w:val="citation-343"/>
    <w:basedOn w:val="Policepardfaut"/>
    <w:rsid w:val="0096621E"/>
  </w:style>
  <w:style w:type="character" w:customStyle="1" w:styleId="inline-flex">
    <w:name w:val="inline-flex"/>
    <w:basedOn w:val="Policepardfaut"/>
    <w:rsid w:val="0095525E"/>
  </w:style>
  <w:style w:type="character" w:customStyle="1" w:styleId="text-nowrap">
    <w:name w:val="text-nowrap"/>
    <w:basedOn w:val="Policepardfaut"/>
    <w:rsid w:val="0095525E"/>
  </w:style>
  <w:style w:type="character" w:styleId="lev">
    <w:name w:val="Strong"/>
    <w:basedOn w:val="Policepardfaut"/>
    <w:uiPriority w:val="22"/>
    <w:qFormat/>
    <w:rsid w:val="004465E0"/>
    <w:rPr>
      <w:b/>
      <w:bCs/>
    </w:rPr>
  </w:style>
  <w:style w:type="character" w:customStyle="1" w:styleId="Titre3Car">
    <w:name w:val="Titre 3 Car"/>
    <w:basedOn w:val="Policepardfaut"/>
    <w:link w:val="Titre3"/>
    <w:uiPriority w:val="9"/>
    <w:rsid w:val="008B08A7"/>
    <w:rPr>
      <w:rFonts w:asciiTheme="majorHAnsi" w:eastAsiaTheme="majorEastAsia" w:hAnsiTheme="majorHAnsi" w:cstheme="majorBidi"/>
      <w:b/>
      <w:color w:val="000000" w:themeColor="text1"/>
      <w:sz w:val="24"/>
      <w:szCs w:val="24"/>
    </w:rPr>
  </w:style>
  <w:style w:type="paragraph" w:styleId="En-tte">
    <w:name w:val="header"/>
    <w:basedOn w:val="Normal"/>
    <w:link w:val="En-tteCar"/>
    <w:uiPriority w:val="99"/>
    <w:unhideWhenUsed/>
    <w:rsid w:val="007E3AE2"/>
    <w:pPr>
      <w:tabs>
        <w:tab w:val="center" w:pos="4536"/>
        <w:tab w:val="right" w:pos="9072"/>
      </w:tabs>
      <w:spacing w:after="0" w:line="240" w:lineRule="auto"/>
    </w:pPr>
  </w:style>
  <w:style w:type="character" w:customStyle="1" w:styleId="En-tteCar">
    <w:name w:val="En-tête Car"/>
    <w:basedOn w:val="Policepardfaut"/>
    <w:link w:val="En-tte"/>
    <w:uiPriority w:val="99"/>
    <w:rsid w:val="007E3AE2"/>
  </w:style>
  <w:style w:type="paragraph" w:styleId="Pieddepage">
    <w:name w:val="footer"/>
    <w:basedOn w:val="Normal"/>
    <w:link w:val="PieddepageCar"/>
    <w:uiPriority w:val="99"/>
    <w:unhideWhenUsed/>
    <w:rsid w:val="007E3AE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E3AE2"/>
  </w:style>
  <w:style w:type="character" w:customStyle="1" w:styleId="Titre1Car">
    <w:name w:val="Titre 1 Car"/>
    <w:basedOn w:val="Policepardfaut"/>
    <w:link w:val="Titre1"/>
    <w:uiPriority w:val="9"/>
    <w:rsid w:val="009834C3"/>
    <w:rPr>
      <w:rFonts w:asciiTheme="majorHAnsi" w:eastAsiaTheme="majorEastAsia" w:hAnsiTheme="majorHAnsi" w:cstheme="majorBidi"/>
      <w:b/>
      <w:color w:val="000000" w:themeColor="text1"/>
      <w:sz w:val="32"/>
      <w:szCs w:val="32"/>
    </w:rPr>
  </w:style>
  <w:style w:type="paragraph" w:styleId="En-ttedetabledesmatires">
    <w:name w:val="TOC Heading"/>
    <w:basedOn w:val="Titre1"/>
    <w:next w:val="Normal"/>
    <w:uiPriority w:val="39"/>
    <w:unhideWhenUsed/>
    <w:qFormat/>
    <w:rsid w:val="00302BE9"/>
    <w:pPr>
      <w:outlineLvl w:val="9"/>
    </w:pPr>
    <w:rPr>
      <w:b w:val="0"/>
      <w:color w:val="2F5496" w:themeColor="accent1" w:themeShade="BF"/>
      <w:lang w:val="en-US"/>
    </w:rPr>
  </w:style>
  <w:style w:type="paragraph" w:styleId="TM1">
    <w:name w:val="toc 1"/>
    <w:basedOn w:val="Normal"/>
    <w:next w:val="Normal"/>
    <w:autoRedefine/>
    <w:uiPriority w:val="39"/>
    <w:unhideWhenUsed/>
    <w:rsid w:val="00302BE9"/>
    <w:pPr>
      <w:spacing w:after="100"/>
    </w:pPr>
  </w:style>
  <w:style w:type="paragraph" w:styleId="TM2">
    <w:name w:val="toc 2"/>
    <w:basedOn w:val="Normal"/>
    <w:next w:val="Normal"/>
    <w:autoRedefine/>
    <w:uiPriority w:val="39"/>
    <w:unhideWhenUsed/>
    <w:rsid w:val="00302BE9"/>
    <w:pPr>
      <w:spacing w:after="100"/>
      <w:ind w:left="220"/>
    </w:pPr>
  </w:style>
  <w:style w:type="paragraph" w:styleId="TM3">
    <w:name w:val="toc 3"/>
    <w:basedOn w:val="Normal"/>
    <w:next w:val="Normal"/>
    <w:autoRedefine/>
    <w:uiPriority w:val="39"/>
    <w:unhideWhenUsed/>
    <w:rsid w:val="00A66AD1"/>
    <w:pPr>
      <w:tabs>
        <w:tab w:val="left" w:pos="1320"/>
        <w:tab w:val="right" w:leader="dot" w:pos="9060"/>
      </w:tabs>
      <w:spacing w:after="100" w:line="276" w:lineRule="auto"/>
      <w:ind w:left="442"/>
      <w:contextualSpacing/>
    </w:pPr>
  </w:style>
  <w:style w:type="paragraph" w:styleId="Lgende">
    <w:name w:val="caption"/>
    <w:basedOn w:val="Normal"/>
    <w:next w:val="Normal"/>
    <w:uiPriority w:val="35"/>
    <w:unhideWhenUsed/>
    <w:qFormat/>
    <w:rsid w:val="0052648E"/>
    <w:pPr>
      <w:spacing w:after="200" w:line="240" w:lineRule="auto"/>
    </w:pPr>
    <w:rPr>
      <w:i/>
      <w:iCs/>
      <w:color w:val="44546A" w:themeColor="text2"/>
      <w:sz w:val="18"/>
      <w:szCs w:val="18"/>
    </w:rPr>
  </w:style>
  <w:style w:type="character" w:customStyle="1" w:styleId="ng-star-inserted">
    <w:name w:val="ng-star-inserted"/>
    <w:basedOn w:val="Policepardfaut"/>
    <w:rsid w:val="003901BF"/>
  </w:style>
  <w:style w:type="character" w:customStyle="1" w:styleId="Titre4Car">
    <w:name w:val="Titre 4 Car"/>
    <w:basedOn w:val="Policepardfaut"/>
    <w:link w:val="Titre4"/>
    <w:uiPriority w:val="9"/>
    <w:rsid w:val="003901BF"/>
    <w:rPr>
      <w:rFonts w:asciiTheme="majorHAnsi" w:eastAsiaTheme="majorEastAsia" w:hAnsiTheme="majorHAnsi" w:cstheme="majorBidi"/>
      <w:b/>
      <w:iCs/>
      <w:color w:val="000000" w:themeColor="text1"/>
    </w:rPr>
  </w:style>
  <w:style w:type="table" w:styleId="Grilledutableau">
    <w:name w:val="Table Grid"/>
    <w:basedOn w:val="TableauNormal"/>
    <w:uiPriority w:val="39"/>
    <w:rsid w:val="007A4BB0"/>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gkelc">
    <w:name w:val="hgkelc"/>
    <w:basedOn w:val="Policepardfaut"/>
    <w:rsid w:val="00B34E54"/>
  </w:style>
  <w:style w:type="paragraph" w:styleId="Bibliographie">
    <w:name w:val="Bibliography"/>
    <w:basedOn w:val="Normal"/>
    <w:next w:val="Normal"/>
    <w:uiPriority w:val="37"/>
    <w:unhideWhenUsed/>
    <w:rsid w:val="000F5603"/>
    <w:pPr>
      <w:spacing w:after="24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794069">
      <w:bodyDiv w:val="1"/>
      <w:marLeft w:val="0"/>
      <w:marRight w:val="0"/>
      <w:marTop w:val="0"/>
      <w:marBottom w:val="0"/>
      <w:divBdr>
        <w:top w:val="none" w:sz="0" w:space="0" w:color="auto"/>
        <w:left w:val="none" w:sz="0" w:space="0" w:color="auto"/>
        <w:bottom w:val="none" w:sz="0" w:space="0" w:color="auto"/>
        <w:right w:val="none" w:sz="0" w:space="0" w:color="auto"/>
      </w:divBdr>
    </w:div>
    <w:div w:id="126359357">
      <w:bodyDiv w:val="1"/>
      <w:marLeft w:val="0"/>
      <w:marRight w:val="0"/>
      <w:marTop w:val="0"/>
      <w:marBottom w:val="0"/>
      <w:divBdr>
        <w:top w:val="none" w:sz="0" w:space="0" w:color="auto"/>
        <w:left w:val="none" w:sz="0" w:space="0" w:color="auto"/>
        <w:bottom w:val="none" w:sz="0" w:space="0" w:color="auto"/>
        <w:right w:val="none" w:sz="0" w:space="0" w:color="auto"/>
      </w:divBdr>
    </w:div>
    <w:div w:id="163058088">
      <w:bodyDiv w:val="1"/>
      <w:marLeft w:val="0"/>
      <w:marRight w:val="0"/>
      <w:marTop w:val="0"/>
      <w:marBottom w:val="0"/>
      <w:divBdr>
        <w:top w:val="none" w:sz="0" w:space="0" w:color="auto"/>
        <w:left w:val="none" w:sz="0" w:space="0" w:color="auto"/>
        <w:bottom w:val="none" w:sz="0" w:space="0" w:color="auto"/>
        <w:right w:val="none" w:sz="0" w:space="0" w:color="auto"/>
      </w:divBdr>
    </w:div>
    <w:div w:id="181431648">
      <w:bodyDiv w:val="1"/>
      <w:marLeft w:val="0"/>
      <w:marRight w:val="0"/>
      <w:marTop w:val="0"/>
      <w:marBottom w:val="0"/>
      <w:divBdr>
        <w:top w:val="none" w:sz="0" w:space="0" w:color="auto"/>
        <w:left w:val="none" w:sz="0" w:space="0" w:color="auto"/>
        <w:bottom w:val="none" w:sz="0" w:space="0" w:color="auto"/>
        <w:right w:val="none" w:sz="0" w:space="0" w:color="auto"/>
      </w:divBdr>
    </w:div>
    <w:div w:id="216940995">
      <w:bodyDiv w:val="1"/>
      <w:marLeft w:val="0"/>
      <w:marRight w:val="0"/>
      <w:marTop w:val="0"/>
      <w:marBottom w:val="0"/>
      <w:divBdr>
        <w:top w:val="none" w:sz="0" w:space="0" w:color="auto"/>
        <w:left w:val="none" w:sz="0" w:space="0" w:color="auto"/>
        <w:bottom w:val="none" w:sz="0" w:space="0" w:color="auto"/>
        <w:right w:val="none" w:sz="0" w:space="0" w:color="auto"/>
      </w:divBdr>
      <w:divsChild>
        <w:div w:id="2059426886">
          <w:marLeft w:val="0"/>
          <w:marRight w:val="0"/>
          <w:marTop w:val="0"/>
          <w:marBottom w:val="0"/>
          <w:divBdr>
            <w:top w:val="none" w:sz="0" w:space="0" w:color="auto"/>
            <w:left w:val="none" w:sz="0" w:space="0" w:color="auto"/>
            <w:bottom w:val="none" w:sz="0" w:space="0" w:color="auto"/>
            <w:right w:val="none" w:sz="0" w:space="0" w:color="auto"/>
          </w:divBdr>
        </w:div>
      </w:divsChild>
    </w:div>
    <w:div w:id="229006600">
      <w:bodyDiv w:val="1"/>
      <w:marLeft w:val="0"/>
      <w:marRight w:val="0"/>
      <w:marTop w:val="0"/>
      <w:marBottom w:val="0"/>
      <w:divBdr>
        <w:top w:val="none" w:sz="0" w:space="0" w:color="auto"/>
        <w:left w:val="none" w:sz="0" w:space="0" w:color="auto"/>
        <w:bottom w:val="none" w:sz="0" w:space="0" w:color="auto"/>
        <w:right w:val="none" w:sz="0" w:space="0" w:color="auto"/>
      </w:divBdr>
      <w:divsChild>
        <w:div w:id="1073817983">
          <w:blockQuote w:val="1"/>
          <w:marLeft w:val="720"/>
          <w:marRight w:val="720"/>
          <w:marTop w:val="100"/>
          <w:marBottom w:val="100"/>
          <w:divBdr>
            <w:top w:val="none" w:sz="0" w:space="0" w:color="auto"/>
            <w:left w:val="none" w:sz="0" w:space="0" w:color="auto"/>
            <w:bottom w:val="none" w:sz="0" w:space="0" w:color="auto"/>
            <w:right w:val="none" w:sz="0" w:space="0" w:color="auto"/>
          </w:divBdr>
        </w:div>
        <w:div w:id="1816754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1012574">
      <w:bodyDiv w:val="1"/>
      <w:marLeft w:val="0"/>
      <w:marRight w:val="0"/>
      <w:marTop w:val="0"/>
      <w:marBottom w:val="0"/>
      <w:divBdr>
        <w:top w:val="none" w:sz="0" w:space="0" w:color="auto"/>
        <w:left w:val="none" w:sz="0" w:space="0" w:color="auto"/>
        <w:bottom w:val="none" w:sz="0" w:space="0" w:color="auto"/>
        <w:right w:val="none" w:sz="0" w:space="0" w:color="auto"/>
      </w:divBdr>
      <w:divsChild>
        <w:div w:id="1925993178">
          <w:marLeft w:val="0"/>
          <w:marRight w:val="0"/>
          <w:marTop w:val="0"/>
          <w:marBottom w:val="0"/>
          <w:divBdr>
            <w:top w:val="none" w:sz="0" w:space="0" w:color="auto"/>
            <w:left w:val="none" w:sz="0" w:space="0" w:color="auto"/>
            <w:bottom w:val="none" w:sz="0" w:space="0" w:color="auto"/>
            <w:right w:val="none" w:sz="0" w:space="0" w:color="auto"/>
          </w:divBdr>
          <w:divsChild>
            <w:div w:id="1605575515">
              <w:marLeft w:val="0"/>
              <w:marRight w:val="0"/>
              <w:marTop w:val="0"/>
              <w:marBottom w:val="0"/>
              <w:divBdr>
                <w:top w:val="none" w:sz="0" w:space="0" w:color="auto"/>
                <w:left w:val="none" w:sz="0" w:space="0" w:color="auto"/>
                <w:bottom w:val="none" w:sz="0" w:space="0" w:color="auto"/>
                <w:right w:val="none" w:sz="0" w:space="0" w:color="auto"/>
              </w:divBdr>
              <w:divsChild>
                <w:div w:id="1946688440">
                  <w:marLeft w:val="0"/>
                  <w:marRight w:val="0"/>
                  <w:marTop w:val="0"/>
                  <w:marBottom w:val="0"/>
                  <w:divBdr>
                    <w:top w:val="none" w:sz="0" w:space="0" w:color="auto"/>
                    <w:left w:val="none" w:sz="0" w:space="0" w:color="auto"/>
                    <w:bottom w:val="none" w:sz="0" w:space="0" w:color="auto"/>
                    <w:right w:val="none" w:sz="0" w:space="0" w:color="auto"/>
                  </w:divBdr>
                  <w:divsChild>
                    <w:div w:id="2309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5175437">
      <w:bodyDiv w:val="1"/>
      <w:marLeft w:val="0"/>
      <w:marRight w:val="0"/>
      <w:marTop w:val="0"/>
      <w:marBottom w:val="0"/>
      <w:divBdr>
        <w:top w:val="none" w:sz="0" w:space="0" w:color="auto"/>
        <w:left w:val="none" w:sz="0" w:space="0" w:color="auto"/>
        <w:bottom w:val="none" w:sz="0" w:space="0" w:color="auto"/>
        <w:right w:val="none" w:sz="0" w:space="0" w:color="auto"/>
      </w:divBdr>
    </w:div>
    <w:div w:id="440533975">
      <w:bodyDiv w:val="1"/>
      <w:marLeft w:val="0"/>
      <w:marRight w:val="0"/>
      <w:marTop w:val="0"/>
      <w:marBottom w:val="0"/>
      <w:divBdr>
        <w:top w:val="none" w:sz="0" w:space="0" w:color="auto"/>
        <w:left w:val="none" w:sz="0" w:space="0" w:color="auto"/>
        <w:bottom w:val="none" w:sz="0" w:space="0" w:color="auto"/>
        <w:right w:val="none" w:sz="0" w:space="0" w:color="auto"/>
      </w:divBdr>
      <w:divsChild>
        <w:div w:id="1607955898">
          <w:marLeft w:val="0"/>
          <w:marRight w:val="0"/>
          <w:marTop w:val="0"/>
          <w:marBottom w:val="0"/>
          <w:divBdr>
            <w:top w:val="none" w:sz="0" w:space="0" w:color="auto"/>
            <w:left w:val="none" w:sz="0" w:space="0" w:color="auto"/>
            <w:bottom w:val="none" w:sz="0" w:space="0" w:color="auto"/>
            <w:right w:val="none" w:sz="0" w:space="0" w:color="auto"/>
          </w:divBdr>
          <w:divsChild>
            <w:div w:id="88102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990672">
      <w:bodyDiv w:val="1"/>
      <w:marLeft w:val="0"/>
      <w:marRight w:val="0"/>
      <w:marTop w:val="0"/>
      <w:marBottom w:val="0"/>
      <w:divBdr>
        <w:top w:val="none" w:sz="0" w:space="0" w:color="auto"/>
        <w:left w:val="none" w:sz="0" w:space="0" w:color="auto"/>
        <w:bottom w:val="none" w:sz="0" w:space="0" w:color="auto"/>
        <w:right w:val="none" w:sz="0" w:space="0" w:color="auto"/>
      </w:divBdr>
      <w:divsChild>
        <w:div w:id="677192350">
          <w:marLeft w:val="0"/>
          <w:marRight w:val="0"/>
          <w:marTop w:val="0"/>
          <w:marBottom w:val="0"/>
          <w:divBdr>
            <w:top w:val="none" w:sz="0" w:space="0" w:color="auto"/>
            <w:left w:val="none" w:sz="0" w:space="0" w:color="auto"/>
            <w:bottom w:val="none" w:sz="0" w:space="0" w:color="auto"/>
            <w:right w:val="none" w:sz="0" w:space="0" w:color="auto"/>
          </w:divBdr>
        </w:div>
        <w:div w:id="729424247">
          <w:marLeft w:val="0"/>
          <w:marRight w:val="0"/>
          <w:marTop w:val="0"/>
          <w:marBottom w:val="0"/>
          <w:divBdr>
            <w:top w:val="none" w:sz="0" w:space="0" w:color="auto"/>
            <w:left w:val="none" w:sz="0" w:space="0" w:color="auto"/>
            <w:bottom w:val="none" w:sz="0" w:space="0" w:color="auto"/>
            <w:right w:val="none" w:sz="0" w:space="0" w:color="auto"/>
          </w:divBdr>
        </w:div>
        <w:div w:id="1954826683">
          <w:marLeft w:val="0"/>
          <w:marRight w:val="0"/>
          <w:marTop w:val="0"/>
          <w:marBottom w:val="0"/>
          <w:divBdr>
            <w:top w:val="none" w:sz="0" w:space="0" w:color="auto"/>
            <w:left w:val="none" w:sz="0" w:space="0" w:color="auto"/>
            <w:bottom w:val="none" w:sz="0" w:space="0" w:color="auto"/>
            <w:right w:val="none" w:sz="0" w:space="0" w:color="auto"/>
          </w:divBdr>
        </w:div>
        <w:div w:id="1002396566">
          <w:marLeft w:val="0"/>
          <w:marRight w:val="0"/>
          <w:marTop w:val="0"/>
          <w:marBottom w:val="0"/>
          <w:divBdr>
            <w:top w:val="none" w:sz="0" w:space="0" w:color="auto"/>
            <w:left w:val="none" w:sz="0" w:space="0" w:color="auto"/>
            <w:bottom w:val="none" w:sz="0" w:space="0" w:color="auto"/>
            <w:right w:val="none" w:sz="0" w:space="0" w:color="auto"/>
          </w:divBdr>
        </w:div>
      </w:divsChild>
    </w:div>
    <w:div w:id="524829146">
      <w:bodyDiv w:val="1"/>
      <w:marLeft w:val="0"/>
      <w:marRight w:val="0"/>
      <w:marTop w:val="0"/>
      <w:marBottom w:val="0"/>
      <w:divBdr>
        <w:top w:val="none" w:sz="0" w:space="0" w:color="auto"/>
        <w:left w:val="none" w:sz="0" w:space="0" w:color="auto"/>
        <w:bottom w:val="none" w:sz="0" w:space="0" w:color="auto"/>
        <w:right w:val="none" w:sz="0" w:space="0" w:color="auto"/>
      </w:divBdr>
      <w:divsChild>
        <w:div w:id="1024592221">
          <w:marLeft w:val="547"/>
          <w:marRight w:val="0"/>
          <w:marTop w:val="0"/>
          <w:marBottom w:val="0"/>
          <w:divBdr>
            <w:top w:val="none" w:sz="0" w:space="0" w:color="auto"/>
            <w:left w:val="none" w:sz="0" w:space="0" w:color="auto"/>
            <w:bottom w:val="none" w:sz="0" w:space="0" w:color="auto"/>
            <w:right w:val="none" w:sz="0" w:space="0" w:color="auto"/>
          </w:divBdr>
        </w:div>
        <w:div w:id="1217855626">
          <w:marLeft w:val="547"/>
          <w:marRight w:val="0"/>
          <w:marTop w:val="0"/>
          <w:marBottom w:val="0"/>
          <w:divBdr>
            <w:top w:val="none" w:sz="0" w:space="0" w:color="auto"/>
            <w:left w:val="none" w:sz="0" w:space="0" w:color="auto"/>
            <w:bottom w:val="none" w:sz="0" w:space="0" w:color="auto"/>
            <w:right w:val="none" w:sz="0" w:space="0" w:color="auto"/>
          </w:divBdr>
        </w:div>
        <w:div w:id="2091734162">
          <w:marLeft w:val="547"/>
          <w:marRight w:val="0"/>
          <w:marTop w:val="0"/>
          <w:marBottom w:val="0"/>
          <w:divBdr>
            <w:top w:val="none" w:sz="0" w:space="0" w:color="auto"/>
            <w:left w:val="none" w:sz="0" w:space="0" w:color="auto"/>
            <w:bottom w:val="none" w:sz="0" w:space="0" w:color="auto"/>
            <w:right w:val="none" w:sz="0" w:space="0" w:color="auto"/>
          </w:divBdr>
        </w:div>
        <w:div w:id="219026080">
          <w:marLeft w:val="547"/>
          <w:marRight w:val="0"/>
          <w:marTop w:val="0"/>
          <w:marBottom w:val="0"/>
          <w:divBdr>
            <w:top w:val="none" w:sz="0" w:space="0" w:color="auto"/>
            <w:left w:val="none" w:sz="0" w:space="0" w:color="auto"/>
            <w:bottom w:val="none" w:sz="0" w:space="0" w:color="auto"/>
            <w:right w:val="none" w:sz="0" w:space="0" w:color="auto"/>
          </w:divBdr>
        </w:div>
      </w:divsChild>
    </w:div>
    <w:div w:id="558053841">
      <w:bodyDiv w:val="1"/>
      <w:marLeft w:val="0"/>
      <w:marRight w:val="0"/>
      <w:marTop w:val="0"/>
      <w:marBottom w:val="0"/>
      <w:divBdr>
        <w:top w:val="none" w:sz="0" w:space="0" w:color="auto"/>
        <w:left w:val="none" w:sz="0" w:space="0" w:color="auto"/>
        <w:bottom w:val="none" w:sz="0" w:space="0" w:color="auto"/>
        <w:right w:val="none" w:sz="0" w:space="0" w:color="auto"/>
      </w:divBdr>
    </w:div>
    <w:div w:id="585001302">
      <w:bodyDiv w:val="1"/>
      <w:marLeft w:val="0"/>
      <w:marRight w:val="0"/>
      <w:marTop w:val="0"/>
      <w:marBottom w:val="0"/>
      <w:divBdr>
        <w:top w:val="none" w:sz="0" w:space="0" w:color="auto"/>
        <w:left w:val="none" w:sz="0" w:space="0" w:color="auto"/>
        <w:bottom w:val="none" w:sz="0" w:space="0" w:color="auto"/>
        <w:right w:val="none" w:sz="0" w:space="0" w:color="auto"/>
      </w:divBdr>
      <w:divsChild>
        <w:div w:id="2035496991">
          <w:marLeft w:val="0"/>
          <w:marRight w:val="0"/>
          <w:marTop w:val="0"/>
          <w:marBottom w:val="0"/>
          <w:divBdr>
            <w:top w:val="none" w:sz="0" w:space="0" w:color="auto"/>
            <w:left w:val="none" w:sz="0" w:space="0" w:color="auto"/>
            <w:bottom w:val="none" w:sz="0" w:space="0" w:color="auto"/>
            <w:right w:val="none" w:sz="0" w:space="0" w:color="auto"/>
          </w:divBdr>
        </w:div>
        <w:div w:id="247470620">
          <w:marLeft w:val="0"/>
          <w:marRight w:val="0"/>
          <w:marTop w:val="0"/>
          <w:marBottom w:val="0"/>
          <w:divBdr>
            <w:top w:val="none" w:sz="0" w:space="0" w:color="auto"/>
            <w:left w:val="none" w:sz="0" w:space="0" w:color="auto"/>
            <w:bottom w:val="none" w:sz="0" w:space="0" w:color="auto"/>
            <w:right w:val="none" w:sz="0" w:space="0" w:color="auto"/>
          </w:divBdr>
        </w:div>
      </w:divsChild>
    </w:div>
    <w:div w:id="590436800">
      <w:bodyDiv w:val="1"/>
      <w:marLeft w:val="0"/>
      <w:marRight w:val="0"/>
      <w:marTop w:val="0"/>
      <w:marBottom w:val="0"/>
      <w:divBdr>
        <w:top w:val="none" w:sz="0" w:space="0" w:color="auto"/>
        <w:left w:val="none" w:sz="0" w:space="0" w:color="auto"/>
        <w:bottom w:val="none" w:sz="0" w:space="0" w:color="auto"/>
        <w:right w:val="none" w:sz="0" w:space="0" w:color="auto"/>
      </w:divBdr>
    </w:div>
    <w:div w:id="604846209">
      <w:bodyDiv w:val="1"/>
      <w:marLeft w:val="0"/>
      <w:marRight w:val="0"/>
      <w:marTop w:val="0"/>
      <w:marBottom w:val="0"/>
      <w:divBdr>
        <w:top w:val="none" w:sz="0" w:space="0" w:color="auto"/>
        <w:left w:val="none" w:sz="0" w:space="0" w:color="auto"/>
        <w:bottom w:val="none" w:sz="0" w:space="0" w:color="auto"/>
        <w:right w:val="none" w:sz="0" w:space="0" w:color="auto"/>
      </w:divBdr>
    </w:div>
    <w:div w:id="708333435">
      <w:bodyDiv w:val="1"/>
      <w:marLeft w:val="0"/>
      <w:marRight w:val="0"/>
      <w:marTop w:val="0"/>
      <w:marBottom w:val="0"/>
      <w:divBdr>
        <w:top w:val="none" w:sz="0" w:space="0" w:color="auto"/>
        <w:left w:val="none" w:sz="0" w:space="0" w:color="auto"/>
        <w:bottom w:val="none" w:sz="0" w:space="0" w:color="auto"/>
        <w:right w:val="none" w:sz="0" w:space="0" w:color="auto"/>
      </w:divBdr>
    </w:div>
    <w:div w:id="862283135">
      <w:bodyDiv w:val="1"/>
      <w:marLeft w:val="0"/>
      <w:marRight w:val="0"/>
      <w:marTop w:val="0"/>
      <w:marBottom w:val="0"/>
      <w:divBdr>
        <w:top w:val="none" w:sz="0" w:space="0" w:color="auto"/>
        <w:left w:val="none" w:sz="0" w:space="0" w:color="auto"/>
        <w:bottom w:val="none" w:sz="0" w:space="0" w:color="auto"/>
        <w:right w:val="none" w:sz="0" w:space="0" w:color="auto"/>
      </w:divBdr>
    </w:div>
    <w:div w:id="864101812">
      <w:bodyDiv w:val="1"/>
      <w:marLeft w:val="0"/>
      <w:marRight w:val="0"/>
      <w:marTop w:val="0"/>
      <w:marBottom w:val="0"/>
      <w:divBdr>
        <w:top w:val="none" w:sz="0" w:space="0" w:color="auto"/>
        <w:left w:val="none" w:sz="0" w:space="0" w:color="auto"/>
        <w:bottom w:val="none" w:sz="0" w:space="0" w:color="auto"/>
        <w:right w:val="none" w:sz="0" w:space="0" w:color="auto"/>
      </w:divBdr>
      <w:divsChild>
        <w:div w:id="373818394">
          <w:marLeft w:val="0"/>
          <w:marRight w:val="0"/>
          <w:marTop w:val="0"/>
          <w:marBottom w:val="0"/>
          <w:divBdr>
            <w:top w:val="none" w:sz="0" w:space="0" w:color="auto"/>
            <w:left w:val="none" w:sz="0" w:space="0" w:color="auto"/>
            <w:bottom w:val="none" w:sz="0" w:space="0" w:color="auto"/>
            <w:right w:val="none" w:sz="0" w:space="0" w:color="auto"/>
          </w:divBdr>
        </w:div>
        <w:div w:id="531964084">
          <w:marLeft w:val="0"/>
          <w:marRight w:val="0"/>
          <w:marTop w:val="0"/>
          <w:marBottom w:val="0"/>
          <w:divBdr>
            <w:top w:val="none" w:sz="0" w:space="0" w:color="auto"/>
            <w:left w:val="none" w:sz="0" w:space="0" w:color="auto"/>
            <w:bottom w:val="none" w:sz="0" w:space="0" w:color="auto"/>
            <w:right w:val="none" w:sz="0" w:space="0" w:color="auto"/>
          </w:divBdr>
        </w:div>
        <w:div w:id="619650394">
          <w:marLeft w:val="0"/>
          <w:marRight w:val="0"/>
          <w:marTop w:val="0"/>
          <w:marBottom w:val="0"/>
          <w:divBdr>
            <w:top w:val="none" w:sz="0" w:space="0" w:color="auto"/>
            <w:left w:val="none" w:sz="0" w:space="0" w:color="auto"/>
            <w:bottom w:val="none" w:sz="0" w:space="0" w:color="auto"/>
            <w:right w:val="none" w:sz="0" w:space="0" w:color="auto"/>
          </w:divBdr>
        </w:div>
        <w:div w:id="300421850">
          <w:marLeft w:val="0"/>
          <w:marRight w:val="0"/>
          <w:marTop w:val="0"/>
          <w:marBottom w:val="0"/>
          <w:divBdr>
            <w:top w:val="none" w:sz="0" w:space="0" w:color="auto"/>
            <w:left w:val="none" w:sz="0" w:space="0" w:color="auto"/>
            <w:bottom w:val="none" w:sz="0" w:space="0" w:color="auto"/>
            <w:right w:val="none" w:sz="0" w:space="0" w:color="auto"/>
          </w:divBdr>
        </w:div>
      </w:divsChild>
    </w:div>
    <w:div w:id="899101474">
      <w:bodyDiv w:val="1"/>
      <w:marLeft w:val="0"/>
      <w:marRight w:val="0"/>
      <w:marTop w:val="0"/>
      <w:marBottom w:val="0"/>
      <w:divBdr>
        <w:top w:val="none" w:sz="0" w:space="0" w:color="auto"/>
        <w:left w:val="none" w:sz="0" w:space="0" w:color="auto"/>
        <w:bottom w:val="none" w:sz="0" w:space="0" w:color="auto"/>
        <w:right w:val="none" w:sz="0" w:space="0" w:color="auto"/>
      </w:divBdr>
      <w:divsChild>
        <w:div w:id="1959796546">
          <w:marLeft w:val="0"/>
          <w:marRight w:val="0"/>
          <w:marTop w:val="0"/>
          <w:marBottom w:val="0"/>
          <w:divBdr>
            <w:top w:val="none" w:sz="0" w:space="0" w:color="auto"/>
            <w:left w:val="none" w:sz="0" w:space="0" w:color="auto"/>
            <w:bottom w:val="none" w:sz="0" w:space="0" w:color="auto"/>
            <w:right w:val="none" w:sz="0" w:space="0" w:color="auto"/>
          </w:divBdr>
          <w:divsChild>
            <w:div w:id="38471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986085">
      <w:bodyDiv w:val="1"/>
      <w:marLeft w:val="0"/>
      <w:marRight w:val="0"/>
      <w:marTop w:val="0"/>
      <w:marBottom w:val="0"/>
      <w:divBdr>
        <w:top w:val="none" w:sz="0" w:space="0" w:color="auto"/>
        <w:left w:val="none" w:sz="0" w:space="0" w:color="auto"/>
        <w:bottom w:val="none" w:sz="0" w:space="0" w:color="auto"/>
        <w:right w:val="none" w:sz="0" w:space="0" w:color="auto"/>
      </w:divBdr>
      <w:divsChild>
        <w:div w:id="1731608453">
          <w:marLeft w:val="0"/>
          <w:marRight w:val="0"/>
          <w:marTop w:val="0"/>
          <w:marBottom w:val="0"/>
          <w:divBdr>
            <w:top w:val="none" w:sz="0" w:space="0" w:color="auto"/>
            <w:left w:val="none" w:sz="0" w:space="0" w:color="auto"/>
            <w:bottom w:val="none" w:sz="0" w:space="0" w:color="auto"/>
            <w:right w:val="none" w:sz="0" w:space="0" w:color="auto"/>
          </w:divBdr>
        </w:div>
        <w:div w:id="18116313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2554428">
      <w:bodyDiv w:val="1"/>
      <w:marLeft w:val="0"/>
      <w:marRight w:val="0"/>
      <w:marTop w:val="0"/>
      <w:marBottom w:val="0"/>
      <w:divBdr>
        <w:top w:val="none" w:sz="0" w:space="0" w:color="auto"/>
        <w:left w:val="none" w:sz="0" w:space="0" w:color="auto"/>
        <w:bottom w:val="none" w:sz="0" w:space="0" w:color="auto"/>
        <w:right w:val="none" w:sz="0" w:space="0" w:color="auto"/>
      </w:divBdr>
    </w:div>
    <w:div w:id="1071657234">
      <w:bodyDiv w:val="1"/>
      <w:marLeft w:val="0"/>
      <w:marRight w:val="0"/>
      <w:marTop w:val="0"/>
      <w:marBottom w:val="0"/>
      <w:divBdr>
        <w:top w:val="none" w:sz="0" w:space="0" w:color="auto"/>
        <w:left w:val="none" w:sz="0" w:space="0" w:color="auto"/>
        <w:bottom w:val="none" w:sz="0" w:space="0" w:color="auto"/>
        <w:right w:val="none" w:sz="0" w:space="0" w:color="auto"/>
      </w:divBdr>
    </w:div>
    <w:div w:id="1124621183">
      <w:bodyDiv w:val="1"/>
      <w:marLeft w:val="0"/>
      <w:marRight w:val="0"/>
      <w:marTop w:val="0"/>
      <w:marBottom w:val="0"/>
      <w:divBdr>
        <w:top w:val="none" w:sz="0" w:space="0" w:color="auto"/>
        <w:left w:val="none" w:sz="0" w:space="0" w:color="auto"/>
        <w:bottom w:val="none" w:sz="0" w:space="0" w:color="auto"/>
        <w:right w:val="none" w:sz="0" w:space="0" w:color="auto"/>
      </w:divBdr>
    </w:div>
    <w:div w:id="1227885716">
      <w:bodyDiv w:val="1"/>
      <w:marLeft w:val="0"/>
      <w:marRight w:val="0"/>
      <w:marTop w:val="0"/>
      <w:marBottom w:val="0"/>
      <w:divBdr>
        <w:top w:val="none" w:sz="0" w:space="0" w:color="auto"/>
        <w:left w:val="none" w:sz="0" w:space="0" w:color="auto"/>
        <w:bottom w:val="none" w:sz="0" w:space="0" w:color="auto"/>
        <w:right w:val="none" w:sz="0" w:space="0" w:color="auto"/>
      </w:divBdr>
    </w:div>
    <w:div w:id="1229998974">
      <w:bodyDiv w:val="1"/>
      <w:marLeft w:val="0"/>
      <w:marRight w:val="0"/>
      <w:marTop w:val="0"/>
      <w:marBottom w:val="0"/>
      <w:divBdr>
        <w:top w:val="none" w:sz="0" w:space="0" w:color="auto"/>
        <w:left w:val="none" w:sz="0" w:space="0" w:color="auto"/>
        <w:bottom w:val="none" w:sz="0" w:space="0" w:color="auto"/>
        <w:right w:val="none" w:sz="0" w:space="0" w:color="auto"/>
      </w:divBdr>
      <w:divsChild>
        <w:div w:id="458690548">
          <w:marLeft w:val="0"/>
          <w:marRight w:val="0"/>
          <w:marTop w:val="0"/>
          <w:marBottom w:val="0"/>
          <w:divBdr>
            <w:top w:val="none" w:sz="0" w:space="0" w:color="auto"/>
            <w:left w:val="none" w:sz="0" w:space="0" w:color="auto"/>
            <w:bottom w:val="none" w:sz="0" w:space="0" w:color="auto"/>
            <w:right w:val="none" w:sz="0" w:space="0" w:color="auto"/>
          </w:divBdr>
        </w:div>
        <w:div w:id="26567105">
          <w:marLeft w:val="0"/>
          <w:marRight w:val="0"/>
          <w:marTop w:val="0"/>
          <w:marBottom w:val="0"/>
          <w:divBdr>
            <w:top w:val="none" w:sz="0" w:space="0" w:color="auto"/>
            <w:left w:val="none" w:sz="0" w:space="0" w:color="auto"/>
            <w:bottom w:val="none" w:sz="0" w:space="0" w:color="auto"/>
            <w:right w:val="none" w:sz="0" w:space="0" w:color="auto"/>
          </w:divBdr>
        </w:div>
      </w:divsChild>
    </w:div>
    <w:div w:id="1258297006">
      <w:bodyDiv w:val="1"/>
      <w:marLeft w:val="0"/>
      <w:marRight w:val="0"/>
      <w:marTop w:val="0"/>
      <w:marBottom w:val="0"/>
      <w:divBdr>
        <w:top w:val="none" w:sz="0" w:space="0" w:color="auto"/>
        <w:left w:val="none" w:sz="0" w:space="0" w:color="auto"/>
        <w:bottom w:val="none" w:sz="0" w:space="0" w:color="auto"/>
        <w:right w:val="none" w:sz="0" w:space="0" w:color="auto"/>
      </w:divBdr>
      <w:divsChild>
        <w:div w:id="1405687174">
          <w:marLeft w:val="0"/>
          <w:marRight w:val="0"/>
          <w:marTop w:val="0"/>
          <w:marBottom w:val="0"/>
          <w:divBdr>
            <w:top w:val="none" w:sz="0" w:space="0" w:color="auto"/>
            <w:left w:val="none" w:sz="0" w:space="0" w:color="auto"/>
            <w:bottom w:val="none" w:sz="0" w:space="0" w:color="auto"/>
            <w:right w:val="none" w:sz="0" w:space="0" w:color="auto"/>
          </w:divBdr>
          <w:divsChild>
            <w:div w:id="717121522">
              <w:marLeft w:val="0"/>
              <w:marRight w:val="0"/>
              <w:marTop w:val="0"/>
              <w:marBottom w:val="0"/>
              <w:divBdr>
                <w:top w:val="none" w:sz="0" w:space="0" w:color="auto"/>
                <w:left w:val="none" w:sz="0" w:space="0" w:color="auto"/>
                <w:bottom w:val="none" w:sz="0" w:space="0" w:color="auto"/>
                <w:right w:val="none" w:sz="0" w:space="0" w:color="auto"/>
              </w:divBdr>
              <w:divsChild>
                <w:div w:id="141967068">
                  <w:marLeft w:val="0"/>
                  <w:marRight w:val="0"/>
                  <w:marTop w:val="0"/>
                  <w:marBottom w:val="0"/>
                  <w:divBdr>
                    <w:top w:val="none" w:sz="0" w:space="0" w:color="auto"/>
                    <w:left w:val="none" w:sz="0" w:space="0" w:color="auto"/>
                    <w:bottom w:val="none" w:sz="0" w:space="0" w:color="auto"/>
                    <w:right w:val="none" w:sz="0" w:space="0" w:color="auto"/>
                  </w:divBdr>
                  <w:divsChild>
                    <w:div w:id="186135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1837095">
      <w:bodyDiv w:val="1"/>
      <w:marLeft w:val="0"/>
      <w:marRight w:val="0"/>
      <w:marTop w:val="0"/>
      <w:marBottom w:val="0"/>
      <w:divBdr>
        <w:top w:val="none" w:sz="0" w:space="0" w:color="auto"/>
        <w:left w:val="none" w:sz="0" w:space="0" w:color="auto"/>
        <w:bottom w:val="none" w:sz="0" w:space="0" w:color="auto"/>
        <w:right w:val="none" w:sz="0" w:space="0" w:color="auto"/>
      </w:divBdr>
    </w:div>
    <w:div w:id="1405683832">
      <w:bodyDiv w:val="1"/>
      <w:marLeft w:val="0"/>
      <w:marRight w:val="0"/>
      <w:marTop w:val="0"/>
      <w:marBottom w:val="0"/>
      <w:divBdr>
        <w:top w:val="none" w:sz="0" w:space="0" w:color="auto"/>
        <w:left w:val="none" w:sz="0" w:space="0" w:color="auto"/>
        <w:bottom w:val="none" w:sz="0" w:space="0" w:color="auto"/>
        <w:right w:val="none" w:sz="0" w:space="0" w:color="auto"/>
      </w:divBdr>
    </w:div>
    <w:div w:id="1445423032">
      <w:bodyDiv w:val="1"/>
      <w:marLeft w:val="0"/>
      <w:marRight w:val="0"/>
      <w:marTop w:val="0"/>
      <w:marBottom w:val="0"/>
      <w:divBdr>
        <w:top w:val="none" w:sz="0" w:space="0" w:color="auto"/>
        <w:left w:val="none" w:sz="0" w:space="0" w:color="auto"/>
        <w:bottom w:val="none" w:sz="0" w:space="0" w:color="auto"/>
        <w:right w:val="none" w:sz="0" w:space="0" w:color="auto"/>
      </w:divBdr>
      <w:divsChild>
        <w:div w:id="1589273219">
          <w:marLeft w:val="0"/>
          <w:marRight w:val="0"/>
          <w:marTop w:val="0"/>
          <w:marBottom w:val="0"/>
          <w:divBdr>
            <w:top w:val="none" w:sz="0" w:space="0" w:color="auto"/>
            <w:left w:val="none" w:sz="0" w:space="0" w:color="auto"/>
            <w:bottom w:val="none" w:sz="0" w:space="0" w:color="auto"/>
            <w:right w:val="none" w:sz="0" w:space="0" w:color="auto"/>
          </w:divBdr>
        </w:div>
      </w:divsChild>
    </w:div>
    <w:div w:id="1454400648">
      <w:bodyDiv w:val="1"/>
      <w:marLeft w:val="0"/>
      <w:marRight w:val="0"/>
      <w:marTop w:val="0"/>
      <w:marBottom w:val="0"/>
      <w:divBdr>
        <w:top w:val="none" w:sz="0" w:space="0" w:color="auto"/>
        <w:left w:val="none" w:sz="0" w:space="0" w:color="auto"/>
        <w:bottom w:val="none" w:sz="0" w:space="0" w:color="auto"/>
        <w:right w:val="none" w:sz="0" w:space="0" w:color="auto"/>
      </w:divBdr>
      <w:divsChild>
        <w:div w:id="104034633">
          <w:marLeft w:val="0"/>
          <w:marRight w:val="0"/>
          <w:marTop w:val="0"/>
          <w:marBottom w:val="0"/>
          <w:divBdr>
            <w:top w:val="none" w:sz="0" w:space="0" w:color="auto"/>
            <w:left w:val="none" w:sz="0" w:space="0" w:color="auto"/>
            <w:bottom w:val="none" w:sz="0" w:space="0" w:color="auto"/>
            <w:right w:val="none" w:sz="0" w:space="0" w:color="auto"/>
          </w:divBdr>
        </w:div>
        <w:div w:id="594360110">
          <w:marLeft w:val="0"/>
          <w:marRight w:val="0"/>
          <w:marTop w:val="0"/>
          <w:marBottom w:val="0"/>
          <w:divBdr>
            <w:top w:val="none" w:sz="0" w:space="0" w:color="auto"/>
            <w:left w:val="none" w:sz="0" w:space="0" w:color="auto"/>
            <w:bottom w:val="none" w:sz="0" w:space="0" w:color="auto"/>
            <w:right w:val="none" w:sz="0" w:space="0" w:color="auto"/>
          </w:divBdr>
        </w:div>
        <w:div w:id="119345732">
          <w:marLeft w:val="0"/>
          <w:marRight w:val="0"/>
          <w:marTop w:val="0"/>
          <w:marBottom w:val="0"/>
          <w:divBdr>
            <w:top w:val="none" w:sz="0" w:space="0" w:color="auto"/>
            <w:left w:val="none" w:sz="0" w:space="0" w:color="auto"/>
            <w:bottom w:val="none" w:sz="0" w:space="0" w:color="auto"/>
            <w:right w:val="none" w:sz="0" w:space="0" w:color="auto"/>
          </w:divBdr>
        </w:div>
        <w:div w:id="1396471296">
          <w:marLeft w:val="0"/>
          <w:marRight w:val="0"/>
          <w:marTop w:val="0"/>
          <w:marBottom w:val="0"/>
          <w:divBdr>
            <w:top w:val="none" w:sz="0" w:space="0" w:color="auto"/>
            <w:left w:val="none" w:sz="0" w:space="0" w:color="auto"/>
            <w:bottom w:val="none" w:sz="0" w:space="0" w:color="auto"/>
            <w:right w:val="none" w:sz="0" w:space="0" w:color="auto"/>
          </w:divBdr>
        </w:div>
        <w:div w:id="88355685">
          <w:marLeft w:val="0"/>
          <w:marRight w:val="0"/>
          <w:marTop w:val="0"/>
          <w:marBottom w:val="0"/>
          <w:divBdr>
            <w:top w:val="none" w:sz="0" w:space="0" w:color="auto"/>
            <w:left w:val="none" w:sz="0" w:space="0" w:color="auto"/>
            <w:bottom w:val="none" w:sz="0" w:space="0" w:color="auto"/>
            <w:right w:val="none" w:sz="0" w:space="0" w:color="auto"/>
          </w:divBdr>
        </w:div>
        <w:div w:id="1174150444">
          <w:marLeft w:val="0"/>
          <w:marRight w:val="0"/>
          <w:marTop w:val="0"/>
          <w:marBottom w:val="0"/>
          <w:divBdr>
            <w:top w:val="none" w:sz="0" w:space="0" w:color="auto"/>
            <w:left w:val="none" w:sz="0" w:space="0" w:color="auto"/>
            <w:bottom w:val="none" w:sz="0" w:space="0" w:color="auto"/>
            <w:right w:val="none" w:sz="0" w:space="0" w:color="auto"/>
          </w:divBdr>
        </w:div>
        <w:div w:id="370807451">
          <w:marLeft w:val="0"/>
          <w:marRight w:val="0"/>
          <w:marTop w:val="0"/>
          <w:marBottom w:val="0"/>
          <w:divBdr>
            <w:top w:val="none" w:sz="0" w:space="0" w:color="auto"/>
            <w:left w:val="none" w:sz="0" w:space="0" w:color="auto"/>
            <w:bottom w:val="none" w:sz="0" w:space="0" w:color="auto"/>
            <w:right w:val="none" w:sz="0" w:space="0" w:color="auto"/>
          </w:divBdr>
        </w:div>
      </w:divsChild>
    </w:div>
    <w:div w:id="1504322894">
      <w:bodyDiv w:val="1"/>
      <w:marLeft w:val="0"/>
      <w:marRight w:val="0"/>
      <w:marTop w:val="0"/>
      <w:marBottom w:val="0"/>
      <w:divBdr>
        <w:top w:val="none" w:sz="0" w:space="0" w:color="auto"/>
        <w:left w:val="none" w:sz="0" w:space="0" w:color="auto"/>
        <w:bottom w:val="none" w:sz="0" w:space="0" w:color="auto"/>
        <w:right w:val="none" w:sz="0" w:space="0" w:color="auto"/>
      </w:divBdr>
    </w:div>
    <w:div w:id="1521503880">
      <w:bodyDiv w:val="1"/>
      <w:marLeft w:val="0"/>
      <w:marRight w:val="0"/>
      <w:marTop w:val="0"/>
      <w:marBottom w:val="0"/>
      <w:divBdr>
        <w:top w:val="none" w:sz="0" w:space="0" w:color="auto"/>
        <w:left w:val="none" w:sz="0" w:space="0" w:color="auto"/>
        <w:bottom w:val="none" w:sz="0" w:space="0" w:color="auto"/>
        <w:right w:val="none" w:sz="0" w:space="0" w:color="auto"/>
      </w:divBdr>
    </w:div>
    <w:div w:id="1544175698">
      <w:bodyDiv w:val="1"/>
      <w:marLeft w:val="0"/>
      <w:marRight w:val="0"/>
      <w:marTop w:val="0"/>
      <w:marBottom w:val="0"/>
      <w:divBdr>
        <w:top w:val="none" w:sz="0" w:space="0" w:color="auto"/>
        <w:left w:val="none" w:sz="0" w:space="0" w:color="auto"/>
        <w:bottom w:val="none" w:sz="0" w:space="0" w:color="auto"/>
        <w:right w:val="none" w:sz="0" w:space="0" w:color="auto"/>
      </w:divBdr>
      <w:divsChild>
        <w:div w:id="1783306244">
          <w:marLeft w:val="0"/>
          <w:marRight w:val="0"/>
          <w:marTop w:val="0"/>
          <w:marBottom w:val="0"/>
          <w:divBdr>
            <w:top w:val="none" w:sz="0" w:space="0" w:color="auto"/>
            <w:left w:val="none" w:sz="0" w:space="0" w:color="auto"/>
            <w:bottom w:val="none" w:sz="0" w:space="0" w:color="auto"/>
            <w:right w:val="none" w:sz="0" w:space="0" w:color="auto"/>
          </w:divBdr>
          <w:divsChild>
            <w:div w:id="1115096894">
              <w:marLeft w:val="0"/>
              <w:marRight w:val="0"/>
              <w:marTop w:val="0"/>
              <w:marBottom w:val="0"/>
              <w:divBdr>
                <w:top w:val="none" w:sz="0" w:space="0" w:color="auto"/>
                <w:left w:val="none" w:sz="0" w:space="0" w:color="auto"/>
                <w:bottom w:val="none" w:sz="0" w:space="0" w:color="auto"/>
                <w:right w:val="none" w:sz="0" w:space="0" w:color="auto"/>
              </w:divBdr>
              <w:divsChild>
                <w:div w:id="1433285904">
                  <w:marLeft w:val="0"/>
                  <w:marRight w:val="0"/>
                  <w:marTop w:val="0"/>
                  <w:marBottom w:val="0"/>
                  <w:divBdr>
                    <w:top w:val="none" w:sz="0" w:space="0" w:color="auto"/>
                    <w:left w:val="none" w:sz="0" w:space="0" w:color="auto"/>
                    <w:bottom w:val="none" w:sz="0" w:space="0" w:color="auto"/>
                    <w:right w:val="none" w:sz="0" w:space="0" w:color="auto"/>
                  </w:divBdr>
                  <w:divsChild>
                    <w:div w:id="230773277">
                      <w:marLeft w:val="0"/>
                      <w:marRight w:val="0"/>
                      <w:marTop w:val="0"/>
                      <w:marBottom w:val="0"/>
                      <w:divBdr>
                        <w:top w:val="none" w:sz="0" w:space="0" w:color="auto"/>
                        <w:left w:val="none" w:sz="0" w:space="0" w:color="auto"/>
                        <w:bottom w:val="none" w:sz="0" w:space="0" w:color="auto"/>
                        <w:right w:val="none" w:sz="0" w:space="0" w:color="auto"/>
                      </w:divBdr>
                      <w:divsChild>
                        <w:div w:id="56174175">
                          <w:marLeft w:val="0"/>
                          <w:marRight w:val="0"/>
                          <w:marTop w:val="0"/>
                          <w:marBottom w:val="0"/>
                          <w:divBdr>
                            <w:top w:val="none" w:sz="0" w:space="0" w:color="auto"/>
                            <w:left w:val="none" w:sz="0" w:space="0" w:color="auto"/>
                            <w:bottom w:val="none" w:sz="0" w:space="0" w:color="auto"/>
                            <w:right w:val="none" w:sz="0" w:space="0" w:color="auto"/>
                          </w:divBdr>
                          <w:divsChild>
                            <w:div w:id="169194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3259262">
              <w:marLeft w:val="0"/>
              <w:marRight w:val="0"/>
              <w:marTop w:val="0"/>
              <w:marBottom w:val="0"/>
              <w:divBdr>
                <w:top w:val="none" w:sz="0" w:space="0" w:color="auto"/>
                <w:left w:val="none" w:sz="0" w:space="0" w:color="auto"/>
                <w:bottom w:val="none" w:sz="0" w:space="0" w:color="auto"/>
                <w:right w:val="none" w:sz="0" w:space="0" w:color="auto"/>
              </w:divBdr>
              <w:divsChild>
                <w:div w:id="587540814">
                  <w:marLeft w:val="0"/>
                  <w:marRight w:val="0"/>
                  <w:marTop w:val="0"/>
                  <w:marBottom w:val="0"/>
                  <w:divBdr>
                    <w:top w:val="none" w:sz="0" w:space="0" w:color="auto"/>
                    <w:left w:val="none" w:sz="0" w:space="0" w:color="auto"/>
                    <w:bottom w:val="none" w:sz="0" w:space="0" w:color="auto"/>
                    <w:right w:val="none" w:sz="0" w:space="0" w:color="auto"/>
                  </w:divBdr>
                  <w:divsChild>
                    <w:div w:id="181240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9019652">
      <w:bodyDiv w:val="1"/>
      <w:marLeft w:val="0"/>
      <w:marRight w:val="0"/>
      <w:marTop w:val="0"/>
      <w:marBottom w:val="0"/>
      <w:divBdr>
        <w:top w:val="none" w:sz="0" w:space="0" w:color="auto"/>
        <w:left w:val="none" w:sz="0" w:space="0" w:color="auto"/>
        <w:bottom w:val="none" w:sz="0" w:space="0" w:color="auto"/>
        <w:right w:val="none" w:sz="0" w:space="0" w:color="auto"/>
      </w:divBdr>
    </w:div>
    <w:div w:id="1656489325">
      <w:bodyDiv w:val="1"/>
      <w:marLeft w:val="0"/>
      <w:marRight w:val="0"/>
      <w:marTop w:val="0"/>
      <w:marBottom w:val="0"/>
      <w:divBdr>
        <w:top w:val="none" w:sz="0" w:space="0" w:color="auto"/>
        <w:left w:val="none" w:sz="0" w:space="0" w:color="auto"/>
        <w:bottom w:val="none" w:sz="0" w:space="0" w:color="auto"/>
        <w:right w:val="none" w:sz="0" w:space="0" w:color="auto"/>
      </w:divBdr>
    </w:div>
    <w:div w:id="1667902059">
      <w:bodyDiv w:val="1"/>
      <w:marLeft w:val="0"/>
      <w:marRight w:val="0"/>
      <w:marTop w:val="0"/>
      <w:marBottom w:val="0"/>
      <w:divBdr>
        <w:top w:val="none" w:sz="0" w:space="0" w:color="auto"/>
        <w:left w:val="none" w:sz="0" w:space="0" w:color="auto"/>
        <w:bottom w:val="none" w:sz="0" w:space="0" w:color="auto"/>
        <w:right w:val="none" w:sz="0" w:space="0" w:color="auto"/>
      </w:divBdr>
    </w:div>
    <w:div w:id="1748186539">
      <w:bodyDiv w:val="1"/>
      <w:marLeft w:val="0"/>
      <w:marRight w:val="0"/>
      <w:marTop w:val="0"/>
      <w:marBottom w:val="0"/>
      <w:divBdr>
        <w:top w:val="none" w:sz="0" w:space="0" w:color="auto"/>
        <w:left w:val="none" w:sz="0" w:space="0" w:color="auto"/>
        <w:bottom w:val="none" w:sz="0" w:space="0" w:color="auto"/>
        <w:right w:val="none" w:sz="0" w:space="0" w:color="auto"/>
      </w:divBdr>
    </w:div>
    <w:div w:id="1817600903">
      <w:bodyDiv w:val="1"/>
      <w:marLeft w:val="0"/>
      <w:marRight w:val="0"/>
      <w:marTop w:val="0"/>
      <w:marBottom w:val="0"/>
      <w:divBdr>
        <w:top w:val="none" w:sz="0" w:space="0" w:color="auto"/>
        <w:left w:val="none" w:sz="0" w:space="0" w:color="auto"/>
        <w:bottom w:val="none" w:sz="0" w:space="0" w:color="auto"/>
        <w:right w:val="none" w:sz="0" w:space="0" w:color="auto"/>
      </w:divBdr>
      <w:divsChild>
        <w:div w:id="619649839">
          <w:marLeft w:val="0"/>
          <w:marRight w:val="0"/>
          <w:marTop w:val="0"/>
          <w:marBottom w:val="0"/>
          <w:divBdr>
            <w:top w:val="none" w:sz="0" w:space="0" w:color="auto"/>
            <w:left w:val="none" w:sz="0" w:space="0" w:color="auto"/>
            <w:bottom w:val="none" w:sz="0" w:space="0" w:color="auto"/>
            <w:right w:val="none" w:sz="0" w:space="0" w:color="auto"/>
          </w:divBdr>
          <w:divsChild>
            <w:div w:id="1583251242">
              <w:marLeft w:val="0"/>
              <w:marRight w:val="0"/>
              <w:marTop w:val="0"/>
              <w:marBottom w:val="0"/>
              <w:divBdr>
                <w:top w:val="none" w:sz="0" w:space="0" w:color="auto"/>
                <w:left w:val="none" w:sz="0" w:space="0" w:color="auto"/>
                <w:bottom w:val="none" w:sz="0" w:space="0" w:color="auto"/>
                <w:right w:val="none" w:sz="0" w:space="0" w:color="auto"/>
              </w:divBdr>
              <w:divsChild>
                <w:div w:id="1773209276">
                  <w:marLeft w:val="0"/>
                  <w:marRight w:val="0"/>
                  <w:marTop w:val="0"/>
                  <w:marBottom w:val="0"/>
                  <w:divBdr>
                    <w:top w:val="none" w:sz="0" w:space="0" w:color="auto"/>
                    <w:left w:val="none" w:sz="0" w:space="0" w:color="auto"/>
                    <w:bottom w:val="none" w:sz="0" w:space="0" w:color="auto"/>
                    <w:right w:val="none" w:sz="0" w:space="0" w:color="auto"/>
                  </w:divBdr>
                  <w:divsChild>
                    <w:div w:id="62392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6456492">
      <w:bodyDiv w:val="1"/>
      <w:marLeft w:val="0"/>
      <w:marRight w:val="0"/>
      <w:marTop w:val="0"/>
      <w:marBottom w:val="0"/>
      <w:divBdr>
        <w:top w:val="none" w:sz="0" w:space="0" w:color="auto"/>
        <w:left w:val="none" w:sz="0" w:space="0" w:color="auto"/>
        <w:bottom w:val="none" w:sz="0" w:space="0" w:color="auto"/>
        <w:right w:val="none" w:sz="0" w:space="0" w:color="auto"/>
      </w:divBdr>
    </w:div>
    <w:div w:id="1847742937">
      <w:bodyDiv w:val="1"/>
      <w:marLeft w:val="0"/>
      <w:marRight w:val="0"/>
      <w:marTop w:val="0"/>
      <w:marBottom w:val="0"/>
      <w:divBdr>
        <w:top w:val="none" w:sz="0" w:space="0" w:color="auto"/>
        <w:left w:val="none" w:sz="0" w:space="0" w:color="auto"/>
        <w:bottom w:val="none" w:sz="0" w:space="0" w:color="auto"/>
        <w:right w:val="none" w:sz="0" w:space="0" w:color="auto"/>
      </w:divBdr>
      <w:divsChild>
        <w:div w:id="1023240500">
          <w:marLeft w:val="0"/>
          <w:marRight w:val="0"/>
          <w:marTop w:val="0"/>
          <w:marBottom w:val="0"/>
          <w:divBdr>
            <w:top w:val="none" w:sz="0" w:space="0" w:color="auto"/>
            <w:left w:val="none" w:sz="0" w:space="0" w:color="auto"/>
            <w:bottom w:val="none" w:sz="0" w:space="0" w:color="auto"/>
            <w:right w:val="none" w:sz="0" w:space="0" w:color="auto"/>
          </w:divBdr>
          <w:divsChild>
            <w:div w:id="134423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282801">
      <w:bodyDiv w:val="1"/>
      <w:marLeft w:val="0"/>
      <w:marRight w:val="0"/>
      <w:marTop w:val="0"/>
      <w:marBottom w:val="0"/>
      <w:divBdr>
        <w:top w:val="none" w:sz="0" w:space="0" w:color="auto"/>
        <w:left w:val="none" w:sz="0" w:space="0" w:color="auto"/>
        <w:bottom w:val="none" w:sz="0" w:space="0" w:color="auto"/>
        <w:right w:val="none" w:sz="0" w:space="0" w:color="auto"/>
      </w:divBdr>
    </w:div>
    <w:div w:id="1887326531">
      <w:bodyDiv w:val="1"/>
      <w:marLeft w:val="0"/>
      <w:marRight w:val="0"/>
      <w:marTop w:val="0"/>
      <w:marBottom w:val="0"/>
      <w:divBdr>
        <w:top w:val="none" w:sz="0" w:space="0" w:color="auto"/>
        <w:left w:val="none" w:sz="0" w:space="0" w:color="auto"/>
        <w:bottom w:val="none" w:sz="0" w:space="0" w:color="auto"/>
        <w:right w:val="none" w:sz="0" w:space="0" w:color="auto"/>
      </w:divBdr>
      <w:divsChild>
        <w:div w:id="2117947036">
          <w:marLeft w:val="0"/>
          <w:marRight w:val="0"/>
          <w:marTop w:val="0"/>
          <w:marBottom w:val="0"/>
          <w:divBdr>
            <w:top w:val="none" w:sz="0" w:space="0" w:color="auto"/>
            <w:left w:val="none" w:sz="0" w:space="0" w:color="auto"/>
            <w:bottom w:val="none" w:sz="0" w:space="0" w:color="auto"/>
            <w:right w:val="none" w:sz="0" w:space="0" w:color="auto"/>
          </w:divBdr>
          <w:divsChild>
            <w:div w:id="170016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992188">
      <w:bodyDiv w:val="1"/>
      <w:marLeft w:val="0"/>
      <w:marRight w:val="0"/>
      <w:marTop w:val="0"/>
      <w:marBottom w:val="0"/>
      <w:divBdr>
        <w:top w:val="none" w:sz="0" w:space="0" w:color="auto"/>
        <w:left w:val="none" w:sz="0" w:space="0" w:color="auto"/>
        <w:bottom w:val="none" w:sz="0" w:space="0" w:color="auto"/>
        <w:right w:val="none" w:sz="0" w:space="0" w:color="auto"/>
      </w:divBdr>
    </w:div>
    <w:div w:id="2018993831">
      <w:bodyDiv w:val="1"/>
      <w:marLeft w:val="0"/>
      <w:marRight w:val="0"/>
      <w:marTop w:val="0"/>
      <w:marBottom w:val="0"/>
      <w:divBdr>
        <w:top w:val="none" w:sz="0" w:space="0" w:color="auto"/>
        <w:left w:val="none" w:sz="0" w:space="0" w:color="auto"/>
        <w:bottom w:val="none" w:sz="0" w:space="0" w:color="auto"/>
        <w:right w:val="none" w:sz="0" w:space="0" w:color="auto"/>
      </w:divBdr>
      <w:divsChild>
        <w:div w:id="733428941">
          <w:marLeft w:val="2880"/>
          <w:marRight w:val="0"/>
          <w:marTop w:val="0"/>
          <w:marBottom w:val="0"/>
          <w:divBdr>
            <w:top w:val="none" w:sz="0" w:space="0" w:color="auto"/>
            <w:left w:val="none" w:sz="0" w:space="0" w:color="auto"/>
            <w:bottom w:val="none" w:sz="0" w:space="0" w:color="auto"/>
            <w:right w:val="none" w:sz="0" w:space="0" w:color="auto"/>
          </w:divBdr>
        </w:div>
        <w:div w:id="878401265">
          <w:marLeft w:val="2880"/>
          <w:marRight w:val="0"/>
          <w:marTop w:val="0"/>
          <w:marBottom w:val="0"/>
          <w:divBdr>
            <w:top w:val="none" w:sz="0" w:space="0" w:color="auto"/>
            <w:left w:val="none" w:sz="0" w:space="0" w:color="auto"/>
            <w:bottom w:val="none" w:sz="0" w:space="0" w:color="auto"/>
            <w:right w:val="none" w:sz="0" w:space="0" w:color="auto"/>
          </w:divBdr>
        </w:div>
        <w:div w:id="856432864">
          <w:marLeft w:val="2880"/>
          <w:marRight w:val="0"/>
          <w:marTop w:val="0"/>
          <w:marBottom w:val="0"/>
          <w:divBdr>
            <w:top w:val="none" w:sz="0" w:space="0" w:color="auto"/>
            <w:left w:val="none" w:sz="0" w:space="0" w:color="auto"/>
            <w:bottom w:val="none" w:sz="0" w:space="0" w:color="auto"/>
            <w:right w:val="none" w:sz="0" w:space="0" w:color="auto"/>
          </w:divBdr>
        </w:div>
        <w:div w:id="1596327939">
          <w:marLeft w:val="2880"/>
          <w:marRight w:val="0"/>
          <w:marTop w:val="0"/>
          <w:marBottom w:val="0"/>
          <w:divBdr>
            <w:top w:val="none" w:sz="0" w:space="0" w:color="auto"/>
            <w:left w:val="none" w:sz="0" w:space="0" w:color="auto"/>
            <w:bottom w:val="none" w:sz="0" w:space="0" w:color="auto"/>
            <w:right w:val="none" w:sz="0" w:space="0" w:color="auto"/>
          </w:divBdr>
        </w:div>
        <w:div w:id="242686890">
          <w:marLeft w:val="2880"/>
          <w:marRight w:val="0"/>
          <w:marTop w:val="0"/>
          <w:marBottom w:val="0"/>
          <w:divBdr>
            <w:top w:val="none" w:sz="0" w:space="0" w:color="auto"/>
            <w:left w:val="none" w:sz="0" w:space="0" w:color="auto"/>
            <w:bottom w:val="none" w:sz="0" w:space="0" w:color="auto"/>
            <w:right w:val="none" w:sz="0" w:space="0" w:color="auto"/>
          </w:divBdr>
        </w:div>
        <w:div w:id="1235505064">
          <w:marLeft w:val="2880"/>
          <w:marRight w:val="0"/>
          <w:marTop w:val="0"/>
          <w:marBottom w:val="0"/>
          <w:divBdr>
            <w:top w:val="none" w:sz="0" w:space="0" w:color="auto"/>
            <w:left w:val="none" w:sz="0" w:space="0" w:color="auto"/>
            <w:bottom w:val="none" w:sz="0" w:space="0" w:color="auto"/>
            <w:right w:val="none" w:sz="0" w:space="0" w:color="auto"/>
          </w:divBdr>
        </w:div>
      </w:divsChild>
    </w:div>
    <w:div w:id="2021346275">
      <w:bodyDiv w:val="1"/>
      <w:marLeft w:val="0"/>
      <w:marRight w:val="0"/>
      <w:marTop w:val="0"/>
      <w:marBottom w:val="0"/>
      <w:divBdr>
        <w:top w:val="none" w:sz="0" w:space="0" w:color="auto"/>
        <w:left w:val="none" w:sz="0" w:space="0" w:color="auto"/>
        <w:bottom w:val="none" w:sz="0" w:space="0" w:color="auto"/>
        <w:right w:val="none" w:sz="0" w:space="0" w:color="auto"/>
      </w:divBdr>
      <w:divsChild>
        <w:div w:id="140731539">
          <w:marLeft w:val="0"/>
          <w:marRight w:val="0"/>
          <w:marTop w:val="0"/>
          <w:marBottom w:val="0"/>
          <w:divBdr>
            <w:top w:val="none" w:sz="0" w:space="0" w:color="auto"/>
            <w:left w:val="none" w:sz="0" w:space="0" w:color="auto"/>
            <w:bottom w:val="none" w:sz="0" w:space="0" w:color="auto"/>
            <w:right w:val="none" w:sz="0" w:space="0" w:color="auto"/>
          </w:divBdr>
        </w:div>
        <w:div w:id="2123841858">
          <w:marLeft w:val="0"/>
          <w:marRight w:val="0"/>
          <w:marTop w:val="0"/>
          <w:marBottom w:val="0"/>
          <w:divBdr>
            <w:top w:val="none" w:sz="0" w:space="0" w:color="auto"/>
            <w:left w:val="none" w:sz="0" w:space="0" w:color="auto"/>
            <w:bottom w:val="none" w:sz="0" w:space="0" w:color="auto"/>
            <w:right w:val="none" w:sz="0" w:space="0" w:color="auto"/>
          </w:divBdr>
        </w:div>
      </w:divsChild>
    </w:div>
    <w:div w:id="2057387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84E363-632D-4426-A6DB-FD63E76D3D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4553</TotalTime>
  <Pages>1</Pages>
  <Words>36088</Words>
  <Characters>198484</Characters>
  <Application>Microsoft Office Word</Application>
  <DocSecurity>0</DocSecurity>
  <Lines>1654</Lines>
  <Paragraphs>468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234104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Adib FAYAD</dc:creator>
  <cp:keywords/>
  <dc:description/>
  <cp:lastModifiedBy>Adib FAYAD</cp:lastModifiedBy>
  <cp:revision>143</cp:revision>
  <cp:lastPrinted>2026-04-30T14:53:00Z</cp:lastPrinted>
  <dcterms:created xsi:type="dcterms:W3CDTF">2026-03-16T09:20:00Z</dcterms:created>
  <dcterms:modified xsi:type="dcterms:W3CDTF">2026-04-30T15:02:00Z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id="BsNIxV9g"/&gt;&lt;style id="http://www.zotero.org/styles/isara-iso-690" hasBibliography="1" bibliographyStyleHasBeenSet="1"/&gt;&lt;prefs&gt;&lt;pref name="fieldType" value="Field"/&gt;&lt;pref name="automaticJournalAbbr</vt:lpwstr>
  </property>
  <property fmtid="{D5CDD505-2E9C-101B-9397-08002B2CF9AE}" pid="3" name="ZOTERO_PREF_2">
    <vt:lpwstr>eviations" value="true"/&gt;&lt;/prefs&gt;&lt;/data&gt;</vt:lpwstr>
  </property>
</Properties>
</file>