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horzAnchor="page" w:tblpXSpec="center" w:tblpY="1158"/>
        <w:tblOverlap w:val="never"/>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9360"/>
      </w:tblGrid>
      <w:tr w14:paraId="25B07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nil"/>
              <w:left w:val="nil"/>
              <w:bottom w:val="nil"/>
              <w:right w:val="nil"/>
            </w:tcBorders>
            <w:shd w:val="clear" w:color="auto" w:fill="FFFFFF" w:themeFill="background1"/>
            <w:tcMar>
              <w:top w:w="400" w:type="dxa"/>
              <w:left w:w="360" w:type="dxa"/>
              <w:bottom w:w="400" w:type="dxa"/>
              <w:right w:w="360" w:type="dxa"/>
            </w:tcMar>
          </w:tcPr>
          <w:p w14:paraId="6D7646D0">
            <w:pPr>
              <w:jc w:val="center"/>
              <w:rPr>
                <w:color w:val="000000" w:themeColor="text1"/>
                <w14:textFill>
                  <w14:solidFill>
                    <w14:schemeClr w14:val="tx1"/>
                  </w14:solidFill>
                </w14:textFill>
              </w:rPr>
            </w:pPr>
            <w:r>
              <w:rPr>
                <w:rFonts w:ascii="Arial" w:hAnsi="Arial" w:eastAsia="Arial" w:cs="Arial"/>
                <w:b/>
                <w:bCs/>
                <w:caps/>
                <w:color w:val="000000" w:themeColor="text1"/>
                <w:sz w:val="18"/>
                <w:szCs w:val="18"/>
                <w14:textFill>
                  <w14:solidFill>
                    <w14:schemeClr w14:val="tx1"/>
                  </w14:solidFill>
                </w14:textFill>
              </w:rPr>
              <w:t>CAPSTONE PROJECT REPORT</w:t>
            </w:r>
          </w:p>
          <w:p w14:paraId="492E312F">
            <w:pPr>
              <w:spacing w:before="100" w:after="60"/>
              <w:jc w:val="center"/>
              <w:rPr>
                <w:color w:val="000000" w:themeColor="text1"/>
                <w14:textFill>
                  <w14:solidFill>
                    <w14:schemeClr w14:val="tx1"/>
                  </w14:solidFill>
                </w14:textFill>
              </w:rPr>
            </w:pPr>
            <w:r>
              <w:rPr>
                <w:rFonts w:ascii="Arial" w:hAnsi="Arial" w:eastAsia="Arial" w:cs="Arial"/>
                <w:b/>
                <w:bCs/>
                <w:color w:val="000000" w:themeColor="text1"/>
                <w:sz w:val="34"/>
                <w:szCs w:val="34"/>
                <w14:textFill>
                  <w14:solidFill>
                    <w14:schemeClr w14:val="tx1"/>
                  </w14:solidFill>
                </w14:textFill>
              </w:rPr>
              <w:t>SAP MM Procure-to-Pay Analytics:</w:t>
            </w:r>
          </w:p>
          <w:p w14:paraId="010FB701">
            <w:pPr>
              <w:spacing w:before="0" w:after="0"/>
              <w:jc w:val="center"/>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An End-to-End Python Simulation of the P2P Data Pipeline with Enterprise-Grade Analytical Reporting</w:t>
            </w:r>
          </w:p>
        </w:tc>
      </w:tr>
    </w:tbl>
    <w:p w14:paraId="43A10D49">
      <w:pPr>
        <w:spacing w:before="0" w:after="6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6E413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680" w:type="dxa"/>
            <w:tcBorders>
              <w:top w:val="single" w:color="CCCCCC" w:sz="0" w:space="0"/>
              <w:left w:val="single" w:color="CCCCCC" w:sz="0" w:space="0"/>
              <w:bottom w:val="single" w:color="CCCCCC" w:sz="0" w:space="0"/>
              <w:right w:val="single" w:color="CCCCCC" w:sz="0" w:space="0"/>
            </w:tcBorders>
            <w:shd w:val="clear" w:color="auto" w:fill="F2F3F4"/>
            <w:tcMar>
              <w:top w:w="100" w:type="dxa"/>
              <w:left w:w="140" w:type="dxa"/>
              <w:bottom w:w="100" w:type="dxa"/>
              <w:right w:w="140" w:type="dxa"/>
            </w:tcMar>
          </w:tcPr>
          <w:p w14:paraId="3F01877E">
            <w:pPr>
              <w:spacing w:before="0" w:after="120"/>
              <w:jc w:val="both"/>
            </w:pPr>
            <w:r>
              <w:rPr>
                <w:rFonts w:ascii="Arial" w:hAnsi="Arial" w:eastAsia="Arial" w:cs="Arial"/>
                <w:b/>
                <w:bCs/>
                <w:sz w:val="22"/>
                <w:szCs w:val="22"/>
              </w:rPr>
              <w:t xml:space="preserve">Name: </w:t>
            </w:r>
            <w:r>
              <w:rPr>
                <w:rFonts w:ascii="Arial" w:hAnsi="Arial" w:eastAsia="Arial" w:cs="Arial"/>
                <w:sz w:val="22"/>
                <w:szCs w:val="22"/>
              </w:rPr>
              <w:t>Adib Ahmed</w:t>
            </w:r>
          </w:p>
          <w:p w14:paraId="51E79096">
            <w:pPr>
              <w:spacing w:before="0" w:after="120"/>
              <w:jc w:val="both"/>
            </w:pPr>
            <w:r>
              <w:rPr>
                <w:rFonts w:ascii="Arial" w:hAnsi="Arial" w:eastAsia="Arial" w:cs="Arial"/>
                <w:b/>
                <w:bCs/>
                <w:sz w:val="22"/>
                <w:szCs w:val="22"/>
              </w:rPr>
              <w:t xml:space="preserve">Roll Number: </w:t>
            </w:r>
            <w:r>
              <w:rPr>
                <w:rFonts w:ascii="Arial" w:hAnsi="Arial" w:eastAsia="Arial" w:cs="Arial"/>
                <w:sz w:val="22"/>
                <w:szCs w:val="22"/>
              </w:rPr>
              <w:t>23052046</w:t>
            </w:r>
          </w:p>
          <w:p w14:paraId="68931D42">
            <w:pPr>
              <w:spacing w:before="0" w:after="120"/>
              <w:jc w:val="both"/>
            </w:pPr>
            <w:r>
              <w:rPr>
                <w:rFonts w:ascii="Arial" w:hAnsi="Arial" w:eastAsia="Arial" w:cs="Arial"/>
                <w:b/>
                <w:bCs/>
                <w:sz w:val="22"/>
                <w:szCs w:val="22"/>
              </w:rPr>
              <w:t xml:space="preserve">Course: </w:t>
            </w:r>
            <w:r>
              <w:rPr>
                <w:rFonts w:ascii="Arial" w:hAnsi="Arial" w:eastAsia="Arial" w:cs="Arial"/>
                <w:sz w:val="22"/>
                <w:szCs w:val="22"/>
              </w:rPr>
              <w:t>SAP Data/Analytics Engineer</w:t>
            </w:r>
          </w:p>
          <w:p w14:paraId="42825EDE">
            <w:pPr>
              <w:spacing w:before="0" w:after="120"/>
              <w:jc w:val="both"/>
            </w:pPr>
          </w:p>
        </w:tc>
        <w:tc>
          <w:tcPr>
            <w:tcW w:w="4680" w:type="dxa"/>
            <w:tcBorders>
              <w:top w:val="single" w:color="CCCCCC" w:sz="0" w:space="0"/>
              <w:left w:val="single" w:color="CCCCCC" w:sz="0" w:space="0"/>
              <w:bottom w:val="single" w:color="CCCCCC" w:sz="0" w:space="0"/>
              <w:right w:val="single" w:color="CCCCCC" w:sz="0" w:space="0"/>
            </w:tcBorders>
            <w:shd w:val="clear" w:color="auto" w:fill="F2F3F4"/>
            <w:tcMar>
              <w:top w:w="100" w:type="dxa"/>
              <w:left w:w="140" w:type="dxa"/>
              <w:bottom w:w="100" w:type="dxa"/>
              <w:right w:w="140" w:type="dxa"/>
            </w:tcMar>
          </w:tcPr>
          <w:p w14:paraId="0869CC61">
            <w:pPr>
              <w:spacing w:before="0" w:after="120"/>
              <w:jc w:val="both"/>
            </w:pPr>
            <w:r>
              <w:rPr>
                <w:rFonts w:ascii="Arial" w:hAnsi="Arial" w:eastAsia="Arial" w:cs="Arial"/>
                <w:b/>
                <w:bCs/>
                <w:sz w:val="22"/>
                <w:szCs w:val="22"/>
              </w:rPr>
              <w:t xml:space="preserve">University: </w:t>
            </w:r>
            <w:r>
              <w:rPr>
                <w:rFonts w:ascii="Arial" w:hAnsi="Arial" w:eastAsia="Arial" w:cs="Arial"/>
                <w:sz w:val="22"/>
                <w:szCs w:val="22"/>
              </w:rPr>
              <w:t>Kalinga Institute of Industrial Technology (KIIT)</w:t>
            </w:r>
          </w:p>
          <w:p w14:paraId="131EDEBD">
            <w:pPr>
              <w:spacing w:before="0" w:after="120"/>
              <w:jc w:val="both"/>
            </w:pPr>
            <w:r>
              <w:rPr>
                <w:rFonts w:ascii="Arial" w:hAnsi="Arial" w:eastAsia="Arial" w:cs="Arial"/>
                <w:b/>
                <w:bCs/>
                <w:sz w:val="22"/>
                <w:szCs w:val="22"/>
              </w:rPr>
              <w:t xml:space="preserve">Program / Branch: </w:t>
            </w:r>
            <w:r>
              <w:rPr>
                <w:rFonts w:ascii="Arial" w:hAnsi="Arial" w:eastAsia="Arial" w:cs="Arial"/>
                <w:sz w:val="22"/>
                <w:szCs w:val="22"/>
              </w:rPr>
              <w:t>B.Tech Computer Science and Engineering</w:t>
            </w:r>
          </w:p>
        </w:tc>
      </w:tr>
    </w:tbl>
    <w:tbl>
      <w:tblPr>
        <w:tblStyle w:val="9"/>
        <w:tblpPr w:leftFromText="180" w:rightFromText="180" w:vertAnchor="text" w:horzAnchor="page" w:tblpX="1362" w:tblpY="325"/>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1872"/>
        <w:gridCol w:w="1872"/>
        <w:gridCol w:w="1872"/>
        <w:gridCol w:w="1872"/>
        <w:gridCol w:w="1872"/>
      </w:tblGrid>
      <w:tr w14:paraId="2CE43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2E86C1" w:sz="0" w:space="0"/>
              <w:left w:val="single" w:color="2E86C1" w:sz="0" w:space="0"/>
              <w:bottom w:val="single" w:color="2E86C1" w:sz="0" w:space="0"/>
              <w:right w:val="single" w:color="2E86C1" w:sz="0" w:space="0"/>
            </w:tcBorders>
            <w:shd w:val="clear" w:color="auto" w:fill="FFFFFF" w:themeFill="background1"/>
            <w:tcMar>
              <w:top w:w="100" w:type="dxa"/>
              <w:left w:w="80" w:type="dxa"/>
              <w:bottom w:w="100" w:type="dxa"/>
              <w:right w:w="80" w:type="dxa"/>
            </w:tcMar>
          </w:tcPr>
          <w:p w14:paraId="31E45533">
            <w:pPr>
              <w:jc w:val="center"/>
              <w:rPr>
                <w:color w:val="000000" w:themeColor="text1"/>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300</w:t>
            </w:r>
          </w:p>
          <w:p w14:paraId="1681B17A">
            <w:pPr>
              <w:jc w:val="center"/>
              <w:rPr>
                <w:color w:val="000000" w:themeColor="text1"/>
                <w14:textFill>
                  <w14:solidFill>
                    <w14:schemeClr w14:val="tx1"/>
                  </w14:solidFill>
                </w14:textFill>
              </w:rPr>
            </w:pPr>
            <w:r>
              <w:rPr>
                <w:rFonts w:ascii="Arial" w:hAnsi="Arial" w:eastAsia="Arial" w:cs="Arial"/>
                <w:color w:val="000000" w:themeColor="text1"/>
                <w:sz w:val="17"/>
                <w:szCs w:val="17"/>
                <w14:textFill>
                  <w14:solidFill>
                    <w14:schemeClr w14:val="tx1"/>
                  </w14:solidFill>
                </w14:textFill>
              </w:rPr>
              <w:t>Purchase Orders</w:t>
            </w:r>
          </w:p>
        </w:tc>
        <w:tc>
          <w:tcPr>
            <w:tcW w:w="1872" w:type="dxa"/>
            <w:tcBorders>
              <w:top w:val="single" w:color="2E86C1" w:sz="0" w:space="0"/>
              <w:left w:val="single" w:color="2E86C1" w:sz="0" w:space="0"/>
              <w:bottom w:val="single" w:color="2E86C1" w:sz="0" w:space="0"/>
              <w:right w:val="single" w:color="2E86C1" w:sz="0" w:space="0"/>
            </w:tcBorders>
            <w:shd w:val="clear" w:color="auto" w:fill="FFFFFF" w:themeFill="background1"/>
            <w:tcMar>
              <w:top w:w="100" w:type="dxa"/>
              <w:left w:w="80" w:type="dxa"/>
              <w:bottom w:w="100" w:type="dxa"/>
              <w:right w:w="80" w:type="dxa"/>
            </w:tcMar>
          </w:tcPr>
          <w:p w14:paraId="58E69AEB">
            <w:pPr>
              <w:jc w:val="center"/>
              <w:rPr>
                <w:color w:val="000000" w:themeColor="text1"/>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592</w:t>
            </w:r>
          </w:p>
          <w:p w14:paraId="79FAE54B">
            <w:pPr>
              <w:jc w:val="center"/>
              <w:rPr>
                <w:color w:val="000000" w:themeColor="text1"/>
                <w14:textFill>
                  <w14:solidFill>
                    <w14:schemeClr w14:val="tx1"/>
                  </w14:solidFill>
                </w14:textFill>
              </w:rPr>
            </w:pPr>
            <w:r>
              <w:rPr>
                <w:rFonts w:ascii="Arial" w:hAnsi="Arial" w:eastAsia="Arial" w:cs="Arial"/>
                <w:color w:val="000000" w:themeColor="text1"/>
                <w:sz w:val="17"/>
                <w:szCs w:val="17"/>
                <w14:textFill>
                  <w14:solidFill>
                    <w14:schemeClr w14:val="tx1"/>
                  </w14:solidFill>
                </w14:textFill>
              </w:rPr>
              <w:t>Line Items</w:t>
            </w:r>
          </w:p>
        </w:tc>
        <w:tc>
          <w:tcPr>
            <w:tcW w:w="1872" w:type="dxa"/>
            <w:tcBorders>
              <w:top w:val="single" w:color="2E86C1" w:sz="0" w:space="0"/>
              <w:left w:val="single" w:color="2E86C1" w:sz="0" w:space="0"/>
              <w:bottom w:val="single" w:color="2E86C1" w:sz="0" w:space="0"/>
              <w:right w:val="single" w:color="2E86C1" w:sz="0" w:space="0"/>
            </w:tcBorders>
            <w:shd w:val="clear" w:color="auto" w:fill="FFFFFF" w:themeFill="background1"/>
            <w:tcMar>
              <w:top w:w="100" w:type="dxa"/>
              <w:left w:w="80" w:type="dxa"/>
              <w:bottom w:w="100" w:type="dxa"/>
              <w:right w:w="80" w:type="dxa"/>
            </w:tcMar>
          </w:tcPr>
          <w:p w14:paraId="26AFAEC3">
            <w:pPr>
              <w:jc w:val="center"/>
              <w:rPr>
                <w:color w:val="000000" w:themeColor="text1"/>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85.6%</w:t>
            </w:r>
          </w:p>
          <w:p w14:paraId="2DD093C7">
            <w:pPr>
              <w:jc w:val="center"/>
              <w:rPr>
                <w:color w:val="000000" w:themeColor="text1"/>
                <w14:textFill>
                  <w14:solidFill>
                    <w14:schemeClr w14:val="tx1"/>
                  </w14:solidFill>
                </w14:textFill>
              </w:rPr>
            </w:pPr>
            <w:r>
              <w:rPr>
                <w:rFonts w:ascii="Arial" w:hAnsi="Arial" w:eastAsia="Arial" w:cs="Arial"/>
                <w:color w:val="000000" w:themeColor="text1"/>
                <w:sz w:val="17"/>
                <w:szCs w:val="17"/>
                <w14:textFill>
                  <w14:solidFill>
                    <w14:schemeClr w14:val="tx1"/>
                  </w14:solidFill>
                </w14:textFill>
              </w:rPr>
              <w:t>GR Completion Rate</w:t>
            </w:r>
          </w:p>
        </w:tc>
        <w:tc>
          <w:tcPr>
            <w:tcW w:w="1872" w:type="dxa"/>
            <w:tcBorders>
              <w:top w:val="single" w:color="2E86C1" w:sz="0" w:space="0"/>
              <w:left w:val="single" w:color="2E86C1" w:sz="0" w:space="0"/>
              <w:bottom w:val="single" w:color="2E86C1" w:sz="0" w:space="0"/>
              <w:right w:val="single" w:color="2E86C1" w:sz="0" w:space="0"/>
            </w:tcBorders>
            <w:shd w:val="clear" w:color="auto" w:fill="FFFFFF" w:themeFill="background1"/>
            <w:tcMar>
              <w:top w:w="100" w:type="dxa"/>
              <w:left w:w="80" w:type="dxa"/>
              <w:bottom w:w="100" w:type="dxa"/>
              <w:right w:w="80" w:type="dxa"/>
            </w:tcMar>
          </w:tcPr>
          <w:p w14:paraId="6ADFA49C">
            <w:pPr>
              <w:jc w:val="center"/>
              <w:rPr>
                <w:color w:val="000000" w:themeColor="text1"/>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7.8 Days</w:t>
            </w:r>
          </w:p>
          <w:p w14:paraId="6ECB53CC">
            <w:pPr>
              <w:jc w:val="center"/>
              <w:rPr>
                <w:color w:val="000000" w:themeColor="text1"/>
                <w14:textFill>
                  <w14:solidFill>
                    <w14:schemeClr w14:val="tx1"/>
                  </w14:solidFill>
                </w14:textFill>
              </w:rPr>
            </w:pPr>
            <w:r>
              <w:rPr>
                <w:rFonts w:ascii="Arial" w:hAnsi="Arial" w:eastAsia="Arial" w:cs="Arial"/>
                <w:color w:val="000000" w:themeColor="text1"/>
                <w:sz w:val="17"/>
                <w:szCs w:val="17"/>
                <w14:textFill>
                  <w14:solidFill>
                    <w14:schemeClr w14:val="tx1"/>
                  </w14:solidFill>
                </w14:textFill>
              </w:rPr>
              <w:t>Avg. Lead Time</w:t>
            </w:r>
          </w:p>
        </w:tc>
        <w:tc>
          <w:tcPr>
            <w:tcW w:w="1872" w:type="dxa"/>
            <w:tcBorders>
              <w:top w:val="single" w:color="2E86C1" w:sz="0" w:space="0"/>
              <w:left w:val="single" w:color="2E86C1" w:sz="0" w:space="0"/>
              <w:bottom w:val="single" w:color="2E86C1" w:sz="0" w:space="0"/>
              <w:right w:val="single" w:color="2E86C1" w:sz="0" w:space="0"/>
            </w:tcBorders>
            <w:shd w:val="clear" w:color="auto" w:fill="FFFFFF" w:themeFill="background1"/>
            <w:tcMar>
              <w:top w:w="100" w:type="dxa"/>
              <w:left w:w="80" w:type="dxa"/>
              <w:bottom w:w="100" w:type="dxa"/>
              <w:right w:w="80" w:type="dxa"/>
            </w:tcMar>
          </w:tcPr>
          <w:p w14:paraId="566D9BFF">
            <w:pPr>
              <w:jc w:val="center"/>
              <w:rPr>
                <w:color w:val="000000" w:themeColor="text1"/>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57.4%</w:t>
            </w:r>
          </w:p>
          <w:p w14:paraId="0D6490BB">
            <w:pPr>
              <w:jc w:val="center"/>
              <w:rPr>
                <w:color w:val="000000" w:themeColor="text1"/>
                <w14:textFill>
                  <w14:solidFill>
                    <w14:schemeClr w14:val="tx1"/>
                  </w14:solidFill>
                </w14:textFill>
              </w:rPr>
            </w:pPr>
            <w:r>
              <w:rPr>
                <w:rFonts w:ascii="Arial" w:hAnsi="Arial" w:eastAsia="Arial" w:cs="Arial"/>
                <w:color w:val="000000" w:themeColor="text1"/>
                <w:sz w:val="17"/>
                <w:szCs w:val="17"/>
                <w14:textFill>
                  <w14:solidFill>
                    <w14:schemeClr w14:val="tx1"/>
                  </w14:solidFill>
                </w14:textFill>
              </w:rPr>
              <w:t>On-Time GR Rate</w:t>
            </w:r>
          </w:p>
        </w:tc>
      </w:tr>
    </w:tbl>
    <w:p w14:paraId="7B7722D7">
      <w:pPr>
        <w:spacing w:before="0" w:after="180"/>
        <w:rPr>
          <w:sz w:val="30"/>
          <w:szCs w:val="30"/>
        </w:rPr>
      </w:pPr>
    </w:p>
    <w:p w14:paraId="091728A8">
      <w:pPr>
        <w:pStyle w:val="2"/>
        <w:pBdr>
          <w:bottom w:val="single" w:color="2E86C1" w:sz="6" w:space="3"/>
        </w:pBdr>
        <w:spacing w:before="280" w:after="140"/>
        <w:rPr>
          <w:color w:val="000000" w:themeColor="text1"/>
          <w:sz w:val="30"/>
          <w:szCs w:val="30"/>
          <w14:textFill>
            <w14:solidFill>
              <w14:schemeClr w14:val="tx1"/>
            </w14:solidFill>
          </w14:textFill>
        </w:rPr>
      </w:pPr>
      <w:r>
        <w:rPr>
          <w:rFonts w:ascii="Arial" w:hAnsi="Arial" w:eastAsia="Arial" w:cs="Arial"/>
          <w:b/>
          <w:bCs/>
          <w:color w:val="000000" w:themeColor="text1"/>
          <w:sz w:val="30"/>
          <w:szCs w:val="30"/>
          <w14:textFill>
            <w14:solidFill>
              <w14:schemeClr w14:val="tx1"/>
            </w14:solidFill>
          </w14:textFill>
        </w:rPr>
        <w:t>1.  Problem Statement</w:t>
      </w:r>
    </w:p>
    <w:p w14:paraId="63DAE605">
      <w:pPr>
        <w:pStyle w:val="3"/>
        <w:spacing w:before="200" w:after="100"/>
        <w:rPr>
          <w:color w:val="000000" w:themeColor="text1"/>
          <w:sz w:val="28"/>
          <w:szCs w:val="28"/>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1.1  Complexity of the Procure-to-Pay Lifecycle</w:t>
      </w:r>
    </w:p>
    <w:p w14:paraId="0EC6FEB7">
      <w:pPr>
        <w:spacing w:before="0" w:after="120"/>
        <w:jc w:val="both"/>
        <w:rPr>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In SAP, the P2P process spans every touchpoint from procurement need identification to vendor payment clearance — involving Procurement, Stores, Logistics, and Finance. A Purchase Requisition triggers a Purchase Order (header in EKKO, line items in EKPO). The warehouse posts a Goods Receipt in MSEG (movement type 101), and Finance posts the vendor invoice via MIRO, generating an RBKP record. The delta between EKKO.BEDAT (PO date) and MSEG.BUDAT (GR posting date) is where the critical business intelligence lies.</w:t>
      </w:r>
    </w:p>
    <w:p w14:paraId="4D30D730">
      <w:pPr>
        <w:pStyle w:val="3"/>
        <w:spacing w:before="200" w:after="100"/>
        <w:rPr>
          <w:color w:val="000000" w:themeColor="text1"/>
          <w:sz w:val="28"/>
          <w:szCs w:val="28"/>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1.2  Limitations of Standard SAP GUI Reporting</w:t>
      </w:r>
    </w:p>
    <w:p w14:paraId="76B216B3">
      <w:pPr>
        <w:spacing w:before="0" w:after="120"/>
        <w:jc w:val="both"/>
        <w:rPr>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SAP's native ALV Grid and transactions like ME2N, MB51, and MIRO are transactional tools for record-level inspection, not analytics. They lack native charting, cannot cross-aggregate EKKO, MSEG, and RBKP without custom ABAP development, and cannot monitor SLA compliance at scale without production server contention. This project closes that gap with a Python-based simulation and analytics pipeline.</w:t>
      </w:r>
    </w:p>
    <w:p w14:paraId="3087B6C3">
      <w:pPr>
        <w:pStyle w:val="3"/>
        <w:spacing w:before="200" w:after="100"/>
        <w:rPr>
          <w:color w:val="000000" w:themeColor="text1"/>
          <w:sz w:val="28"/>
          <w:szCs w:val="28"/>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1.3  The Three-Way Match Challenge</w:t>
      </w:r>
    </w:p>
    <w:p w14:paraId="5E77277D">
      <w:pPr>
        <w:spacing w:before="0" w:after="120"/>
        <w:jc w:val="both"/>
        <w:rPr>
          <w:rFonts w:ascii="Arial" w:hAnsi="Arial" w:eastAsia="Arial" w:cs="Arial"/>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The three-way match — verifying that EKKO/EKPO (PO), MSEG (GR), and RBKP (Invoice) agree on quantity and value — is the most critical P2P control point. A blocked invoice creates an open AP item requiring manual resolution. Simulating this logic, including POs without GRs and GRs without invoices, is a central design requirement.</w:t>
      </w:r>
    </w:p>
    <w:p w14:paraId="553361DD">
      <w:pPr>
        <w:spacing w:before="0" w:after="120"/>
        <w:jc w:val="both"/>
        <w:rPr>
          <w:rFonts w:ascii="Arial" w:hAnsi="Arial" w:eastAsia="Arial" w:cs="Arial"/>
          <w:color w:val="000000" w:themeColor="text1"/>
          <w:sz w:val="24"/>
          <w:szCs w:val="24"/>
          <w14:textFill>
            <w14:solidFill>
              <w14:schemeClr w14:val="tx1"/>
            </w14:solidFill>
          </w14:textFill>
        </w:rPr>
      </w:pPr>
    </w:p>
    <w:p w14:paraId="2BA3A925">
      <w:pPr>
        <w:spacing w:before="0" w:after="120"/>
        <w:jc w:val="both"/>
        <w:rPr>
          <w:rFonts w:ascii="Arial" w:hAnsi="Arial" w:eastAsia="Arial" w:cs="Arial"/>
          <w:color w:val="000000" w:themeColor="text1"/>
          <w:sz w:val="24"/>
          <w:szCs w:val="24"/>
          <w14:textFill>
            <w14:solidFill>
              <w14:schemeClr w14:val="tx1"/>
            </w14:solidFill>
          </w14:textFill>
        </w:rPr>
      </w:pPr>
    </w:p>
    <w:p w14:paraId="5FD5881A">
      <w:pPr>
        <w:spacing w:before="0" w:after="60"/>
        <w:rPr>
          <w:color w:val="000000" w:themeColor="text1"/>
          <w:sz w:val="24"/>
          <w:szCs w:val="24"/>
          <w14:textFill>
            <w14:solidFill>
              <w14:schemeClr w14:val="tx1"/>
            </w14:solidFill>
          </w14:textFill>
        </w:rPr>
      </w:pPr>
    </w:p>
    <w:p w14:paraId="6118F3A3">
      <w:pPr>
        <w:spacing w:before="0" w:after="60"/>
        <w:rPr>
          <w:color w:val="000000" w:themeColor="text1"/>
          <w:sz w:val="24"/>
          <w:szCs w:val="24"/>
          <w14:textFill>
            <w14:solidFill>
              <w14:schemeClr w14:val="tx1"/>
            </w14:solidFill>
          </w14:textFill>
        </w:rPr>
      </w:pPr>
    </w:p>
    <w:p w14:paraId="4B0D178D">
      <w:pPr>
        <w:pStyle w:val="2"/>
        <w:pBdr>
          <w:bottom w:val="single" w:color="2E86C1" w:sz="6" w:space="3"/>
        </w:pBdr>
        <w:spacing w:before="280" w:after="140"/>
        <w:rPr>
          <w:color w:val="000000" w:themeColor="text1"/>
          <w:sz w:val="30"/>
          <w:szCs w:val="30"/>
          <w14:textFill>
            <w14:solidFill>
              <w14:schemeClr w14:val="tx1"/>
            </w14:solidFill>
          </w14:textFill>
        </w:rPr>
      </w:pPr>
      <w:r>
        <w:rPr>
          <w:rFonts w:ascii="Arial" w:hAnsi="Arial" w:eastAsia="Arial" w:cs="Arial"/>
          <w:b/>
          <w:bCs/>
          <w:color w:val="000000" w:themeColor="text1"/>
          <w:sz w:val="30"/>
          <w:szCs w:val="30"/>
          <w14:textFill>
            <w14:solidFill>
              <w14:schemeClr w14:val="tx1"/>
            </w14:solidFill>
          </w14:textFill>
        </w:rPr>
        <w:t>2.  Solution Architecture &amp; Key Features</w:t>
      </w:r>
    </w:p>
    <w:p w14:paraId="77258806">
      <w:pPr>
        <w:spacing w:before="0" w:after="120"/>
        <w:jc w:val="both"/>
        <w:rPr>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A self-contained Python pipeline that (1) simulates realistic SAP MM table data, (2) processes it through a join strategy replicating SAP's relational model, and (3) renders five executive-grade visualisations: spend by material, lead time distribution, procurement trends, vendor performance, and invoice processing health.</w:t>
      </w:r>
    </w:p>
    <w:p w14:paraId="0EF409D1">
      <w:pPr>
        <w:pStyle w:val="3"/>
        <w:spacing w:before="200" w:after="100"/>
        <w:rPr>
          <w:color w:val="000000" w:themeColor="text1"/>
          <w:sz w:val="28"/>
          <w:szCs w:val="28"/>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2.1  Automated KPI Calculation</w:t>
      </w:r>
    </w:p>
    <w:p w14:paraId="478B7C16">
      <w:pPr>
        <w:pStyle w:val="17"/>
        <w:numPr>
          <w:ilvl w:val="0"/>
          <w:numId w:val="1"/>
        </w:numPr>
        <w:spacing w:before="0" w:after="60"/>
        <w:rPr>
          <w:color w:val="000000" w:themeColor="text1"/>
          <w:sz w:val="24"/>
          <w:szCs w:val="24"/>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 xml:space="preserve">Total PO Value (EKPO.NETWR aggregate): </w:t>
      </w:r>
      <w:r>
        <w:rPr>
          <w:rFonts w:ascii="Arial" w:hAnsi="Arial" w:eastAsia="Arial" w:cs="Arial"/>
          <w:color w:val="000000" w:themeColor="text1"/>
          <w:sz w:val="24"/>
          <w:szCs w:val="24"/>
          <w14:textFill>
            <w14:solidFill>
              <w14:schemeClr w14:val="tx1"/>
            </w14:solidFill>
          </w14:textFill>
        </w:rPr>
        <w:t>Gross procurement commitment across all POs, regardless of fulfilment status.</w:t>
      </w:r>
    </w:p>
    <w:p w14:paraId="6C26EF07">
      <w:pPr>
        <w:pStyle w:val="17"/>
        <w:numPr>
          <w:ilvl w:val="0"/>
          <w:numId w:val="1"/>
        </w:numPr>
        <w:spacing w:before="0" w:after="60"/>
        <w:rPr>
          <w:color w:val="000000" w:themeColor="text1"/>
          <w:sz w:val="24"/>
          <w:szCs w:val="24"/>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 xml:space="preserve">Invoiced Amount (RBKP.NETWR aggregate): </w:t>
      </w:r>
      <w:r>
        <w:rPr>
          <w:rFonts w:ascii="Arial" w:hAnsi="Arial" w:eastAsia="Arial" w:cs="Arial"/>
          <w:color w:val="000000" w:themeColor="text1"/>
          <w:sz w:val="24"/>
          <w:szCs w:val="24"/>
          <w14:textFill>
            <w14:solidFill>
              <w14:schemeClr w14:val="tx1"/>
            </w14:solidFill>
          </w14:textFill>
        </w:rPr>
        <w:t>Value formally invoiced and posted as Accounts Payable.</w:t>
      </w:r>
    </w:p>
    <w:p w14:paraId="5C1F740A">
      <w:pPr>
        <w:pStyle w:val="17"/>
        <w:numPr>
          <w:ilvl w:val="0"/>
          <w:numId w:val="1"/>
        </w:numPr>
        <w:spacing w:before="0" w:after="60"/>
        <w:rPr>
          <w:color w:val="000000" w:themeColor="text1"/>
          <w:sz w:val="24"/>
          <w:szCs w:val="24"/>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 xml:space="preserve">Open AP Exposure: </w:t>
      </w:r>
      <w:r>
        <w:rPr>
          <w:rFonts w:ascii="Arial" w:hAnsi="Arial" w:eastAsia="Arial" w:cs="Arial"/>
          <w:color w:val="000000" w:themeColor="text1"/>
          <w:sz w:val="24"/>
          <w:szCs w:val="24"/>
          <w14:textFill>
            <w14:solidFill>
              <w14:schemeClr w14:val="tx1"/>
            </w14:solidFill>
          </w14:textFill>
        </w:rPr>
        <w:t>Delta between PO value and invoiced amount — Rs.1.20 Cr in the simulation.</w:t>
      </w:r>
    </w:p>
    <w:p w14:paraId="005428D5">
      <w:pPr>
        <w:pStyle w:val="17"/>
        <w:numPr>
          <w:ilvl w:val="0"/>
          <w:numId w:val="1"/>
        </w:numPr>
        <w:spacing w:before="0" w:after="60"/>
        <w:rPr>
          <w:color w:val="000000" w:themeColor="text1"/>
          <w:sz w:val="24"/>
          <w:szCs w:val="24"/>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 xml:space="preserve">Average PO-to-GR Lead Time: </w:t>
      </w:r>
      <w:r>
        <w:rPr>
          <w:rFonts w:ascii="Arial" w:hAnsi="Arial" w:eastAsia="Arial" w:cs="Arial"/>
          <w:color w:val="000000" w:themeColor="text1"/>
          <w:sz w:val="24"/>
          <w:szCs w:val="24"/>
          <w14:textFill>
            <w14:solidFill>
              <w14:schemeClr w14:val="tx1"/>
            </w14:solidFill>
          </w14:textFill>
        </w:rPr>
        <w:t>(MSEG.BUDAT − EKKO.BEDAT) in calendar days. 7.8 days vs. a 7-day SLA.</w:t>
      </w:r>
    </w:p>
    <w:p w14:paraId="68290476">
      <w:pPr>
        <w:pStyle w:val="17"/>
        <w:numPr>
          <w:ilvl w:val="0"/>
          <w:numId w:val="1"/>
        </w:numPr>
        <w:spacing w:before="0" w:after="60"/>
        <w:rPr>
          <w:color w:val="000000" w:themeColor="text1"/>
          <w:sz w:val="24"/>
          <w:szCs w:val="24"/>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 xml:space="preserve">On-Time GR Rate: </w:t>
      </w:r>
      <w:r>
        <w:rPr>
          <w:rFonts w:ascii="Arial" w:hAnsi="Arial" w:eastAsia="Arial" w:cs="Arial"/>
          <w:color w:val="000000" w:themeColor="text1"/>
          <w:sz w:val="24"/>
          <w:szCs w:val="24"/>
          <w14:textFill>
            <w14:solidFill>
              <w14:schemeClr w14:val="tx1"/>
            </w14:solidFill>
          </w14:textFill>
        </w:rPr>
        <w:t>Percentage of GR postings with LEAD_TIME_DAYS ≤ 7. Simulated rate: 57.4%.</w:t>
      </w:r>
    </w:p>
    <w:p w14:paraId="39831B68">
      <w:pPr>
        <w:spacing w:before="0" w:after="60"/>
        <w:rPr>
          <w:color w:val="000000" w:themeColor="text1"/>
          <w:sz w:val="24"/>
          <w:szCs w:val="24"/>
          <w14:textFill>
            <w14:solidFill>
              <w14:schemeClr w14:val="tx1"/>
            </w14:solidFill>
          </w14:textFill>
        </w:rPr>
      </w:pPr>
    </w:p>
    <w:p w14:paraId="3A9C0322">
      <w:pPr>
        <w:pStyle w:val="2"/>
        <w:pBdr>
          <w:bottom w:val="single" w:color="2E86C1" w:sz="6" w:space="3"/>
        </w:pBdr>
        <w:spacing w:before="280" w:after="140"/>
        <w:rPr>
          <w:color w:val="000000" w:themeColor="text1"/>
          <w:sz w:val="30"/>
          <w:szCs w:val="30"/>
          <w14:textFill>
            <w14:solidFill>
              <w14:schemeClr w14:val="tx1"/>
            </w14:solidFill>
          </w14:textFill>
        </w:rPr>
      </w:pPr>
      <w:r>
        <w:rPr>
          <w:rFonts w:ascii="Arial" w:hAnsi="Arial" w:eastAsia="Arial" w:cs="Arial"/>
          <w:b/>
          <w:bCs/>
          <w:color w:val="000000" w:themeColor="text1"/>
          <w:sz w:val="30"/>
          <w:szCs w:val="30"/>
          <w14:textFill>
            <w14:solidFill>
              <w14:schemeClr w14:val="tx1"/>
            </w14:solidFill>
          </w14:textFill>
        </w:rPr>
        <w:t>3.  Data Architecture &amp; Technical Stack</w:t>
      </w:r>
    </w:p>
    <w:p w14:paraId="3B3D2B36">
      <w:pPr>
        <w:pStyle w:val="3"/>
        <w:spacing w:before="200" w:after="100"/>
        <w:rPr>
          <w:color w:val="000000" w:themeColor="text1"/>
          <w:sz w:val="28"/>
          <w:szCs w:val="28"/>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3.1  Technology Stack</w:t>
      </w:r>
    </w:p>
    <w:p w14:paraId="0F3E92B5">
      <w:pPr>
        <w:spacing w:before="0" w:after="40"/>
        <w:rPr>
          <w:color w:val="000000" w:themeColor="text1"/>
          <w:sz w:val="24"/>
          <w:szCs w:val="24"/>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500"/>
        <w:gridCol w:w="4160"/>
      </w:tblGrid>
      <w:tr w14:paraId="321EF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0" w:type="dxa"/>
            <w:tcBorders>
              <w:top w:val="single" w:color="000000" w:sz="12" w:space="0"/>
              <w:left w:val="single" w:color="000000" w:sz="12" w:space="0"/>
              <w:bottom w:val="single" w:color="000000" w:sz="4" w:space="0"/>
              <w:right w:val="single" w:color="000000" w:sz="4" w:space="0"/>
              <w:tl2br w:val="nil"/>
            </w:tcBorders>
            <w:shd w:val="clear" w:color="auto" w:fill="EEECE1" w:themeFill="background2"/>
            <w:tcMar>
              <w:top w:w="80" w:type="dxa"/>
              <w:left w:w="100" w:type="dxa"/>
              <w:bottom w:w="80" w:type="dxa"/>
              <w:right w:w="100" w:type="dxa"/>
            </w:tcMar>
          </w:tcPr>
          <w:p w14:paraId="1DC4B08D">
            <w:pPr>
              <w:jc w:val="left"/>
              <w:rPr>
                <w:b w:val="0"/>
                <w:color w:val="auto"/>
                <w:sz w:val="24"/>
                <w:szCs w:val="24"/>
              </w:rPr>
            </w:pPr>
            <w:r>
              <w:rPr>
                <w:rFonts w:ascii="Arial" w:hAnsi="Arial" w:eastAsia="Arial" w:cs="Arial"/>
                <w:b w:val="0"/>
                <w:bCs/>
                <w:color w:val="auto"/>
                <w:sz w:val="24"/>
                <w:szCs w:val="24"/>
              </w:rPr>
              <w:t>Technology</w:t>
            </w:r>
          </w:p>
        </w:tc>
        <w:tc>
          <w:tcPr>
            <w:tcW w:w="2500" w:type="dxa"/>
            <w:tcBorders>
              <w:top w:val="single" w:color="000000" w:sz="12" w:space="0"/>
              <w:left w:val="single" w:color="000000" w:sz="4" w:space="0"/>
              <w:bottom w:val="single" w:color="000000" w:sz="4" w:space="0"/>
              <w:right w:val="single" w:color="000000" w:sz="4" w:space="0"/>
            </w:tcBorders>
            <w:shd w:val="clear" w:color="auto" w:fill="EEECE1" w:themeFill="background2"/>
            <w:tcMar>
              <w:top w:w="80" w:type="dxa"/>
              <w:left w:w="100" w:type="dxa"/>
              <w:bottom w:w="80" w:type="dxa"/>
              <w:right w:w="100" w:type="dxa"/>
            </w:tcMar>
          </w:tcPr>
          <w:p w14:paraId="72C04C79">
            <w:pPr>
              <w:jc w:val="left"/>
              <w:rPr>
                <w:b w:val="0"/>
                <w:color w:val="000000" w:themeColor="text1"/>
                <w:sz w:val="24"/>
                <w:szCs w:val="24"/>
                <w14:textFill>
                  <w14:solidFill>
                    <w14:schemeClr w14:val="tx1"/>
                  </w14:solidFill>
                </w14:textFill>
              </w:rPr>
            </w:pPr>
            <w:r>
              <w:rPr>
                <w:rFonts w:ascii="Arial" w:hAnsi="Arial" w:eastAsia="Arial" w:cs="Arial"/>
                <w:b w:val="0"/>
                <w:bCs/>
                <w:color w:val="000000" w:themeColor="text1"/>
                <w:sz w:val="24"/>
                <w:szCs w:val="24"/>
                <w14:textFill>
                  <w14:solidFill>
                    <w14:schemeClr w14:val="tx1"/>
                  </w14:solidFill>
                </w14:textFill>
              </w:rPr>
              <w:t>Version / Library</w:t>
            </w:r>
          </w:p>
        </w:tc>
        <w:tc>
          <w:tcPr>
            <w:tcW w:w="4160" w:type="dxa"/>
            <w:tcBorders>
              <w:top w:val="single" w:color="000000" w:sz="12" w:space="0"/>
              <w:left w:val="single" w:color="000000" w:sz="4" w:space="0"/>
              <w:bottom w:val="single" w:color="000000" w:sz="4" w:space="0"/>
              <w:right w:val="single" w:color="000000" w:sz="12" w:space="0"/>
            </w:tcBorders>
            <w:shd w:val="clear" w:color="auto" w:fill="EEECE1" w:themeFill="background2"/>
            <w:tcMar>
              <w:top w:w="80" w:type="dxa"/>
              <w:left w:w="100" w:type="dxa"/>
              <w:bottom w:w="80" w:type="dxa"/>
              <w:right w:w="100" w:type="dxa"/>
            </w:tcMar>
          </w:tcPr>
          <w:p w14:paraId="01212F21">
            <w:pPr>
              <w:jc w:val="left"/>
              <w:rPr>
                <w:b w:val="0"/>
                <w:color w:val="000000" w:themeColor="text1"/>
                <w:sz w:val="24"/>
                <w:szCs w:val="24"/>
                <w14:textFill>
                  <w14:solidFill>
                    <w14:schemeClr w14:val="tx1"/>
                  </w14:solidFill>
                </w14:textFill>
              </w:rPr>
            </w:pPr>
            <w:r>
              <w:rPr>
                <w:rFonts w:ascii="Arial" w:hAnsi="Arial" w:eastAsia="Arial" w:cs="Arial"/>
                <w:b w:val="0"/>
                <w:bCs/>
                <w:color w:val="000000" w:themeColor="text1"/>
                <w:sz w:val="24"/>
                <w:szCs w:val="24"/>
                <w14:textFill>
                  <w14:solidFill>
                    <w14:schemeClr w14:val="tx1"/>
                  </w14:solidFill>
                </w14:textFill>
              </w:rPr>
              <w:t>Role in Pipeline</w:t>
            </w:r>
          </w:p>
        </w:tc>
      </w:tr>
      <w:tr w14:paraId="0C6BB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12" w:space="0"/>
              <w:bottom w:val="single" w:color="000000" w:sz="4" w:space="0"/>
              <w:right w:val="single" w:color="000000" w:sz="4" w:space="0"/>
            </w:tcBorders>
            <w:shd w:val="clear" w:color="auto" w:fill="FFFFFF"/>
            <w:tcMar>
              <w:top w:w="70" w:type="dxa"/>
              <w:left w:w="100" w:type="dxa"/>
              <w:bottom w:w="70" w:type="dxa"/>
              <w:right w:w="100" w:type="dxa"/>
            </w:tcMar>
          </w:tcPr>
          <w:p w14:paraId="1E4A7B22">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Python 3.11</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00" w:type="dxa"/>
              <w:bottom w:w="70" w:type="dxa"/>
              <w:right w:w="100" w:type="dxa"/>
            </w:tcMar>
          </w:tcPr>
          <w:p w14:paraId="673069C1">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Core Language</w:t>
            </w:r>
          </w:p>
        </w:tc>
        <w:tc>
          <w:tcPr>
            <w:tcW w:w="4160" w:type="dxa"/>
            <w:tcBorders>
              <w:top w:val="single" w:color="000000" w:sz="4" w:space="0"/>
              <w:left w:val="single" w:color="000000" w:sz="4" w:space="0"/>
              <w:bottom w:val="single" w:color="000000" w:sz="4" w:space="0"/>
              <w:right w:val="single" w:color="000000" w:sz="12" w:space="0"/>
            </w:tcBorders>
            <w:shd w:val="clear" w:color="auto" w:fill="FFFFFF"/>
            <w:tcMar>
              <w:top w:w="70" w:type="dxa"/>
              <w:left w:w="100" w:type="dxa"/>
              <w:bottom w:w="70" w:type="dxa"/>
              <w:right w:w="100" w:type="dxa"/>
            </w:tcMar>
          </w:tcPr>
          <w:p w14:paraId="15A3BF76">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Pipeline orchestration, logic, data types</w:t>
            </w:r>
          </w:p>
        </w:tc>
      </w:tr>
      <w:tr w14:paraId="43418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12" w:space="0"/>
              <w:bottom w:val="single" w:color="000000" w:sz="4" w:space="0"/>
              <w:right w:val="single" w:color="000000" w:sz="4" w:space="0"/>
            </w:tcBorders>
            <w:shd w:val="clear" w:color="auto" w:fill="FFFFFF"/>
            <w:tcMar>
              <w:top w:w="70" w:type="dxa"/>
              <w:left w:w="100" w:type="dxa"/>
              <w:bottom w:w="70" w:type="dxa"/>
              <w:right w:w="100" w:type="dxa"/>
            </w:tcMar>
          </w:tcPr>
          <w:p w14:paraId="7A1A0892">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pandas 2.x</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00" w:type="dxa"/>
              <w:bottom w:w="70" w:type="dxa"/>
              <w:right w:w="100" w:type="dxa"/>
            </w:tcMar>
          </w:tcPr>
          <w:p w14:paraId="4FEBD465">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Data Processing</w:t>
            </w:r>
          </w:p>
        </w:tc>
        <w:tc>
          <w:tcPr>
            <w:tcW w:w="4160" w:type="dxa"/>
            <w:tcBorders>
              <w:top w:val="single" w:color="000000" w:sz="4" w:space="0"/>
              <w:left w:val="single" w:color="000000" w:sz="4" w:space="0"/>
              <w:bottom w:val="single" w:color="000000" w:sz="4" w:space="0"/>
              <w:right w:val="single" w:color="000000" w:sz="12" w:space="0"/>
            </w:tcBorders>
            <w:shd w:val="clear" w:color="auto" w:fill="FFFFFF"/>
            <w:tcMar>
              <w:top w:w="70" w:type="dxa"/>
              <w:left w:w="100" w:type="dxa"/>
              <w:bottom w:w="70" w:type="dxa"/>
              <w:right w:w="100" w:type="dxa"/>
            </w:tcMar>
          </w:tcPr>
          <w:p w14:paraId="0787040F">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DataFrame operations, merges, time arithmetic</w:t>
            </w:r>
          </w:p>
        </w:tc>
      </w:tr>
      <w:tr w14:paraId="64B55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12" w:space="0"/>
              <w:bottom w:val="single" w:color="000000" w:sz="4" w:space="0"/>
              <w:right w:val="single" w:color="000000" w:sz="4" w:space="0"/>
            </w:tcBorders>
            <w:shd w:val="clear" w:color="auto" w:fill="FFFFFF"/>
            <w:tcMar>
              <w:top w:w="70" w:type="dxa"/>
              <w:left w:w="100" w:type="dxa"/>
              <w:bottom w:w="70" w:type="dxa"/>
              <w:right w:w="100" w:type="dxa"/>
            </w:tcMar>
          </w:tcPr>
          <w:p w14:paraId="029673BF">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NumPy</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00" w:type="dxa"/>
              <w:bottom w:w="70" w:type="dxa"/>
              <w:right w:w="100" w:type="dxa"/>
            </w:tcMar>
          </w:tcPr>
          <w:p w14:paraId="2CB3D0B4">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Numerical</w:t>
            </w:r>
          </w:p>
        </w:tc>
        <w:tc>
          <w:tcPr>
            <w:tcW w:w="4160" w:type="dxa"/>
            <w:tcBorders>
              <w:top w:val="single" w:color="000000" w:sz="4" w:space="0"/>
              <w:left w:val="single" w:color="000000" w:sz="4" w:space="0"/>
              <w:bottom w:val="single" w:color="000000" w:sz="4" w:space="0"/>
              <w:right w:val="single" w:color="000000" w:sz="12" w:space="0"/>
            </w:tcBorders>
            <w:shd w:val="clear" w:color="auto" w:fill="FFFFFF"/>
            <w:tcMar>
              <w:top w:w="70" w:type="dxa"/>
              <w:left w:w="100" w:type="dxa"/>
              <w:bottom w:w="70" w:type="dxa"/>
              <w:right w:w="100" w:type="dxa"/>
            </w:tcMar>
          </w:tcPr>
          <w:p w14:paraId="5FBEF4A5">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Seeded random data generation with reproducibility</w:t>
            </w:r>
          </w:p>
        </w:tc>
      </w:tr>
      <w:tr w14:paraId="78835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12" w:space="0"/>
              <w:bottom w:val="single" w:color="000000" w:sz="4" w:space="0"/>
              <w:right w:val="single" w:color="000000" w:sz="4" w:space="0"/>
            </w:tcBorders>
            <w:shd w:val="clear" w:color="auto" w:fill="FFFFFF"/>
            <w:tcMar>
              <w:top w:w="70" w:type="dxa"/>
              <w:left w:w="100" w:type="dxa"/>
              <w:bottom w:w="70" w:type="dxa"/>
              <w:right w:w="100" w:type="dxa"/>
            </w:tcMar>
          </w:tcPr>
          <w:p w14:paraId="73C17E27">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Matplotlib</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00" w:type="dxa"/>
              <w:bottom w:w="70" w:type="dxa"/>
              <w:right w:w="100" w:type="dxa"/>
            </w:tcMar>
          </w:tcPr>
          <w:p w14:paraId="0543B126">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Visualisation</w:t>
            </w:r>
          </w:p>
        </w:tc>
        <w:tc>
          <w:tcPr>
            <w:tcW w:w="4160" w:type="dxa"/>
            <w:tcBorders>
              <w:top w:val="single" w:color="000000" w:sz="4" w:space="0"/>
              <w:left w:val="single" w:color="000000" w:sz="4" w:space="0"/>
              <w:bottom w:val="single" w:color="000000" w:sz="4" w:space="0"/>
              <w:right w:val="single" w:color="000000" w:sz="12" w:space="0"/>
            </w:tcBorders>
            <w:shd w:val="clear" w:color="auto" w:fill="FFFFFF"/>
            <w:tcMar>
              <w:top w:w="70" w:type="dxa"/>
              <w:left w:w="100" w:type="dxa"/>
              <w:bottom w:w="70" w:type="dxa"/>
              <w:right w:w="100" w:type="dxa"/>
            </w:tcMar>
          </w:tcPr>
          <w:p w14:paraId="528C239A">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Bar, histogram, dual-axis line, pie charts</w:t>
            </w:r>
          </w:p>
        </w:tc>
      </w:tr>
      <w:tr w14:paraId="1C8ED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12" w:space="0"/>
              <w:bottom w:val="single" w:color="000000" w:sz="4" w:space="0"/>
              <w:right w:val="single" w:color="000000" w:sz="4" w:space="0"/>
            </w:tcBorders>
            <w:shd w:val="clear" w:color="auto" w:fill="FFFFFF"/>
            <w:tcMar>
              <w:top w:w="70" w:type="dxa"/>
              <w:left w:w="100" w:type="dxa"/>
              <w:bottom w:w="70" w:type="dxa"/>
              <w:right w:w="100" w:type="dxa"/>
            </w:tcMar>
          </w:tcPr>
          <w:p w14:paraId="30E6D17E">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GridSpec</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00" w:type="dxa"/>
              <w:bottom w:w="70" w:type="dxa"/>
              <w:right w:w="100" w:type="dxa"/>
            </w:tcMar>
          </w:tcPr>
          <w:p w14:paraId="4F90455A">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Layout Engine</w:t>
            </w:r>
          </w:p>
        </w:tc>
        <w:tc>
          <w:tcPr>
            <w:tcW w:w="4160" w:type="dxa"/>
            <w:tcBorders>
              <w:top w:val="single" w:color="000000" w:sz="4" w:space="0"/>
              <w:left w:val="single" w:color="000000" w:sz="4" w:space="0"/>
              <w:bottom w:val="single" w:color="000000" w:sz="4" w:space="0"/>
              <w:right w:val="single" w:color="000000" w:sz="12" w:space="0"/>
            </w:tcBorders>
            <w:shd w:val="clear" w:color="auto" w:fill="FFFFFF"/>
            <w:tcMar>
              <w:top w:w="70" w:type="dxa"/>
              <w:left w:w="100" w:type="dxa"/>
              <w:bottom w:w="70" w:type="dxa"/>
              <w:right w:w="100" w:type="dxa"/>
            </w:tcMar>
          </w:tcPr>
          <w:p w14:paraId="4E8AF813">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Multi-chart dashboard composition</w:t>
            </w:r>
          </w:p>
        </w:tc>
      </w:tr>
      <w:tr w14:paraId="1D347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000000" w:sz="4" w:space="0"/>
              <w:left w:val="single" w:color="000000" w:sz="12" w:space="0"/>
              <w:bottom w:val="single" w:color="000000" w:sz="12" w:space="0"/>
              <w:right w:val="single" w:color="000000" w:sz="4" w:space="0"/>
            </w:tcBorders>
            <w:shd w:val="clear" w:color="auto" w:fill="FFFFFF"/>
            <w:tcMar>
              <w:top w:w="70" w:type="dxa"/>
              <w:left w:w="100" w:type="dxa"/>
              <w:bottom w:w="70" w:type="dxa"/>
              <w:right w:w="100" w:type="dxa"/>
            </w:tcMar>
          </w:tcPr>
          <w:p w14:paraId="4BF5508B">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FuncFormatter</w:t>
            </w:r>
          </w:p>
        </w:tc>
        <w:tc>
          <w:tcPr>
            <w:tcW w:w="2500" w:type="dxa"/>
            <w:tcBorders>
              <w:top w:val="single" w:color="000000" w:sz="4" w:space="0"/>
              <w:left w:val="single" w:color="000000" w:sz="4" w:space="0"/>
              <w:bottom w:val="single" w:color="000000" w:sz="12" w:space="0"/>
              <w:right w:val="single" w:color="000000" w:sz="4" w:space="0"/>
            </w:tcBorders>
            <w:shd w:val="clear" w:color="auto" w:fill="FFFFFF"/>
            <w:tcMar>
              <w:top w:w="70" w:type="dxa"/>
              <w:left w:w="100" w:type="dxa"/>
              <w:bottom w:w="70" w:type="dxa"/>
              <w:right w:w="100" w:type="dxa"/>
            </w:tcMar>
          </w:tcPr>
          <w:p w14:paraId="6749A319">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Axis Formatting</w:t>
            </w:r>
          </w:p>
        </w:tc>
        <w:tc>
          <w:tcPr>
            <w:tcW w:w="4160" w:type="dxa"/>
            <w:tcBorders>
              <w:top w:val="single" w:color="000000" w:sz="4" w:space="0"/>
              <w:left w:val="single" w:color="000000" w:sz="4" w:space="0"/>
              <w:bottom w:val="single" w:color="000000" w:sz="12" w:space="0"/>
              <w:right w:val="single" w:color="000000" w:sz="12" w:space="0"/>
            </w:tcBorders>
            <w:shd w:val="clear" w:color="auto" w:fill="FFFFFF"/>
            <w:tcMar>
              <w:top w:w="70" w:type="dxa"/>
              <w:left w:w="100" w:type="dxa"/>
              <w:bottom w:w="70" w:type="dxa"/>
              <w:right w:w="100" w:type="dxa"/>
            </w:tcMar>
          </w:tcPr>
          <w:p w14:paraId="3196BB66">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Currency labels (Rs. with M/Cr suffixes)</w:t>
            </w:r>
          </w:p>
        </w:tc>
      </w:tr>
    </w:tbl>
    <w:p w14:paraId="73E7A2A3">
      <w:pPr>
        <w:spacing w:before="0" w:after="120"/>
        <w:rPr>
          <w:color w:val="000000" w:themeColor="text1"/>
          <w:sz w:val="24"/>
          <w:szCs w:val="24"/>
          <w14:textFill>
            <w14:solidFill>
              <w14:schemeClr w14:val="tx1"/>
            </w14:solidFill>
          </w14:textFill>
        </w:rPr>
      </w:pPr>
    </w:p>
    <w:p w14:paraId="5D42F8DB">
      <w:pPr>
        <w:pStyle w:val="3"/>
        <w:spacing w:before="200" w:after="100"/>
        <w:rPr>
          <w:color w:val="000000" w:themeColor="text1"/>
          <w:sz w:val="28"/>
          <w:szCs w:val="28"/>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3.2  SAP Table Mapping</w:t>
      </w:r>
    </w:p>
    <w:p w14:paraId="100F16E7">
      <w:pPr>
        <w:spacing w:before="0" w:after="40"/>
        <w:rPr>
          <w:color w:val="000000" w:themeColor="text1"/>
          <w:sz w:val="24"/>
          <w:szCs w:val="24"/>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50"/>
        <w:gridCol w:w="2850"/>
        <w:gridCol w:w="1500"/>
        <w:gridCol w:w="3960"/>
      </w:tblGrid>
      <w:tr w14:paraId="50148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50" w:type="dxa"/>
            <w:tcBorders>
              <w:top w:val="single" w:color="000000" w:sz="12" w:space="0"/>
              <w:left w:val="single" w:color="000000" w:sz="12" w:space="0"/>
              <w:bottom w:val="single" w:color="000000" w:sz="4" w:space="0"/>
              <w:right w:val="single" w:color="000000" w:sz="4" w:space="0"/>
              <w:tl2br w:val="nil"/>
            </w:tcBorders>
            <w:shd w:val="clear" w:color="auto" w:fill="EEECE1" w:themeFill="background2"/>
            <w:tcMar>
              <w:top w:w="80" w:type="dxa"/>
              <w:left w:w="100" w:type="dxa"/>
              <w:bottom w:w="80" w:type="dxa"/>
              <w:right w:w="100" w:type="dxa"/>
            </w:tcMar>
          </w:tcPr>
          <w:p w14:paraId="57711D7A">
            <w:pPr>
              <w:jc w:val="left"/>
              <w:rPr>
                <w:b w:val="0"/>
                <w:color w:val="auto"/>
                <w:sz w:val="24"/>
                <w:szCs w:val="24"/>
              </w:rPr>
            </w:pPr>
            <w:r>
              <w:rPr>
                <w:rFonts w:ascii="Arial" w:hAnsi="Arial" w:eastAsia="Arial" w:cs="Arial"/>
                <w:b w:val="0"/>
                <w:bCs/>
                <w:color w:val="auto"/>
                <w:sz w:val="24"/>
                <w:szCs w:val="24"/>
              </w:rPr>
              <w:t>Table</w:t>
            </w:r>
          </w:p>
        </w:tc>
        <w:tc>
          <w:tcPr>
            <w:tcW w:w="2850" w:type="dxa"/>
            <w:tcBorders>
              <w:top w:val="single" w:color="000000" w:sz="12" w:space="0"/>
              <w:left w:val="single" w:color="000000" w:sz="4" w:space="0"/>
              <w:bottom w:val="single" w:color="000000" w:sz="4" w:space="0"/>
              <w:right w:val="single" w:color="000000" w:sz="4" w:space="0"/>
            </w:tcBorders>
            <w:shd w:val="clear" w:color="auto" w:fill="EEECE1" w:themeFill="background2"/>
            <w:tcMar>
              <w:top w:w="80" w:type="dxa"/>
              <w:left w:w="100" w:type="dxa"/>
              <w:bottom w:w="80" w:type="dxa"/>
              <w:right w:w="100" w:type="dxa"/>
            </w:tcMar>
          </w:tcPr>
          <w:p w14:paraId="1CF85B53">
            <w:pPr>
              <w:jc w:val="left"/>
              <w:rPr>
                <w:b w:val="0"/>
                <w:color w:val="000000" w:themeColor="text1"/>
                <w:sz w:val="24"/>
                <w:szCs w:val="24"/>
                <w14:textFill>
                  <w14:solidFill>
                    <w14:schemeClr w14:val="tx1"/>
                  </w14:solidFill>
                </w14:textFill>
              </w:rPr>
            </w:pPr>
            <w:r>
              <w:rPr>
                <w:rFonts w:ascii="Arial" w:hAnsi="Arial" w:eastAsia="Arial" w:cs="Arial"/>
                <w:b w:val="0"/>
                <w:bCs/>
                <w:color w:val="000000" w:themeColor="text1"/>
                <w:sz w:val="24"/>
                <w:szCs w:val="24"/>
                <w14:textFill>
                  <w14:solidFill>
                    <w14:schemeClr w14:val="tx1"/>
                  </w14:solidFill>
                </w14:textFill>
              </w:rPr>
              <w:t>Business Entity</w:t>
            </w:r>
          </w:p>
        </w:tc>
        <w:tc>
          <w:tcPr>
            <w:tcW w:w="1500" w:type="dxa"/>
            <w:tcBorders>
              <w:top w:val="single" w:color="000000" w:sz="12" w:space="0"/>
              <w:left w:val="single" w:color="000000" w:sz="4" w:space="0"/>
              <w:bottom w:val="single" w:color="000000" w:sz="4" w:space="0"/>
              <w:right w:val="single" w:color="000000" w:sz="4" w:space="0"/>
            </w:tcBorders>
            <w:shd w:val="clear" w:color="auto" w:fill="EEECE1" w:themeFill="background2"/>
            <w:tcMar>
              <w:top w:w="80" w:type="dxa"/>
              <w:left w:w="100" w:type="dxa"/>
              <w:bottom w:w="80" w:type="dxa"/>
              <w:right w:w="100" w:type="dxa"/>
            </w:tcMar>
          </w:tcPr>
          <w:p w14:paraId="7C0A1CCE">
            <w:pPr>
              <w:jc w:val="left"/>
              <w:rPr>
                <w:b w:val="0"/>
                <w:color w:val="000000" w:themeColor="text1"/>
                <w:sz w:val="24"/>
                <w:szCs w:val="24"/>
                <w14:textFill>
                  <w14:solidFill>
                    <w14:schemeClr w14:val="tx1"/>
                  </w14:solidFill>
                </w14:textFill>
              </w:rPr>
            </w:pPr>
            <w:r>
              <w:rPr>
                <w:rFonts w:ascii="Arial" w:hAnsi="Arial" w:eastAsia="Arial" w:cs="Arial"/>
                <w:b w:val="0"/>
                <w:bCs/>
                <w:color w:val="000000" w:themeColor="text1"/>
                <w:sz w:val="24"/>
                <w:szCs w:val="24"/>
                <w14:textFill>
                  <w14:solidFill>
                    <w14:schemeClr w14:val="tx1"/>
                  </w14:solidFill>
                </w14:textFill>
              </w:rPr>
              <w:t>Primary Key</w:t>
            </w:r>
          </w:p>
        </w:tc>
        <w:tc>
          <w:tcPr>
            <w:tcW w:w="3960" w:type="dxa"/>
            <w:tcBorders>
              <w:top w:val="single" w:color="000000" w:sz="12" w:space="0"/>
              <w:left w:val="single" w:color="000000" w:sz="4" w:space="0"/>
              <w:bottom w:val="single" w:color="000000" w:sz="4" w:space="0"/>
              <w:right w:val="single" w:color="000000" w:sz="12" w:space="0"/>
            </w:tcBorders>
            <w:shd w:val="clear" w:color="auto" w:fill="EEECE1" w:themeFill="background2"/>
            <w:tcMar>
              <w:top w:w="80" w:type="dxa"/>
              <w:left w:w="100" w:type="dxa"/>
              <w:bottom w:w="80" w:type="dxa"/>
              <w:right w:w="100" w:type="dxa"/>
            </w:tcMar>
          </w:tcPr>
          <w:p w14:paraId="712B86A3">
            <w:pPr>
              <w:jc w:val="left"/>
              <w:rPr>
                <w:b w:val="0"/>
                <w:color w:val="000000" w:themeColor="text1"/>
                <w:sz w:val="24"/>
                <w:szCs w:val="24"/>
                <w14:textFill>
                  <w14:solidFill>
                    <w14:schemeClr w14:val="tx1"/>
                  </w14:solidFill>
                </w14:textFill>
              </w:rPr>
            </w:pPr>
            <w:r>
              <w:rPr>
                <w:rFonts w:ascii="Arial" w:hAnsi="Arial" w:eastAsia="Arial" w:cs="Arial"/>
                <w:b w:val="0"/>
                <w:bCs/>
                <w:color w:val="000000" w:themeColor="text1"/>
                <w:sz w:val="24"/>
                <w:szCs w:val="24"/>
                <w14:textFill>
                  <w14:solidFill>
                    <w14:schemeClr w14:val="tx1"/>
                  </w14:solidFill>
                </w14:textFill>
              </w:rPr>
              <w:t>Key Fields Used</w:t>
            </w:r>
          </w:p>
        </w:tc>
      </w:tr>
      <w:tr w14:paraId="6ABB6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0" w:type="dxa"/>
            <w:tcBorders>
              <w:top w:val="single" w:color="000000" w:sz="4" w:space="0"/>
              <w:left w:val="single" w:color="000000" w:sz="12" w:space="0"/>
              <w:bottom w:val="single" w:color="000000" w:sz="4" w:space="0"/>
              <w:right w:val="single" w:color="000000" w:sz="4" w:space="0"/>
            </w:tcBorders>
            <w:shd w:val="clear" w:color="auto" w:fill="FFFFFF"/>
            <w:tcMar>
              <w:top w:w="70" w:type="dxa"/>
              <w:left w:w="100" w:type="dxa"/>
              <w:bottom w:w="70" w:type="dxa"/>
              <w:right w:w="100" w:type="dxa"/>
            </w:tcMar>
          </w:tcPr>
          <w:p w14:paraId="2B54F322">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EKKO</w:t>
            </w:r>
          </w:p>
        </w:tc>
        <w:tc>
          <w:tcPr>
            <w:tcW w:w="285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00" w:type="dxa"/>
              <w:bottom w:w="70" w:type="dxa"/>
              <w:right w:w="100" w:type="dxa"/>
            </w:tcMar>
          </w:tcPr>
          <w:p w14:paraId="13DD4EE7">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Purchase Order Header — anchor of every P2P transaction.</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00" w:type="dxa"/>
              <w:bottom w:w="70" w:type="dxa"/>
              <w:right w:w="100" w:type="dxa"/>
            </w:tcMar>
          </w:tcPr>
          <w:p w14:paraId="62CFE256">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EBELN</w:t>
            </w:r>
          </w:p>
        </w:tc>
        <w:tc>
          <w:tcPr>
            <w:tcW w:w="3960" w:type="dxa"/>
            <w:tcBorders>
              <w:top w:val="single" w:color="000000" w:sz="4" w:space="0"/>
              <w:left w:val="single" w:color="000000" w:sz="4" w:space="0"/>
              <w:bottom w:val="single" w:color="000000" w:sz="4" w:space="0"/>
              <w:right w:val="single" w:color="000000" w:sz="12" w:space="0"/>
            </w:tcBorders>
            <w:shd w:val="clear" w:color="auto" w:fill="FFFFFF"/>
            <w:tcMar>
              <w:top w:w="70" w:type="dxa"/>
              <w:left w:w="100" w:type="dxa"/>
              <w:bottom w:w="70" w:type="dxa"/>
              <w:right w:w="100" w:type="dxa"/>
            </w:tcMar>
          </w:tcPr>
          <w:p w14:paraId="49C85838">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BEDAT (PO date), LIFNR (vendor), EKORG, NETWR (value), WAERS</w:t>
            </w:r>
          </w:p>
        </w:tc>
      </w:tr>
      <w:tr w14:paraId="7B536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0" w:type="dxa"/>
            <w:tcBorders>
              <w:top w:val="single" w:color="000000" w:sz="4" w:space="0"/>
              <w:left w:val="single" w:color="000000" w:sz="12" w:space="0"/>
              <w:bottom w:val="single" w:color="000000" w:sz="4" w:space="0"/>
              <w:right w:val="single" w:color="000000" w:sz="4" w:space="0"/>
            </w:tcBorders>
            <w:shd w:val="clear" w:color="auto" w:fill="FFFFFF"/>
            <w:tcMar>
              <w:top w:w="70" w:type="dxa"/>
              <w:left w:w="100" w:type="dxa"/>
              <w:bottom w:w="70" w:type="dxa"/>
              <w:right w:w="100" w:type="dxa"/>
            </w:tcMar>
          </w:tcPr>
          <w:p w14:paraId="2026DCB1">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EKPO</w:t>
            </w:r>
          </w:p>
        </w:tc>
        <w:tc>
          <w:tcPr>
            <w:tcW w:w="285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00" w:type="dxa"/>
              <w:bottom w:w="70" w:type="dxa"/>
              <w:right w:w="100" w:type="dxa"/>
            </w:tcMar>
          </w:tcPr>
          <w:p w14:paraId="04201AEA">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Purchase Order Item — 1:N child to EKKO.</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00" w:type="dxa"/>
              <w:bottom w:w="70" w:type="dxa"/>
              <w:right w:w="100" w:type="dxa"/>
            </w:tcMar>
          </w:tcPr>
          <w:p w14:paraId="63405540">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EBELN + EBELP</w:t>
            </w:r>
          </w:p>
        </w:tc>
        <w:tc>
          <w:tcPr>
            <w:tcW w:w="3960" w:type="dxa"/>
            <w:tcBorders>
              <w:top w:val="single" w:color="000000" w:sz="4" w:space="0"/>
              <w:left w:val="single" w:color="000000" w:sz="4" w:space="0"/>
              <w:bottom w:val="single" w:color="000000" w:sz="4" w:space="0"/>
              <w:right w:val="single" w:color="000000" w:sz="12" w:space="0"/>
            </w:tcBorders>
            <w:shd w:val="clear" w:color="auto" w:fill="FFFFFF"/>
            <w:tcMar>
              <w:top w:w="70" w:type="dxa"/>
              <w:left w:w="100" w:type="dxa"/>
              <w:bottom w:w="70" w:type="dxa"/>
              <w:right w:w="100" w:type="dxa"/>
            </w:tcMar>
          </w:tcPr>
          <w:p w14:paraId="3A1803A1">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MATNR, MATKL, MENGE (qty), NETPR (unit price), NETWR (item value)</w:t>
            </w:r>
          </w:p>
        </w:tc>
      </w:tr>
      <w:tr w14:paraId="010B7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0" w:type="dxa"/>
            <w:tcBorders>
              <w:top w:val="single" w:color="000000" w:sz="4" w:space="0"/>
              <w:left w:val="single" w:color="000000" w:sz="12" w:space="0"/>
              <w:bottom w:val="single" w:color="000000" w:sz="4" w:space="0"/>
              <w:right w:val="single" w:color="000000" w:sz="4" w:space="0"/>
            </w:tcBorders>
            <w:shd w:val="clear" w:color="auto" w:fill="FFFFFF"/>
            <w:tcMar>
              <w:top w:w="70" w:type="dxa"/>
              <w:left w:w="100" w:type="dxa"/>
              <w:bottom w:w="70" w:type="dxa"/>
              <w:right w:w="100" w:type="dxa"/>
            </w:tcMar>
          </w:tcPr>
          <w:p w14:paraId="2BEDE190">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MSEG</w:t>
            </w:r>
          </w:p>
        </w:tc>
        <w:tc>
          <w:tcPr>
            <w:tcW w:w="285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00" w:type="dxa"/>
              <w:bottom w:w="70" w:type="dxa"/>
              <w:right w:w="100" w:type="dxa"/>
            </w:tcMar>
          </w:tcPr>
          <w:p w14:paraId="6F36E4B4">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Material Document Segment — posted on GR against PO.</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00" w:type="dxa"/>
              <w:bottom w:w="70" w:type="dxa"/>
              <w:right w:w="100" w:type="dxa"/>
            </w:tcMar>
          </w:tcPr>
          <w:p w14:paraId="6B619A2B">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MBLNR + ZEILE</w:t>
            </w:r>
          </w:p>
        </w:tc>
        <w:tc>
          <w:tcPr>
            <w:tcW w:w="3960" w:type="dxa"/>
            <w:tcBorders>
              <w:top w:val="single" w:color="000000" w:sz="4" w:space="0"/>
              <w:left w:val="single" w:color="000000" w:sz="4" w:space="0"/>
              <w:bottom w:val="single" w:color="000000" w:sz="4" w:space="0"/>
              <w:right w:val="single" w:color="000000" w:sz="12" w:space="0"/>
            </w:tcBorders>
            <w:shd w:val="clear" w:color="auto" w:fill="FFFFFF"/>
            <w:tcMar>
              <w:top w:w="70" w:type="dxa"/>
              <w:left w:w="100" w:type="dxa"/>
              <w:bottom w:w="70" w:type="dxa"/>
              <w:right w:w="100" w:type="dxa"/>
            </w:tcMar>
          </w:tcPr>
          <w:p w14:paraId="108A2378">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EBELN, EBELP, BUDAT (GR date), BWART (mvt 101), MENGE</w:t>
            </w:r>
          </w:p>
        </w:tc>
      </w:tr>
      <w:tr w14:paraId="70593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0" w:type="dxa"/>
            <w:tcBorders>
              <w:top w:val="single" w:color="000000" w:sz="4" w:space="0"/>
              <w:left w:val="single" w:color="000000" w:sz="12" w:space="0"/>
              <w:bottom w:val="single" w:color="000000" w:sz="12" w:space="0"/>
              <w:right w:val="single" w:color="000000" w:sz="4" w:space="0"/>
            </w:tcBorders>
            <w:shd w:val="clear" w:color="auto" w:fill="FFFFFF"/>
            <w:tcMar>
              <w:top w:w="70" w:type="dxa"/>
              <w:left w:w="100" w:type="dxa"/>
              <w:bottom w:w="70" w:type="dxa"/>
              <w:right w:w="100" w:type="dxa"/>
            </w:tcMar>
          </w:tcPr>
          <w:p w14:paraId="3094BE5B">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RBKP</w:t>
            </w:r>
          </w:p>
        </w:tc>
        <w:tc>
          <w:tcPr>
            <w:tcW w:w="2850" w:type="dxa"/>
            <w:tcBorders>
              <w:top w:val="single" w:color="000000" w:sz="4" w:space="0"/>
              <w:left w:val="single" w:color="000000" w:sz="4" w:space="0"/>
              <w:bottom w:val="single" w:color="000000" w:sz="12" w:space="0"/>
              <w:right w:val="single" w:color="000000" w:sz="4" w:space="0"/>
            </w:tcBorders>
            <w:shd w:val="clear" w:color="auto" w:fill="FFFFFF"/>
            <w:tcMar>
              <w:top w:w="70" w:type="dxa"/>
              <w:left w:w="100" w:type="dxa"/>
              <w:bottom w:w="70" w:type="dxa"/>
              <w:right w:w="100" w:type="dxa"/>
            </w:tcMar>
          </w:tcPr>
          <w:p w14:paraId="703A7AEC">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Invoice Receipt Header — MIRO accounting document.</w:t>
            </w:r>
          </w:p>
        </w:tc>
        <w:tc>
          <w:tcPr>
            <w:tcW w:w="1500" w:type="dxa"/>
            <w:tcBorders>
              <w:top w:val="single" w:color="000000" w:sz="4" w:space="0"/>
              <w:left w:val="single" w:color="000000" w:sz="4" w:space="0"/>
              <w:bottom w:val="single" w:color="000000" w:sz="12" w:space="0"/>
              <w:right w:val="single" w:color="000000" w:sz="4" w:space="0"/>
            </w:tcBorders>
            <w:shd w:val="clear" w:color="auto" w:fill="FFFFFF"/>
            <w:tcMar>
              <w:top w:w="70" w:type="dxa"/>
              <w:left w:w="100" w:type="dxa"/>
              <w:bottom w:w="70" w:type="dxa"/>
              <w:right w:w="100" w:type="dxa"/>
            </w:tcMar>
          </w:tcPr>
          <w:p w14:paraId="15ED30B7">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BELNR + GJAHR</w:t>
            </w:r>
          </w:p>
        </w:tc>
        <w:tc>
          <w:tcPr>
            <w:tcW w:w="3960" w:type="dxa"/>
            <w:tcBorders>
              <w:top w:val="single" w:color="000000" w:sz="4" w:space="0"/>
              <w:left w:val="single" w:color="000000" w:sz="4" w:space="0"/>
              <w:bottom w:val="single" w:color="000000" w:sz="12" w:space="0"/>
              <w:right w:val="single" w:color="000000" w:sz="12" w:space="0"/>
            </w:tcBorders>
            <w:shd w:val="clear" w:color="auto" w:fill="FFFFFF"/>
            <w:tcMar>
              <w:top w:w="70" w:type="dxa"/>
              <w:left w:w="100" w:type="dxa"/>
              <w:bottom w:w="70" w:type="dxa"/>
              <w:right w:w="100" w:type="dxa"/>
            </w:tcMar>
          </w:tcPr>
          <w:p w14:paraId="60229868">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EBELN, BLDAT (invoice date), NETWR (invoiced amount), BSTAT</w:t>
            </w:r>
          </w:p>
        </w:tc>
      </w:tr>
    </w:tbl>
    <w:p w14:paraId="0FF554B1">
      <w:pPr>
        <w:spacing w:before="0" w:after="120"/>
        <w:rPr>
          <w:color w:val="000000" w:themeColor="text1"/>
          <w:sz w:val="24"/>
          <w:szCs w:val="24"/>
          <w14:textFill>
            <w14:solidFill>
              <w14:schemeClr w14:val="tx1"/>
            </w14:solidFill>
          </w14:textFill>
        </w:rPr>
      </w:pPr>
    </w:p>
    <w:p w14:paraId="2CF73975">
      <w:pPr>
        <w:pStyle w:val="3"/>
        <w:spacing w:before="200" w:after="100"/>
        <w:rPr>
          <w:color w:val="000000" w:themeColor="text1"/>
          <w:sz w:val="28"/>
          <w:szCs w:val="28"/>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3.3  Vendor Master Reference</w:t>
      </w:r>
    </w:p>
    <w:p w14:paraId="5C95CA1D">
      <w:pPr>
        <w:spacing w:before="0" w:after="40"/>
        <w:rPr>
          <w:color w:val="000000" w:themeColor="text1"/>
          <w:sz w:val="24"/>
          <w:szCs w:val="24"/>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3060"/>
        <w:gridCol w:w="2500"/>
        <w:gridCol w:w="2360"/>
      </w:tblGrid>
      <w:tr w14:paraId="4C2F9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40" w:type="dxa"/>
            <w:tcBorders>
              <w:top w:val="single" w:color="000000" w:sz="12" w:space="0"/>
              <w:left w:val="single" w:color="000000" w:sz="12" w:space="0"/>
              <w:bottom w:val="single" w:color="000000" w:sz="4" w:space="0"/>
              <w:right w:val="single" w:color="000000" w:sz="4" w:space="0"/>
              <w:tl2br w:val="nil"/>
            </w:tcBorders>
            <w:shd w:val="clear" w:color="auto" w:fill="EEECE1" w:themeFill="background2"/>
            <w:tcMar>
              <w:top w:w="80" w:type="dxa"/>
              <w:left w:w="100" w:type="dxa"/>
              <w:bottom w:w="80" w:type="dxa"/>
              <w:right w:w="100" w:type="dxa"/>
            </w:tcMar>
          </w:tcPr>
          <w:p w14:paraId="254A0E62">
            <w:pPr>
              <w:jc w:val="left"/>
              <w:rPr>
                <w:b w:val="0"/>
                <w:color w:val="000000" w:themeColor="text1"/>
                <w:sz w:val="24"/>
                <w:szCs w:val="24"/>
                <w14:textFill>
                  <w14:solidFill>
                    <w14:schemeClr w14:val="tx1"/>
                  </w14:solidFill>
                </w14:textFill>
              </w:rPr>
            </w:pPr>
            <w:r>
              <w:rPr>
                <w:rFonts w:ascii="Arial" w:hAnsi="Arial" w:eastAsia="Arial" w:cs="Arial"/>
                <w:b w:val="0"/>
                <w:bCs/>
                <w:color w:val="000000" w:themeColor="text1"/>
                <w:sz w:val="24"/>
                <w:szCs w:val="24"/>
                <w14:textFill>
                  <w14:solidFill>
                    <w14:schemeClr w14:val="tx1"/>
                  </w14:solidFill>
                </w14:textFill>
              </w:rPr>
              <w:t>Vendor ID</w:t>
            </w:r>
          </w:p>
        </w:tc>
        <w:tc>
          <w:tcPr>
            <w:tcW w:w="3060" w:type="dxa"/>
            <w:tcBorders>
              <w:top w:val="single" w:color="000000" w:sz="12" w:space="0"/>
              <w:left w:val="single" w:color="000000" w:sz="4" w:space="0"/>
              <w:bottom w:val="single" w:color="000000" w:sz="4" w:space="0"/>
              <w:right w:val="single" w:color="000000" w:sz="4" w:space="0"/>
            </w:tcBorders>
            <w:shd w:val="clear" w:color="auto" w:fill="EEECE1" w:themeFill="background2"/>
            <w:tcMar>
              <w:top w:w="80" w:type="dxa"/>
              <w:left w:w="100" w:type="dxa"/>
              <w:bottom w:w="80" w:type="dxa"/>
              <w:right w:w="100" w:type="dxa"/>
            </w:tcMar>
          </w:tcPr>
          <w:p w14:paraId="6238A370">
            <w:pPr>
              <w:jc w:val="left"/>
              <w:rPr>
                <w:b w:val="0"/>
                <w:color w:val="000000" w:themeColor="text1"/>
                <w:sz w:val="24"/>
                <w:szCs w:val="24"/>
                <w14:textFill>
                  <w14:solidFill>
                    <w14:schemeClr w14:val="tx1"/>
                  </w14:solidFill>
                </w14:textFill>
              </w:rPr>
            </w:pPr>
            <w:r>
              <w:rPr>
                <w:rFonts w:ascii="Arial" w:hAnsi="Arial" w:eastAsia="Arial" w:cs="Arial"/>
                <w:b w:val="0"/>
                <w:bCs/>
                <w:color w:val="000000" w:themeColor="text1"/>
                <w:sz w:val="24"/>
                <w:szCs w:val="24"/>
                <w14:textFill>
                  <w14:solidFill>
                    <w14:schemeClr w14:val="tx1"/>
                  </w14:solidFill>
                </w14:textFill>
              </w:rPr>
              <w:t>Vendor Name</w:t>
            </w:r>
          </w:p>
        </w:tc>
        <w:tc>
          <w:tcPr>
            <w:tcW w:w="2500" w:type="dxa"/>
            <w:tcBorders>
              <w:top w:val="single" w:color="000000" w:sz="12" w:space="0"/>
              <w:left w:val="single" w:color="000000" w:sz="4" w:space="0"/>
              <w:bottom w:val="single" w:color="000000" w:sz="4" w:space="0"/>
              <w:right w:val="single" w:color="000000" w:sz="4" w:space="0"/>
            </w:tcBorders>
            <w:shd w:val="clear" w:color="auto" w:fill="EEECE1" w:themeFill="background2"/>
            <w:tcMar>
              <w:top w:w="80" w:type="dxa"/>
              <w:left w:w="100" w:type="dxa"/>
              <w:bottom w:w="80" w:type="dxa"/>
              <w:right w:w="100" w:type="dxa"/>
            </w:tcMar>
          </w:tcPr>
          <w:p w14:paraId="0DE15332">
            <w:pPr>
              <w:jc w:val="left"/>
              <w:rPr>
                <w:b w:val="0"/>
                <w:color w:val="000000" w:themeColor="text1"/>
                <w:sz w:val="24"/>
                <w:szCs w:val="24"/>
                <w14:textFill>
                  <w14:solidFill>
                    <w14:schemeClr w14:val="tx1"/>
                  </w14:solidFill>
                </w14:textFill>
              </w:rPr>
            </w:pPr>
            <w:r>
              <w:rPr>
                <w:rFonts w:ascii="Arial" w:hAnsi="Arial" w:eastAsia="Arial" w:cs="Arial"/>
                <w:b w:val="0"/>
                <w:bCs/>
                <w:color w:val="000000" w:themeColor="text1"/>
                <w:sz w:val="24"/>
                <w:szCs w:val="24"/>
                <w14:textFill>
                  <w14:solidFill>
                    <w14:schemeClr w14:val="tx1"/>
                  </w14:solidFill>
                </w14:textFill>
              </w:rPr>
              <w:t>Material Category</w:t>
            </w:r>
          </w:p>
        </w:tc>
        <w:tc>
          <w:tcPr>
            <w:tcW w:w="2360" w:type="dxa"/>
            <w:tcBorders>
              <w:top w:val="single" w:color="000000" w:sz="12" w:space="0"/>
              <w:left w:val="single" w:color="000000" w:sz="4" w:space="0"/>
              <w:bottom w:val="single" w:color="000000" w:sz="4" w:space="0"/>
              <w:right w:val="single" w:color="000000" w:sz="12" w:space="0"/>
            </w:tcBorders>
            <w:shd w:val="clear" w:color="auto" w:fill="EEECE1" w:themeFill="background2"/>
            <w:tcMar>
              <w:top w:w="80" w:type="dxa"/>
              <w:left w:w="100" w:type="dxa"/>
              <w:bottom w:w="80" w:type="dxa"/>
              <w:right w:w="100" w:type="dxa"/>
            </w:tcMar>
          </w:tcPr>
          <w:p w14:paraId="2CED0D30">
            <w:pPr>
              <w:jc w:val="left"/>
              <w:rPr>
                <w:b w:val="0"/>
                <w:color w:val="000000" w:themeColor="text1"/>
                <w:sz w:val="24"/>
                <w:szCs w:val="24"/>
                <w14:textFill>
                  <w14:solidFill>
                    <w14:schemeClr w14:val="tx1"/>
                  </w14:solidFill>
                </w14:textFill>
              </w:rPr>
            </w:pPr>
            <w:r>
              <w:rPr>
                <w:rFonts w:ascii="Arial" w:hAnsi="Arial" w:eastAsia="Arial" w:cs="Arial"/>
                <w:b w:val="0"/>
                <w:bCs/>
                <w:color w:val="000000" w:themeColor="text1"/>
                <w:sz w:val="24"/>
                <w:szCs w:val="24"/>
                <w14:textFill>
                  <w14:solidFill>
                    <w14:schemeClr w14:val="tx1"/>
                  </w14:solidFill>
                </w14:textFill>
              </w:rPr>
              <w:t>Avg. Lead Time</w:t>
            </w:r>
          </w:p>
        </w:tc>
      </w:tr>
      <w:tr w14:paraId="0DA8A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12" w:space="0"/>
              <w:bottom w:val="single" w:color="000000" w:sz="4" w:space="0"/>
              <w:right w:val="single" w:color="000000" w:sz="4" w:space="0"/>
            </w:tcBorders>
            <w:shd w:val="clear" w:color="auto" w:fill="FFFFFF"/>
            <w:tcMar>
              <w:top w:w="70" w:type="dxa"/>
              <w:left w:w="100" w:type="dxa"/>
              <w:bottom w:w="70" w:type="dxa"/>
              <w:right w:w="100" w:type="dxa"/>
            </w:tcMar>
          </w:tcPr>
          <w:p w14:paraId="01130597">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V001</w:t>
            </w:r>
          </w:p>
        </w:tc>
        <w:tc>
          <w:tcPr>
            <w:tcW w:w="306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00" w:type="dxa"/>
              <w:bottom w:w="70" w:type="dxa"/>
              <w:right w:w="100" w:type="dxa"/>
            </w:tcMar>
          </w:tcPr>
          <w:p w14:paraId="1CA81BF4">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Bharat Raw Materials Pvt. Ltd.</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00" w:type="dxa"/>
              <w:bottom w:w="70" w:type="dxa"/>
              <w:right w:w="100" w:type="dxa"/>
            </w:tcMar>
          </w:tcPr>
          <w:p w14:paraId="2643631D">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RM (Steel, Polymer)</w:t>
            </w:r>
          </w:p>
        </w:tc>
        <w:tc>
          <w:tcPr>
            <w:tcW w:w="2360" w:type="dxa"/>
            <w:tcBorders>
              <w:top w:val="single" w:color="000000" w:sz="4" w:space="0"/>
              <w:left w:val="single" w:color="000000" w:sz="4" w:space="0"/>
              <w:bottom w:val="single" w:color="000000" w:sz="4" w:space="0"/>
              <w:right w:val="single" w:color="000000" w:sz="12" w:space="0"/>
            </w:tcBorders>
            <w:shd w:val="clear" w:color="auto" w:fill="FFFFFF"/>
            <w:tcMar>
              <w:top w:w="70" w:type="dxa"/>
              <w:left w:w="100" w:type="dxa"/>
              <w:bottom w:w="70" w:type="dxa"/>
              <w:right w:w="100" w:type="dxa"/>
            </w:tcMar>
          </w:tcPr>
          <w:p w14:paraId="489EC0EC">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6.8 days</w:t>
            </w:r>
          </w:p>
        </w:tc>
      </w:tr>
      <w:tr w14:paraId="77453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12" w:space="0"/>
              <w:bottom w:val="single" w:color="000000" w:sz="4" w:space="0"/>
              <w:right w:val="single" w:color="000000" w:sz="4" w:space="0"/>
            </w:tcBorders>
            <w:shd w:val="clear" w:color="auto" w:fill="FFFFFF"/>
            <w:tcMar>
              <w:top w:w="70" w:type="dxa"/>
              <w:left w:w="100" w:type="dxa"/>
              <w:bottom w:w="70" w:type="dxa"/>
              <w:right w:w="100" w:type="dxa"/>
            </w:tcMar>
          </w:tcPr>
          <w:p w14:paraId="7998FE23">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V002</w:t>
            </w:r>
          </w:p>
        </w:tc>
        <w:tc>
          <w:tcPr>
            <w:tcW w:w="306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00" w:type="dxa"/>
              <w:bottom w:w="70" w:type="dxa"/>
              <w:right w:w="100" w:type="dxa"/>
            </w:tcMar>
          </w:tcPr>
          <w:p w14:paraId="23B7A5DB">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IndoSteel Traders</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00" w:type="dxa"/>
              <w:bottom w:w="70" w:type="dxa"/>
              <w:right w:w="100" w:type="dxa"/>
            </w:tcMar>
          </w:tcPr>
          <w:p w14:paraId="6D887FB0">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RM (Steel)</w:t>
            </w:r>
          </w:p>
        </w:tc>
        <w:tc>
          <w:tcPr>
            <w:tcW w:w="2360" w:type="dxa"/>
            <w:tcBorders>
              <w:top w:val="single" w:color="000000" w:sz="4" w:space="0"/>
              <w:left w:val="single" w:color="000000" w:sz="4" w:space="0"/>
              <w:bottom w:val="single" w:color="000000" w:sz="4" w:space="0"/>
              <w:right w:val="single" w:color="000000" w:sz="12" w:space="0"/>
            </w:tcBorders>
            <w:shd w:val="clear" w:color="auto" w:fill="FFFFFF"/>
            <w:tcMar>
              <w:top w:w="70" w:type="dxa"/>
              <w:left w:w="100" w:type="dxa"/>
              <w:bottom w:w="70" w:type="dxa"/>
              <w:right w:w="100" w:type="dxa"/>
            </w:tcMar>
          </w:tcPr>
          <w:p w14:paraId="0DB5AE26">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8.2 days</w:t>
            </w:r>
          </w:p>
        </w:tc>
      </w:tr>
      <w:tr w14:paraId="580F9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12" w:space="0"/>
              <w:bottom w:val="single" w:color="000000" w:sz="4" w:space="0"/>
              <w:right w:val="single" w:color="000000" w:sz="4" w:space="0"/>
            </w:tcBorders>
            <w:shd w:val="clear" w:color="auto" w:fill="FFFFFF"/>
            <w:tcMar>
              <w:top w:w="70" w:type="dxa"/>
              <w:left w:w="100" w:type="dxa"/>
              <w:bottom w:w="70" w:type="dxa"/>
              <w:right w:w="100" w:type="dxa"/>
            </w:tcMar>
          </w:tcPr>
          <w:p w14:paraId="41C544FE">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V003</w:t>
            </w:r>
          </w:p>
        </w:tc>
        <w:tc>
          <w:tcPr>
            <w:tcW w:w="306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00" w:type="dxa"/>
              <w:bottom w:w="70" w:type="dxa"/>
              <w:right w:w="100" w:type="dxa"/>
            </w:tcMar>
          </w:tcPr>
          <w:p w14:paraId="5AF4E852">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Asian Polymers Ltd.</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00" w:type="dxa"/>
              <w:bottom w:w="70" w:type="dxa"/>
              <w:right w:w="100" w:type="dxa"/>
            </w:tcMar>
          </w:tcPr>
          <w:p w14:paraId="43E33914">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RM (Polymer)</w:t>
            </w:r>
          </w:p>
        </w:tc>
        <w:tc>
          <w:tcPr>
            <w:tcW w:w="2360" w:type="dxa"/>
            <w:tcBorders>
              <w:top w:val="single" w:color="000000" w:sz="4" w:space="0"/>
              <w:left w:val="single" w:color="000000" w:sz="4" w:space="0"/>
              <w:bottom w:val="single" w:color="000000" w:sz="4" w:space="0"/>
              <w:right w:val="single" w:color="000000" w:sz="12" w:space="0"/>
            </w:tcBorders>
            <w:shd w:val="clear" w:color="auto" w:fill="FFFFFF"/>
            <w:tcMar>
              <w:top w:w="70" w:type="dxa"/>
              <w:left w:w="100" w:type="dxa"/>
              <w:bottom w:w="70" w:type="dxa"/>
              <w:right w:w="100" w:type="dxa"/>
            </w:tcMar>
          </w:tcPr>
          <w:p w14:paraId="14A61B5E">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7.5 days</w:t>
            </w:r>
          </w:p>
        </w:tc>
      </w:tr>
      <w:tr w14:paraId="7E1F3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12" w:space="0"/>
              <w:bottom w:val="single" w:color="000000" w:sz="4" w:space="0"/>
              <w:right w:val="single" w:color="000000" w:sz="4" w:space="0"/>
            </w:tcBorders>
            <w:shd w:val="clear" w:color="auto" w:fill="FFFFFF"/>
            <w:tcMar>
              <w:top w:w="70" w:type="dxa"/>
              <w:left w:w="100" w:type="dxa"/>
              <w:bottom w:w="70" w:type="dxa"/>
              <w:right w:w="100" w:type="dxa"/>
            </w:tcMar>
          </w:tcPr>
          <w:p w14:paraId="2E7D6CAD">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V004</w:t>
            </w:r>
          </w:p>
        </w:tc>
        <w:tc>
          <w:tcPr>
            <w:tcW w:w="306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00" w:type="dxa"/>
              <w:bottom w:w="70" w:type="dxa"/>
              <w:right w:w="100" w:type="dxa"/>
            </w:tcMar>
          </w:tcPr>
          <w:p w14:paraId="77E8E5B2">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National Electrical Supplies</w:t>
            </w:r>
          </w:p>
        </w:tc>
        <w:tc>
          <w:tcPr>
            <w:tcW w:w="2500" w:type="dxa"/>
            <w:tcBorders>
              <w:top w:val="single" w:color="000000" w:sz="4" w:space="0"/>
              <w:left w:val="single" w:color="000000" w:sz="4" w:space="0"/>
              <w:bottom w:val="single" w:color="000000" w:sz="4" w:space="0"/>
              <w:right w:val="single" w:color="000000" w:sz="4" w:space="0"/>
            </w:tcBorders>
            <w:shd w:val="clear" w:color="auto" w:fill="FFFFFF"/>
            <w:tcMar>
              <w:top w:w="70" w:type="dxa"/>
              <w:left w:w="100" w:type="dxa"/>
              <w:bottom w:w="70" w:type="dxa"/>
              <w:right w:w="100" w:type="dxa"/>
            </w:tcMar>
          </w:tcPr>
          <w:p w14:paraId="50B3DAD1">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ELE (Motors)</w:t>
            </w:r>
          </w:p>
        </w:tc>
        <w:tc>
          <w:tcPr>
            <w:tcW w:w="2360" w:type="dxa"/>
            <w:tcBorders>
              <w:top w:val="single" w:color="000000" w:sz="4" w:space="0"/>
              <w:left w:val="single" w:color="000000" w:sz="4" w:space="0"/>
              <w:bottom w:val="single" w:color="000000" w:sz="4" w:space="0"/>
              <w:right w:val="single" w:color="000000" w:sz="12" w:space="0"/>
            </w:tcBorders>
            <w:shd w:val="clear" w:color="auto" w:fill="FFFFFF"/>
            <w:tcMar>
              <w:top w:w="70" w:type="dxa"/>
              <w:left w:w="100" w:type="dxa"/>
              <w:bottom w:w="70" w:type="dxa"/>
              <w:right w:w="100" w:type="dxa"/>
            </w:tcMar>
          </w:tcPr>
          <w:p w14:paraId="1368D06E">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9.1 days</w:t>
            </w:r>
          </w:p>
        </w:tc>
      </w:tr>
      <w:tr w14:paraId="66351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4" w:space="0"/>
              <w:left w:val="single" w:color="000000" w:sz="12" w:space="0"/>
              <w:bottom w:val="single" w:color="000000" w:sz="12" w:space="0"/>
              <w:right w:val="single" w:color="000000" w:sz="4" w:space="0"/>
            </w:tcBorders>
            <w:shd w:val="clear" w:color="auto" w:fill="FFFFFF"/>
            <w:tcMar>
              <w:top w:w="70" w:type="dxa"/>
              <w:left w:w="100" w:type="dxa"/>
              <w:bottom w:w="70" w:type="dxa"/>
              <w:right w:w="100" w:type="dxa"/>
            </w:tcMar>
          </w:tcPr>
          <w:p w14:paraId="1ED2B411">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V005</w:t>
            </w:r>
          </w:p>
        </w:tc>
        <w:tc>
          <w:tcPr>
            <w:tcW w:w="3060" w:type="dxa"/>
            <w:tcBorders>
              <w:top w:val="single" w:color="000000" w:sz="4" w:space="0"/>
              <w:left w:val="single" w:color="000000" w:sz="4" w:space="0"/>
              <w:bottom w:val="single" w:color="000000" w:sz="12" w:space="0"/>
              <w:right w:val="single" w:color="000000" w:sz="4" w:space="0"/>
            </w:tcBorders>
            <w:shd w:val="clear" w:color="auto" w:fill="FFFFFF"/>
            <w:tcMar>
              <w:top w:w="70" w:type="dxa"/>
              <w:left w:w="100" w:type="dxa"/>
              <w:bottom w:w="70" w:type="dxa"/>
              <w:right w:w="100" w:type="dxa"/>
            </w:tcMar>
          </w:tcPr>
          <w:p w14:paraId="37AAA1D0">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Prime Office Solutions</w:t>
            </w:r>
          </w:p>
        </w:tc>
        <w:tc>
          <w:tcPr>
            <w:tcW w:w="2500" w:type="dxa"/>
            <w:tcBorders>
              <w:top w:val="single" w:color="000000" w:sz="4" w:space="0"/>
              <w:left w:val="single" w:color="000000" w:sz="4" w:space="0"/>
              <w:bottom w:val="single" w:color="000000" w:sz="12" w:space="0"/>
              <w:right w:val="single" w:color="000000" w:sz="4" w:space="0"/>
            </w:tcBorders>
            <w:shd w:val="clear" w:color="auto" w:fill="FFFFFF"/>
            <w:tcMar>
              <w:top w:w="70" w:type="dxa"/>
              <w:left w:w="100" w:type="dxa"/>
              <w:bottom w:w="70" w:type="dxa"/>
              <w:right w:w="100" w:type="dxa"/>
            </w:tcMar>
          </w:tcPr>
          <w:p w14:paraId="696E53A2">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MRO, PKG</w:t>
            </w:r>
          </w:p>
        </w:tc>
        <w:tc>
          <w:tcPr>
            <w:tcW w:w="2360" w:type="dxa"/>
            <w:tcBorders>
              <w:top w:val="single" w:color="000000" w:sz="4" w:space="0"/>
              <w:left w:val="single" w:color="000000" w:sz="4" w:space="0"/>
              <w:bottom w:val="single" w:color="000000" w:sz="12" w:space="0"/>
              <w:right w:val="single" w:color="000000" w:sz="12" w:space="0"/>
            </w:tcBorders>
            <w:shd w:val="clear" w:color="auto" w:fill="FFFFFF"/>
            <w:tcMar>
              <w:top w:w="70" w:type="dxa"/>
              <w:left w:w="100" w:type="dxa"/>
              <w:bottom w:w="70" w:type="dxa"/>
              <w:right w:w="100" w:type="dxa"/>
            </w:tcMar>
          </w:tcPr>
          <w:p w14:paraId="28A4B968">
            <w:pPr>
              <w:jc w:val="left"/>
              <w:rPr>
                <w:b w:val="0"/>
                <w:color w:val="000000" w:themeColor="text1"/>
                <w:sz w:val="24"/>
                <w:szCs w:val="24"/>
                <w14:textFill>
                  <w14:solidFill>
                    <w14:schemeClr w14:val="tx1"/>
                  </w14:solidFill>
                </w14:textFill>
              </w:rPr>
            </w:pPr>
            <w:r>
              <w:rPr>
                <w:rFonts w:ascii="Arial" w:hAnsi="Arial" w:eastAsia="Arial" w:cs="Arial"/>
                <w:b w:val="0"/>
                <w:color w:val="000000" w:themeColor="text1"/>
                <w:sz w:val="24"/>
                <w:szCs w:val="24"/>
                <w14:textFill>
                  <w14:solidFill>
                    <w14:schemeClr w14:val="tx1"/>
                  </w14:solidFill>
                </w14:textFill>
              </w:rPr>
              <w:t>6.3 days</w:t>
            </w:r>
          </w:p>
        </w:tc>
      </w:tr>
    </w:tbl>
    <w:p w14:paraId="4D207FF1">
      <w:pPr>
        <w:spacing w:before="0" w:after="120"/>
        <w:rPr>
          <w:color w:val="000000" w:themeColor="text1"/>
          <w:sz w:val="24"/>
          <w:szCs w:val="24"/>
          <w14:textFill>
            <w14:solidFill>
              <w14:schemeClr w14:val="tx1"/>
            </w14:solidFill>
          </w14:textFill>
        </w:rPr>
      </w:pPr>
    </w:p>
    <w:p w14:paraId="25EDC18D">
      <w:pPr>
        <w:pStyle w:val="3"/>
        <w:spacing w:before="200" w:after="100"/>
        <w:rPr>
          <w:color w:val="000000" w:themeColor="text1"/>
          <w:sz w:val="28"/>
          <w:szCs w:val="28"/>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3.4  Join Strategy — Simulating SAP’s Open Items Logic</w:t>
      </w:r>
    </w:p>
    <w:p w14:paraId="53E8F79D">
      <w:pPr>
        <w:spacing w:before="0" w:after="120"/>
        <w:jc w:val="both"/>
        <w:rPr>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Left joins preserve open POs and GR-done-but-not-invoiced orders that an inner join would silently discard — the most operationally critical records for a procurement controller.</w:t>
      </w:r>
    </w:p>
    <w:p w14:paraId="1CE4EAC4">
      <w:pPr>
        <w:shd w:val="clear" w:fill="F4F6F7"/>
        <w:spacing w:before="0" w:after="0"/>
        <w:rPr>
          <w:color w:val="000000" w:themeColor="text1"/>
          <w:sz w:val="24"/>
          <w:szCs w:val="24"/>
          <w14:textFill>
            <w14:solidFill>
              <w14:schemeClr w14:val="tx1"/>
            </w14:solidFill>
          </w14:textFill>
        </w:rPr>
      </w:pPr>
      <w:r>
        <w:rPr>
          <w:rFonts w:ascii="Courier New" w:hAnsi="Courier New" w:eastAsia="Courier New" w:cs="Courier New"/>
          <w:color w:val="000000" w:themeColor="text1"/>
          <w:sz w:val="24"/>
          <w:szCs w:val="24"/>
          <w14:textFill>
            <w14:solidFill>
              <w14:schemeClr w14:val="tx1"/>
            </w14:solidFill>
          </w14:textFill>
        </w:rPr>
        <w:t># Step 1: Header + Items (inner join — PO must have at least one item)</w:t>
      </w:r>
    </w:p>
    <w:p w14:paraId="12F5C3F4">
      <w:pPr>
        <w:shd w:val="clear" w:fill="F4F6F7"/>
        <w:spacing w:before="0" w:after="0"/>
        <w:rPr>
          <w:color w:val="000000" w:themeColor="text1"/>
          <w:sz w:val="24"/>
          <w:szCs w:val="24"/>
          <w14:textFill>
            <w14:solidFill>
              <w14:schemeClr w14:val="tx1"/>
            </w14:solidFill>
          </w14:textFill>
        </w:rPr>
      </w:pPr>
      <w:r>
        <w:rPr>
          <w:rFonts w:ascii="Courier New" w:hAnsi="Courier New" w:eastAsia="Courier New" w:cs="Courier New"/>
          <w:color w:val="000000" w:themeColor="text1"/>
          <w:sz w:val="24"/>
          <w:szCs w:val="24"/>
          <w14:textFill>
            <w14:solidFill>
              <w14:schemeClr w14:val="tx1"/>
            </w14:solidFill>
          </w14:textFill>
        </w:rPr>
        <w:t>df = ekko.merge(ekpo, on='EBELN', how='inner', suffixes=('_HDR', '_ITM'))</w:t>
      </w:r>
    </w:p>
    <w:p w14:paraId="0AEA1AA0">
      <w:pPr>
        <w:shd w:val="clear" w:fill="F4F6F7"/>
        <w:spacing w:before="0" w:after="0"/>
        <w:rPr>
          <w:color w:val="000000" w:themeColor="text1"/>
          <w:sz w:val="24"/>
          <w:szCs w:val="24"/>
          <w14:textFill>
            <w14:solidFill>
              <w14:schemeClr w14:val="tx1"/>
            </w14:solidFill>
          </w14:textFill>
        </w:rPr>
      </w:pPr>
    </w:p>
    <w:p w14:paraId="0347AB6B">
      <w:pPr>
        <w:shd w:val="clear" w:fill="F4F6F7"/>
        <w:spacing w:before="0" w:after="0"/>
        <w:rPr>
          <w:color w:val="000000" w:themeColor="text1"/>
          <w:sz w:val="24"/>
          <w:szCs w:val="24"/>
          <w14:textFill>
            <w14:solidFill>
              <w14:schemeClr w14:val="tx1"/>
            </w14:solidFill>
          </w14:textFill>
        </w:rPr>
      </w:pPr>
      <w:r>
        <w:rPr>
          <w:rFonts w:ascii="Courier New" w:hAnsi="Courier New" w:eastAsia="Courier New" w:cs="Courier New"/>
          <w:color w:val="000000" w:themeColor="text1"/>
          <w:sz w:val="24"/>
          <w:szCs w:val="24"/>
          <w14:textFill>
            <w14:solidFill>
              <w14:schemeClr w14:val="tx1"/>
            </w14:solidFill>
          </w14:textFill>
        </w:rPr>
        <w:t># Step 2: Attach Goods Receipt (left join — preserves open POs)</w:t>
      </w:r>
    </w:p>
    <w:p w14:paraId="5DF8CF68">
      <w:pPr>
        <w:shd w:val="clear" w:fill="F4F6F7"/>
        <w:spacing w:before="0" w:after="0"/>
        <w:rPr>
          <w:color w:val="000000" w:themeColor="text1"/>
          <w:sz w:val="24"/>
          <w:szCs w:val="24"/>
          <w14:textFill>
            <w14:solidFill>
              <w14:schemeClr w14:val="tx1"/>
            </w14:solidFill>
          </w14:textFill>
        </w:rPr>
      </w:pPr>
      <w:r>
        <w:rPr>
          <w:rFonts w:ascii="Courier New" w:hAnsi="Courier New" w:eastAsia="Courier New" w:cs="Courier New"/>
          <w:color w:val="000000" w:themeColor="text1"/>
          <w:sz w:val="24"/>
          <w:szCs w:val="24"/>
          <w14:textFill>
            <w14:solidFill>
              <w14:schemeClr w14:val="tx1"/>
            </w14:solidFill>
          </w14:textFill>
        </w:rPr>
        <w:t>df = df.merge(mseg_key, on=['EBELN', 'EBELP'], how='left')</w:t>
      </w:r>
    </w:p>
    <w:p w14:paraId="3DCD76DE">
      <w:pPr>
        <w:shd w:val="clear" w:fill="F4F6F7"/>
        <w:spacing w:before="0" w:after="0"/>
        <w:rPr>
          <w:color w:val="000000" w:themeColor="text1"/>
          <w:sz w:val="24"/>
          <w:szCs w:val="24"/>
          <w14:textFill>
            <w14:solidFill>
              <w14:schemeClr w14:val="tx1"/>
            </w14:solidFill>
          </w14:textFill>
        </w:rPr>
      </w:pPr>
    </w:p>
    <w:p w14:paraId="496E4A99">
      <w:pPr>
        <w:shd w:val="clear" w:fill="F4F6F7"/>
        <w:spacing w:before="0" w:after="0"/>
        <w:rPr>
          <w:color w:val="000000" w:themeColor="text1"/>
          <w:sz w:val="24"/>
          <w:szCs w:val="24"/>
          <w14:textFill>
            <w14:solidFill>
              <w14:schemeClr w14:val="tx1"/>
            </w14:solidFill>
          </w14:textFill>
        </w:rPr>
      </w:pPr>
      <w:r>
        <w:rPr>
          <w:rFonts w:ascii="Courier New" w:hAnsi="Courier New" w:eastAsia="Courier New" w:cs="Courier New"/>
          <w:color w:val="000000" w:themeColor="text1"/>
          <w:sz w:val="24"/>
          <w:szCs w:val="24"/>
          <w14:textFill>
            <w14:solidFill>
              <w14:schemeClr w14:val="tx1"/>
            </w14:solidFill>
          </w14:textFill>
        </w:rPr>
        <w:t># Step 3: Attach Invoice (left join — preserves GR-done, not-invoiced POs)</w:t>
      </w:r>
    </w:p>
    <w:p w14:paraId="04306670">
      <w:pPr>
        <w:shd w:val="clear" w:fill="F4F6F7"/>
        <w:spacing w:before="0" w:after="0"/>
        <w:rPr>
          <w:color w:val="000000" w:themeColor="text1"/>
          <w:sz w:val="24"/>
          <w:szCs w:val="24"/>
          <w14:textFill>
            <w14:solidFill>
              <w14:schemeClr w14:val="tx1"/>
            </w14:solidFill>
          </w14:textFill>
        </w:rPr>
      </w:pPr>
      <w:r>
        <w:rPr>
          <w:rFonts w:ascii="Courier New" w:hAnsi="Courier New" w:eastAsia="Courier New" w:cs="Courier New"/>
          <w:color w:val="000000" w:themeColor="text1"/>
          <w:sz w:val="24"/>
          <w:szCs w:val="24"/>
          <w14:textFill>
            <w14:solidFill>
              <w14:schemeClr w14:val="tx1"/>
            </w14:solidFill>
          </w14:textFill>
        </w:rPr>
        <w:t>df = df.merge(rbkp_key, on='EBELN', how='left')</w:t>
      </w:r>
    </w:p>
    <w:p w14:paraId="5DF76C1F">
      <w:pPr>
        <w:spacing w:before="0" w:after="100"/>
        <w:rPr>
          <w:color w:val="000000" w:themeColor="text1"/>
          <w:sz w:val="24"/>
          <w:szCs w:val="24"/>
          <w14:textFill>
            <w14:solidFill>
              <w14:schemeClr w14:val="tx1"/>
            </w14:solidFill>
          </w14:textFill>
        </w:rPr>
      </w:pPr>
    </w:p>
    <w:p w14:paraId="0E7DB74E">
      <w:pPr>
        <w:spacing w:before="0" w:after="100"/>
        <w:rPr>
          <w:color w:val="000000" w:themeColor="text1"/>
          <w:sz w:val="24"/>
          <w:szCs w:val="24"/>
          <w14:textFill>
            <w14:solidFill>
              <w14:schemeClr w14:val="tx1"/>
            </w14:solidFill>
          </w14:textFill>
        </w:rPr>
      </w:pPr>
    </w:p>
    <w:p w14:paraId="0D0DCF00">
      <w:pPr>
        <w:spacing w:before="0" w:after="100"/>
        <w:rPr>
          <w:color w:val="000000" w:themeColor="text1"/>
          <w:sz w:val="24"/>
          <w:szCs w:val="24"/>
          <w14:textFill>
            <w14:solidFill>
              <w14:schemeClr w14:val="tx1"/>
            </w14:solidFill>
          </w14:textFill>
        </w:rPr>
      </w:pPr>
    </w:p>
    <w:p w14:paraId="4B9F57F9">
      <w:pPr>
        <w:pStyle w:val="3"/>
        <w:spacing w:before="200" w:after="100"/>
        <w:rPr>
          <w:color w:val="000000" w:themeColor="text1"/>
          <w:sz w:val="28"/>
          <w:szCs w:val="28"/>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3.5  Lead Time Computation</w:t>
      </w:r>
    </w:p>
    <w:p w14:paraId="325210AE">
      <w:pPr>
        <w:spacing w:before="0" w:after="120"/>
        <w:jc w:val="both"/>
        <w:rPr>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Lead time is computed as a vectorised pandas operation. The notna() flags convert left-join NaN patterns into boolean business indicators — replicating the logic of SAP's purchase order history table EKBE.</w:t>
      </w:r>
    </w:p>
    <w:p w14:paraId="130BA6CC">
      <w:pPr>
        <w:shd w:val="clear" w:fill="F4F6F7"/>
        <w:spacing w:before="0" w:after="0"/>
        <w:rPr>
          <w:color w:val="000000" w:themeColor="text1"/>
          <w:sz w:val="24"/>
          <w:szCs w:val="24"/>
          <w14:textFill>
            <w14:solidFill>
              <w14:schemeClr w14:val="tx1"/>
            </w14:solidFill>
          </w14:textFill>
        </w:rPr>
      </w:pPr>
      <w:r>
        <w:rPr>
          <w:rFonts w:ascii="Courier New" w:hAnsi="Courier New" w:eastAsia="Courier New" w:cs="Courier New"/>
          <w:color w:val="000000" w:themeColor="text1"/>
          <w:sz w:val="24"/>
          <w:szCs w:val="24"/>
          <w14:textFill>
            <w14:solidFill>
              <w14:schemeClr w14:val="tx1"/>
            </w14:solidFill>
          </w14:textFill>
        </w:rPr>
        <w:t># EKKO.BEDAT = PO creation date  |  MSEG.BUDAT = GR posting date</w:t>
      </w:r>
    </w:p>
    <w:p w14:paraId="0A52C424">
      <w:pPr>
        <w:shd w:val="clear" w:fill="F4F6F7"/>
        <w:spacing w:before="0" w:after="0"/>
        <w:rPr>
          <w:color w:val="000000" w:themeColor="text1"/>
          <w:sz w:val="24"/>
          <w:szCs w:val="24"/>
          <w14:textFill>
            <w14:solidFill>
              <w14:schemeClr w14:val="tx1"/>
            </w14:solidFill>
          </w14:textFill>
        </w:rPr>
      </w:pPr>
      <w:r>
        <w:rPr>
          <w:rFonts w:ascii="Courier New" w:hAnsi="Courier New" w:eastAsia="Courier New" w:cs="Courier New"/>
          <w:color w:val="000000" w:themeColor="text1"/>
          <w:sz w:val="24"/>
          <w:szCs w:val="24"/>
          <w14:textFill>
            <w14:solidFill>
              <w14:schemeClr w14:val="tx1"/>
            </w14:solidFill>
          </w14:textFill>
        </w:rPr>
        <w:t>df['LEAD_TIME_DAYS'] = (df['GR_DATE'] - df['BEDAT']).dt.days</w:t>
      </w:r>
    </w:p>
    <w:p w14:paraId="17007303">
      <w:pPr>
        <w:shd w:val="clear" w:fill="F4F6F7"/>
        <w:spacing w:before="0" w:after="0"/>
        <w:rPr>
          <w:color w:val="000000" w:themeColor="text1"/>
          <w:sz w:val="24"/>
          <w:szCs w:val="24"/>
          <w14:textFill>
            <w14:solidFill>
              <w14:schemeClr w14:val="tx1"/>
            </w14:solidFill>
          </w14:textFill>
        </w:rPr>
      </w:pPr>
      <w:r>
        <w:rPr>
          <w:rFonts w:ascii="Courier New" w:hAnsi="Courier New" w:eastAsia="Courier New" w:cs="Courier New"/>
          <w:color w:val="000000" w:themeColor="text1"/>
          <w:sz w:val="24"/>
          <w:szCs w:val="24"/>
          <w14:textFill>
            <w14:solidFill>
              <w14:schemeClr w14:val="tx1"/>
            </w14:solidFill>
          </w14:textFill>
        </w:rPr>
        <w:t>df['IS_GR_POSTED'] = df['GR_DATE'].notna()  # False = open PO</w:t>
      </w:r>
    </w:p>
    <w:p w14:paraId="03E3F6F0">
      <w:pPr>
        <w:shd w:val="clear" w:fill="F4F6F7"/>
        <w:spacing w:before="0" w:after="0"/>
        <w:rPr>
          <w:color w:val="000000" w:themeColor="text1"/>
          <w:sz w:val="24"/>
          <w:szCs w:val="24"/>
          <w14:textFill>
            <w14:solidFill>
              <w14:schemeClr w14:val="tx1"/>
            </w14:solidFill>
          </w14:textFill>
        </w:rPr>
      </w:pPr>
      <w:r>
        <w:rPr>
          <w:rFonts w:ascii="Courier New" w:hAnsi="Courier New" w:eastAsia="Courier New" w:cs="Courier New"/>
          <w:color w:val="000000" w:themeColor="text1"/>
          <w:sz w:val="24"/>
          <w:szCs w:val="24"/>
          <w14:textFill>
            <w14:solidFill>
              <w14:schemeClr w14:val="tx1"/>
            </w14:solidFill>
          </w14:textFill>
        </w:rPr>
        <w:t>df['IS_INVOICED']  = df['INV_DATE'].notna() # False = GR done, invoice pending</w:t>
      </w:r>
    </w:p>
    <w:p w14:paraId="05EC67C0">
      <w:pPr>
        <w:spacing w:before="0" w:after="80"/>
        <w:rPr>
          <w:color w:val="000000" w:themeColor="text1"/>
          <w:sz w:val="24"/>
          <w:szCs w:val="24"/>
          <w14:textFill>
            <w14:solidFill>
              <w14:schemeClr w14:val="tx1"/>
            </w14:solidFill>
          </w14:textFill>
        </w:rPr>
      </w:pPr>
    </w:p>
    <w:p w14:paraId="38A1D3A3">
      <w:pPr>
        <w:pStyle w:val="2"/>
        <w:pBdr>
          <w:bottom w:val="single" w:color="2E86C1" w:sz="6" w:space="3"/>
        </w:pBdr>
        <w:spacing w:before="280" w:after="140"/>
        <w:rPr>
          <w:color w:val="000000" w:themeColor="text1"/>
          <w:sz w:val="28"/>
          <w:szCs w:val="28"/>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4</w:t>
      </w:r>
      <w:r>
        <w:rPr>
          <w:rFonts w:ascii="Arial" w:hAnsi="Arial" w:eastAsia="Arial" w:cs="Arial"/>
          <w:b/>
          <w:bCs/>
          <w:color w:val="000000" w:themeColor="text1"/>
          <w:sz w:val="30"/>
          <w:szCs w:val="30"/>
          <w14:textFill>
            <w14:solidFill>
              <w14:schemeClr w14:val="tx1"/>
            </w14:solidFill>
          </w14:textFill>
        </w:rPr>
        <w:t>.  Analytics Output &amp; Dashboard</w:t>
      </w:r>
    </w:p>
    <w:p w14:paraId="2B59280B">
      <w:pPr>
        <w:pStyle w:val="3"/>
        <w:spacing w:before="200" w:after="100"/>
        <w:rPr>
          <w:color w:val="000000" w:themeColor="text1"/>
          <w:sz w:val="24"/>
          <w:szCs w:val="24"/>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4.1  Dashboard Overview</w:t>
      </w:r>
    </w:p>
    <w:p w14:paraId="302F8243">
      <w:pPr>
        <w:spacing w:before="0" w:after="120"/>
        <w:jc w:val="both"/>
        <w:rPr>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Five visualisations on a dark-themed canvas (#0D1117), styled after SAP Analytics Cloud, Power BI, and Tableau, composed using Matplotlib's GridSpec engine.</w:t>
      </w:r>
    </w:p>
    <w:p w14:paraId="00B389C5">
      <w:pPr>
        <w:spacing w:before="0" w:after="60"/>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drawing>
          <wp:inline distT="0" distB="0" distL="114300" distR="114300">
            <wp:extent cx="5430520" cy="6117590"/>
            <wp:effectExtent l="0" t="0" r="10160" b="8890"/>
            <wp:docPr id="1" name="Picture 1" descr="sap_p2p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ap_p2p_dashboard"/>
                    <pic:cNvPicPr>
                      <a:picLocks noChangeAspect="1"/>
                    </pic:cNvPicPr>
                  </pic:nvPicPr>
                  <pic:blipFill>
                    <a:blip r:embed="rId6"/>
                    <a:stretch>
                      <a:fillRect/>
                    </a:stretch>
                  </pic:blipFill>
                  <pic:spPr>
                    <a:xfrm>
                      <a:off x="0" y="0"/>
                      <a:ext cx="5430520" cy="6117590"/>
                    </a:xfrm>
                    <a:prstGeom prst="rect">
                      <a:avLst/>
                    </a:prstGeom>
                  </pic:spPr>
                </pic:pic>
              </a:graphicData>
            </a:graphic>
          </wp:inline>
        </w:drawing>
      </w:r>
    </w:p>
    <w:p w14:paraId="08E6A847">
      <w:pPr>
        <w:pStyle w:val="3"/>
        <w:spacing w:before="200" w:after="100"/>
        <w:rPr>
          <w:color w:val="000000" w:themeColor="text1"/>
          <w:sz w:val="28"/>
          <w:szCs w:val="28"/>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4.2  Chart-by-Chart Analysis</w:t>
      </w:r>
    </w:p>
    <w:p w14:paraId="41CF8E3A">
      <w:pPr>
        <w:spacing w:before="0" w:after="120"/>
        <w:jc w:val="both"/>
        <w:rPr>
          <w:color w:val="000000" w:themeColor="text1"/>
          <w:sz w:val="24"/>
          <w:szCs w:val="24"/>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 xml:space="preserve">Chart 1 — Spend by Material (EKPO.NETWR). </w:t>
      </w:r>
      <w:r>
        <w:rPr>
          <w:rFonts w:ascii="Arial" w:hAnsi="Arial" w:eastAsia="Arial" w:cs="Arial"/>
          <w:color w:val="000000" w:themeColor="text1"/>
          <w:sz w:val="24"/>
          <w:szCs w:val="24"/>
          <w14:textFill>
            <w14:solidFill>
              <w14:schemeClr w14:val="tx1"/>
            </w14:solidFill>
          </w14:textFill>
        </w:rPr>
        <w:t>Groups EKPO by MATNR, summing NETWR. Equivalent to SAP transaction MC$G. Identifies spend concentration and intersecting lead-time risk per material.</w:t>
      </w:r>
    </w:p>
    <w:p w14:paraId="1BF4DCA6">
      <w:pPr>
        <w:spacing w:before="0" w:after="120"/>
        <w:jc w:val="both"/>
        <w:rPr>
          <w:color w:val="000000" w:themeColor="text1"/>
          <w:sz w:val="24"/>
          <w:szCs w:val="24"/>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 xml:space="preserve">Chart 2 — Lead Time Distribution (EKKO.BEDAT → MSEG.BUDAT). </w:t>
      </w:r>
      <w:r>
        <w:rPr>
          <w:rFonts w:ascii="Arial" w:hAnsi="Arial" w:eastAsia="Arial" w:cs="Arial"/>
          <w:color w:val="000000" w:themeColor="text1"/>
          <w:sz w:val="24"/>
          <w:szCs w:val="24"/>
          <w14:textFill>
            <w14:solidFill>
              <w14:schemeClr w14:val="tx1"/>
            </w14:solidFill>
          </w14:textFill>
        </w:rPr>
        <w:t>Histogram with SLA zones: green (≤7d), amber (8–14d), red (&gt;14d). Mean at 7.8d; on-time rate 57.4% shown as an executive figure.</w:t>
      </w:r>
    </w:p>
    <w:p w14:paraId="64EC08E7">
      <w:pPr>
        <w:spacing w:before="0" w:after="120"/>
        <w:jc w:val="both"/>
        <w:rPr>
          <w:color w:val="000000" w:themeColor="text1"/>
          <w:sz w:val="24"/>
          <w:szCs w:val="24"/>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 xml:space="preserve">Chart 3 — Monthly Procurement Trend (Dual Axis). </w:t>
      </w:r>
      <w:r>
        <w:rPr>
          <w:rFonts w:ascii="Arial" w:hAnsi="Arial" w:eastAsia="Arial" w:cs="Arial"/>
          <w:color w:val="000000" w:themeColor="text1"/>
          <w:sz w:val="24"/>
          <w:szCs w:val="24"/>
          <w14:textFill>
            <w14:solidFill>
              <w14:schemeClr w14:val="tx1"/>
            </w14:solidFill>
          </w14:textFill>
        </w:rPr>
        <w:t>PO value (blue line) vs. order count (green bars) with a 3-month rolling average to surface AOV trends.</w:t>
      </w:r>
    </w:p>
    <w:p w14:paraId="660D52E4">
      <w:pPr>
        <w:spacing w:before="0" w:after="120"/>
        <w:jc w:val="both"/>
        <w:rPr>
          <w:color w:val="000000" w:themeColor="text1"/>
          <w:sz w:val="24"/>
          <w:szCs w:val="24"/>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 xml:space="preserve">Chart 4 — Vendor Spend vs. GR Completion Rate. </w:t>
      </w:r>
      <w:r>
        <w:rPr>
          <w:rFonts w:ascii="Arial" w:hAnsi="Arial" w:eastAsia="Arial" w:cs="Arial"/>
          <w:color w:val="000000" w:themeColor="text1"/>
          <w:sz w:val="24"/>
          <w:szCs w:val="24"/>
          <w14:textFill>
            <w14:solidFill>
              <w14:schemeClr w14:val="tx1"/>
            </w14:solidFill>
          </w14:textFill>
        </w:rPr>
        <w:t>High-spend / low-GR vendors flagged for Source List (ME01) or Quota Arrangement (MEQ1) action.</w:t>
      </w:r>
    </w:p>
    <w:p w14:paraId="55BB1B32">
      <w:pPr>
        <w:spacing w:before="0" w:after="120"/>
        <w:jc w:val="both"/>
        <w:rPr>
          <w:color w:val="000000" w:themeColor="text1"/>
          <w:sz w:val="24"/>
          <w:szCs w:val="24"/>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 xml:space="preserve">Chart 5 — Three-Way Match Status. </w:t>
      </w:r>
      <w:r>
        <w:rPr>
          <w:rFonts w:ascii="Arial" w:hAnsi="Arial" w:eastAsia="Arial" w:cs="Arial"/>
          <w:color w:val="000000" w:themeColor="text1"/>
          <w:sz w:val="24"/>
          <w:szCs w:val="24"/>
          <w14:textFill>
            <w14:solidFill>
              <w14:schemeClr w14:val="tx1"/>
            </w14:solidFill>
          </w14:textFill>
        </w:rPr>
        <w:t>Pie chart: fully processed, GR-done-no-invoice (open AP), and open PO. Maps to SAP GR/IR clearing account reconciliation.</w:t>
      </w:r>
    </w:p>
    <w:p w14:paraId="1B76E8C1">
      <w:pPr>
        <w:spacing w:before="0" w:after="80"/>
        <w:rPr>
          <w:color w:val="000000" w:themeColor="text1"/>
          <w:sz w:val="24"/>
          <w:szCs w:val="24"/>
          <w14:textFill>
            <w14:solidFill>
              <w14:schemeClr w14:val="tx1"/>
            </w14:solidFill>
          </w14:textFill>
        </w:rPr>
      </w:pPr>
    </w:p>
    <w:p w14:paraId="2B518DC0">
      <w:pPr>
        <w:pStyle w:val="2"/>
        <w:pBdr>
          <w:bottom w:val="single" w:color="2E86C1" w:sz="6" w:space="3"/>
        </w:pBdr>
        <w:spacing w:before="280" w:after="140"/>
        <w:rPr>
          <w:color w:val="000000" w:themeColor="text1"/>
          <w:sz w:val="30"/>
          <w:szCs w:val="30"/>
          <w14:textFill>
            <w14:solidFill>
              <w14:schemeClr w14:val="tx1"/>
            </w14:solidFill>
          </w14:textFill>
        </w:rPr>
      </w:pPr>
      <w:r>
        <w:rPr>
          <w:rFonts w:ascii="Arial" w:hAnsi="Arial" w:eastAsia="Arial" w:cs="Arial"/>
          <w:b/>
          <w:bCs/>
          <w:color w:val="000000" w:themeColor="text1"/>
          <w:sz w:val="30"/>
          <w:szCs w:val="30"/>
          <w14:textFill>
            <w14:solidFill>
              <w14:schemeClr w14:val="tx1"/>
            </w14:solidFill>
          </w14:textFill>
        </w:rPr>
        <w:t>5.  Unique Design Contributions</w:t>
      </w:r>
    </w:p>
    <w:p w14:paraId="6833F34B">
      <w:pPr>
        <w:pStyle w:val="3"/>
        <w:spacing w:before="200" w:after="100"/>
        <w:rPr>
          <w:color w:val="000000" w:themeColor="text1"/>
          <w:sz w:val="24"/>
          <w:szCs w:val="24"/>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5.1  Relational Simulation Without a Live SAP Instance</w:t>
      </w:r>
    </w:p>
    <w:p w14:paraId="1AAB5436">
      <w:pPr>
        <w:spacing w:before="0" w:after="120"/>
        <w:jc w:val="both"/>
        <w:rPr>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The EKKO → EKPO → MSEG → RBKP 1-to-many hierarchy is built using NumPy's seeded generator (np.random.seed(42)) with realistic rates (87% GR, 82% invoice). Seeding guarantees identical results for any reviewer.</w:t>
      </w:r>
    </w:p>
    <w:p w14:paraId="7FF24C72">
      <w:pPr>
        <w:pStyle w:val="3"/>
        <w:spacing w:before="200" w:after="100"/>
        <w:rPr>
          <w:color w:val="000000" w:themeColor="text1"/>
          <w:sz w:val="24"/>
          <w:szCs w:val="24"/>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5.2  Authentic SAP MM Field Naming</w:t>
      </w:r>
    </w:p>
    <w:p w14:paraId="77ACF7C6">
      <w:pPr>
        <w:spacing w:before="0" w:after="120"/>
        <w:jc w:val="both"/>
        <w:rPr>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Exact field names used throughout: EKKO.LIFNR, EKKO.BEDAT, MSEG.BUDAT, MSEG.BWART, RBKP.BLDAT, RBKP.BSTAT. An ABAP developer could adapt this logic directly into a CDS View or ABAP SELECT against a live system.</w:t>
      </w:r>
    </w:p>
    <w:p w14:paraId="1838657D">
      <w:pPr>
        <w:pStyle w:val="3"/>
        <w:spacing w:before="200" w:after="100"/>
        <w:rPr>
          <w:color w:val="000000" w:themeColor="text1"/>
          <w:sz w:val="24"/>
          <w:szCs w:val="24"/>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5.3  Five-Chart Dashboard</w:t>
      </w:r>
    </w:p>
    <w:p w14:paraId="714FFC71">
      <w:pPr>
        <w:spacing w:before="0" w:after="120"/>
        <w:jc w:val="both"/>
        <w:rPr>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Vendor performance and three-way match health extend the baseline. Chart 5 maps directly to the mandatory SAP GR/IR reconciliation process — unique to P2P with no O2C equivalent.</w:t>
      </w:r>
    </w:p>
    <w:p w14:paraId="4FDA1D51">
      <w:pPr>
        <w:spacing w:before="0" w:after="80"/>
        <w:rPr>
          <w:color w:val="000000" w:themeColor="text1"/>
          <w14:textFill>
            <w14:solidFill>
              <w14:schemeClr w14:val="tx1"/>
            </w14:solidFill>
          </w14:textFill>
        </w:rPr>
      </w:pPr>
    </w:p>
    <w:p w14:paraId="7566A3F4">
      <w:pPr>
        <w:pStyle w:val="2"/>
        <w:pBdr>
          <w:bottom w:val="single" w:color="2E86C1" w:sz="6" w:space="3"/>
        </w:pBdr>
        <w:spacing w:before="280" w:after="140"/>
        <w:rPr>
          <w:color w:val="000000" w:themeColor="text1"/>
          <w:sz w:val="30"/>
          <w:szCs w:val="30"/>
          <w14:textFill>
            <w14:solidFill>
              <w14:schemeClr w14:val="tx1"/>
            </w14:solidFill>
          </w14:textFill>
        </w:rPr>
      </w:pPr>
      <w:r>
        <w:rPr>
          <w:rFonts w:ascii="Arial" w:hAnsi="Arial" w:eastAsia="Arial" w:cs="Arial"/>
          <w:b/>
          <w:bCs/>
          <w:color w:val="000000" w:themeColor="text1"/>
          <w:sz w:val="30"/>
          <w:szCs w:val="30"/>
          <w14:textFill>
            <w14:solidFill>
              <w14:schemeClr w14:val="tx1"/>
            </w14:solidFill>
          </w14:textFill>
        </w:rPr>
        <w:t>6.  Future Improvements &amp; Enterprise Roadmap</w:t>
      </w:r>
    </w:p>
    <w:p w14:paraId="7422AE1E">
      <w:pPr>
        <w:pStyle w:val="3"/>
        <w:spacing w:before="200" w:after="100"/>
        <w:rPr>
          <w:color w:val="000000" w:themeColor="text1"/>
          <w:sz w:val="28"/>
          <w:szCs w:val="28"/>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6.1  Live SAP Data via PyRFC and OData</w:t>
      </w:r>
    </w:p>
    <w:p w14:paraId="0EBA000F">
      <w:pPr>
        <w:spacing w:before="0" w:after="120"/>
        <w:jc w:val="both"/>
        <w:rPr>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Replace data generation with PyRFC calls to RFC_READ_TABLE on EKKO, EKPO, MSEG, RBKP, or consume SAP S/4HANA's API_PURCHASEORDER_PROCESS_SRV OData service via Python requests with OAuth2.</w:t>
      </w:r>
    </w:p>
    <w:p w14:paraId="1737D043">
      <w:pPr>
        <w:pStyle w:val="3"/>
        <w:spacing w:before="200" w:after="100"/>
        <w:rPr>
          <w:color w:val="000000" w:themeColor="text1"/>
          <w:sz w:val="28"/>
          <w:szCs w:val="28"/>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6.2  Predictive Lead Time Forecasting</w:t>
      </w:r>
    </w:p>
    <w:p w14:paraId="4A705BE1">
      <w:pPr>
        <w:spacing w:before="0" w:after="120"/>
        <w:jc w:val="both"/>
        <w:rPr>
          <w:rFonts w:ascii="Arial" w:hAnsi="Arial" w:eastAsia="Arial" w:cs="Arial"/>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Train an XGBoost/LightGBM classifier on historical LEAD_TIME_DAYS to forecast SLA breach probability at PO creation time, using vendor, material, quantity, purchasing org, and plant as features.</w:t>
      </w:r>
    </w:p>
    <w:p w14:paraId="05247408">
      <w:pPr>
        <w:spacing w:before="0" w:after="120"/>
        <w:jc w:val="both"/>
        <w:rPr>
          <w:rFonts w:ascii="Arial" w:hAnsi="Arial" w:eastAsia="Arial" w:cs="Arial"/>
          <w:color w:val="000000" w:themeColor="text1"/>
          <w:sz w:val="24"/>
          <w:szCs w:val="24"/>
          <w14:textFill>
            <w14:solidFill>
              <w14:schemeClr w14:val="tx1"/>
            </w14:solidFill>
          </w14:textFill>
        </w:rPr>
      </w:pPr>
    </w:p>
    <w:p w14:paraId="2D1D1806">
      <w:pPr>
        <w:spacing w:before="0" w:after="120"/>
        <w:jc w:val="both"/>
        <w:rPr>
          <w:rFonts w:ascii="Arial" w:hAnsi="Arial" w:eastAsia="Arial" w:cs="Arial"/>
          <w:color w:val="000000" w:themeColor="text1"/>
          <w:sz w:val="24"/>
          <w:szCs w:val="24"/>
          <w14:textFill>
            <w14:solidFill>
              <w14:schemeClr w14:val="tx1"/>
            </w14:solidFill>
          </w14:textFill>
        </w:rPr>
      </w:pPr>
    </w:p>
    <w:p w14:paraId="7CD79002">
      <w:pPr>
        <w:pStyle w:val="3"/>
        <w:spacing w:before="200" w:after="100"/>
        <w:rPr>
          <w:color w:val="000000" w:themeColor="text1"/>
          <w:sz w:val="28"/>
          <w:szCs w:val="28"/>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6.3  SAP HANA Direct Connection</w:t>
      </w:r>
    </w:p>
    <w:p w14:paraId="5D1EF641">
      <w:pPr>
        <w:spacing w:before="0" w:after="120"/>
        <w:jc w:val="both"/>
        <w:rPr>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Use hdbcli to push join and aggregation logic to HANA Calculation Views. Combine with a Streamlit or Dash frontend for a self-refreshing, browser-accessible P2P dashboard with no SAP GUI dependency.</w:t>
      </w:r>
    </w:p>
    <w:p w14:paraId="24280C09">
      <w:pPr>
        <w:pStyle w:val="3"/>
        <w:spacing w:before="200" w:after="100"/>
        <w:rPr>
          <w:color w:val="000000" w:themeColor="text1"/>
          <w:sz w:val="28"/>
          <w:szCs w:val="28"/>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6.4  Accounts Payable Ageing</w:t>
      </w:r>
    </w:p>
    <w:p w14:paraId="4F687E02">
      <w:pPr>
        <w:spacing w:before="0" w:after="120"/>
        <w:jc w:val="both"/>
        <w:rPr>
          <w:color w:val="000000" w:themeColor="text1"/>
          <w:sz w:val="24"/>
          <w:szCs w:val="24"/>
          <w14:textFill>
            <w14:solidFill>
              <w14:schemeClr w14:val="tx1"/>
            </w14:solidFill>
          </w14:textFill>
        </w:rPr>
      </w:pPr>
      <w:r>
        <w:rPr>
          <w:rFonts w:ascii="Arial" w:hAnsi="Arial" w:eastAsia="Arial" w:cs="Arial"/>
          <w:color w:val="000000" w:themeColor="text1"/>
          <w:sz w:val="24"/>
          <w:szCs w:val="24"/>
          <w14:textFill>
            <w14:solidFill>
              <w14:schemeClr w14:val="tx1"/>
            </w14:solidFill>
          </w14:textFill>
        </w:rPr>
        <w:t>Simulate BSIK (open vendor items) and BSAK (cleared vendor items) to add AP ageing analytics — completing the financial close dimension of P2P and enabling working capital optimisation.</w:t>
      </w:r>
    </w:p>
    <w:p w14:paraId="27E1FE55">
      <w:pPr>
        <w:spacing w:before="0" w:after="80"/>
        <w:rPr>
          <w:color w:val="000000" w:themeColor="text1"/>
          <w14:textFill>
            <w14:solidFill>
              <w14:schemeClr w14:val="tx1"/>
            </w14:solidFill>
          </w14:textFill>
        </w:rPr>
      </w:pPr>
    </w:p>
    <w:p w14:paraId="52AB91B4">
      <w:pPr>
        <w:pStyle w:val="2"/>
        <w:pBdr>
          <w:bottom w:val="single" w:color="2E86C1" w:sz="6" w:space="3"/>
        </w:pBdr>
        <w:spacing w:before="280" w:after="140"/>
        <w:rPr>
          <w:color w:val="000000" w:themeColor="text1"/>
          <w:sz w:val="30"/>
          <w:szCs w:val="30"/>
          <w14:textFill>
            <w14:solidFill>
              <w14:schemeClr w14:val="tx1"/>
            </w14:solidFill>
          </w14:textFill>
        </w:rPr>
      </w:pPr>
      <w:r>
        <w:rPr>
          <w:rFonts w:ascii="Arial" w:hAnsi="Arial" w:eastAsia="Arial" w:cs="Arial"/>
          <w:b/>
          <w:bCs/>
          <w:color w:val="000000" w:themeColor="text1"/>
          <w:sz w:val="30"/>
          <w:szCs w:val="30"/>
          <w14:textFill>
            <w14:solidFill>
              <w14:schemeClr w14:val="tx1"/>
            </w14:solidFill>
          </w14:textFill>
        </w:rPr>
        <w:t>7.  Conclusion</w:t>
      </w:r>
    </w:p>
    <w:p w14:paraId="0375C26A">
      <w:pPr>
        <w:spacing w:before="0" w:after="120"/>
        <w:jc w:val="both"/>
        <w:rPr>
          <w:sz w:val="24"/>
          <w:szCs w:val="24"/>
        </w:rPr>
      </w:pPr>
      <w:r>
        <w:rPr>
          <w:rFonts w:ascii="Arial" w:hAnsi="Arial" w:eastAsia="Arial" w:cs="Arial"/>
          <w:color w:val="000000" w:themeColor="text1"/>
          <w:sz w:val="24"/>
          <w:szCs w:val="24"/>
          <w14:textFill>
            <w14:solidFill>
              <w14:schemeClr w14:val="tx1"/>
            </w14:solidFill>
          </w14:textFill>
        </w:rPr>
        <w:t>This project demonstrates that the analytical intent of enterprise SAP reporting is fully replicable in open-source Python. The four simulated tables — EKKO, EKPO, MSEG, and RBKP — encode the P2P cycle as a cascade of time-stamped, key-linked events. The inner/left join strategy ensures open items are never silently discarded. The 300-order, 592-item dataset with an 85.6% GR rate and 57.4% on-time delivery rate surfaces insights that, in a real enterprise, would trigger immediate vendor review and SLA renegotiation — all without SAP GUI access, ABAP development, or a BI licence.</w:t>
      </w:r>
    </w:p>
    <w:p w14:paraId="0644F243">
      <w:pPr>
        <w:spacing w:before="0" w:after="200"/>
      </w:pPr>
    </w:p>
    <w:p w14:paraId="10874F65"/>
    <w:sectPr>
      <w:headerReference r:id="rId3" w:type="default"/>
      <w:footerReference r:id="rId4" w:type="default"/>
      <w:pgSz w:w="11906" w:h="16838"/>
      <w:pgMar w:top="1100" w:right="1150" w:bottom="1100" w:left="1150"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AD183">
    <w:pPr>
      <w:pBdr>
        <w:top w:val="single" w:color="2E86C1" w:sz="4" w:space="3"/>
      </w:pBdr>
      <w:tabs>
        <w:tab w:val="right" w:pos="9026"/>
      </w:tabs>
    </w:pPr>
    <w:r>
      <w:rPr>
        <w:sz w:val="17"/>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0E1A504">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10E1A504">
                    <w:pPr>
                      <w:pStyle w:val="12"/>
                    </w:pPr>
                    <w:r>
                      <w:fldChar w:fldCharType="begin"/>
                    </w:r>
                    <w:r>
                      <w:instrText xml:space="preserve"> PAGE  \* MERGEFORMAT </w:instrText>
                    </w:r>
                    <w:r>
                      <w:fldChar w:fldCharType="separate"/>
                    </w:r>
                    <w:r>
                      <w:t>1</w:t>
                    </w:r>
                    <w:r>
                      <w:fldChar w:fldCharType="end"/>
                    </w:r>
                  </w:p>
                </w:txbxContent>
              </v:textbox>
            </v:shape>
          </w:pict>
        </mc:Fallback>
      </mc:AlternateContent>
    </w:r>
    <w:r>
      <w:rPr>
        <w:rFonts w:ascii="Arial" w:hAnsi="Arial" w:eastAsia="Arial" w:cs="Arial"/>
        <w:color w:val="888888"/>
        <w:sz w:val="17"/>
        <w:szCs w:val="17"/>
      </w:rPr>
      <w:t xml:space="preserve">Page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5BD4F"/>
  <w:p w14:paraId="6BB9702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99D20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80" w:after="140"/>
      <w:outlineLvl w:val="0"/>
    </w:pPr>
    <w:rPr>
      <w:rFonts w:ascii="Arial" w:hAnsi="Arial" w:eastAsia="Arial" w:cs="Arial"/>
      <w:b/>
      <w:bCs/>
      <w:color w:val="1A3A5C"/>
      <w:sz w:val="28"/>
      <w:szCs w:val="28"/>
    </w:rPr>
  </w:style>
  <w:style w:type="paragraph" w:styleId="3">
    <w:name w:val="heading 2"/>
    <w:next w:val="1"/>
    <w:qFormat/>
    <w:uiPriority w:val="0"/>
    <w:pPr>
      <w:spacing w:before="200" w:after="100"/>
      <w:outlineLvl w:val="1"/>
    </w:pPr>
    <w:rPr>
      <w:rFonts w:ascii="Arial" w:hAnsi="Arial" w:eastAsia="Arial" w:cs="Arial"/>
      <w:b/>
      <w:bCs/>
      <w:color w:val="2E86C1"/>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Arial" w:hAnsi="Arial" w:eastAsia="Arial" w:cs="Arial"/>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Arial" w:hAnsi="Arial" w:eastAsia="Arial" w:cs="Arial"/>
      <w:sz w:val="20"/>
      <w:szCs w:val="20"/>
    </w:rPr>
  </w:style>
  <w:style w:type="character" w:styleId="15">
    <w:name w:val="Hyperlink"/>
    <w:unhideWhenUsed/>
    <w:qFormat/>
    <w:uiPriority w:val="99"/>
    <w:rPr>
      <w:color w:val="0563C1"/>
      <w:u w:val="single"/>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Pages>
  <Words>504</Words>
  <Characters>3007</Characters>
  <TotalTime>14</TotalTime>
  <ScaleCrop>false</ScaleCrop>
  <LinksUpToDate>false</LinksUpToDate>
  <CharactersWithSpaces>3454</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2026-04-21T11:33:00Z</dcterms:created>
  <dc:creator>Un-named</dc:creator>
  <cp:lastModifiedBy>ADIB AHMED</cp:lastModifiedBy>
  <dcterms:modified xsi:type="dcterms:W3CDTF">2026-04-21T12:26:24Z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eyJoZGlkIjoiNTIxM2IxOWFmZDMyYjU1YWI3NDMwNGY2ZTI3YjcyZjUiLCJ1c2VySWQiOiI1Njc1NDcwNDAwNTAifQ==</vt:lpwstr>
  </property>
  <property fmtid="{D5CDD505-2E9C-101B-9397-08002B2CF9AE}" pid="3" name="KSOProductBuildVer">
    <vt:lpwstr>1033-12.1.0.25242</vt:lpwstr>
  </property>
  <property fmtid="{D5CDD505-2E9C-101B-9397-08002B2CF9AE}" pid="4" name="ICV">
    <vt:lpwstr>121CB157F8A544448D97C49F782C0195_12</vt:lpwstr>
  </property>
</Properties>
</file>