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12.png" ContentType="image/png"/>
  <Override PartName="/word/media/rId20.png" ContentType="image/png"/>
  <Override PartName="/word/media/rId23.png" ContentType="image/png"/>
  <Override PartName="/word/media/rId27.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 206 Final Project: Japan</w:t>
      </w:r>
    </w:p>
    <w:p>
      <w:pPr>
        <w:pStyle w:val="Author"/>
      </w:pPr>
      <w:r>
        <w:t xml:space="preserve">Adam</w:t>
      </w:r>
    </w:p>
    <w:bookmarkStart w:id="9" w:name="question-1"/>
    <w:p>
      <w:pPr>
        <w:pStyle w:val="Heading2"/>
      </w:pPr>
      <w:r>
        <w:t xml:space="preserve">Question 1</w:t>
      </w:r>
    </w:p>
    <w:p>
      <w:pPr>
        <w:pStyle w:val="FirstParagraph"/>
      </w:pPr>
      <w:r>
        <w:t xml:space="preserve">The country of choice is</w:t>
      </w:r>
      <w:r>
        <w:t xml:space="preserve"> </w:t>
      </w:r>
      <w:r>
        <w:rPr>
          <w:b/>
          <w:bCs/>
        </w:rPr>
        <w:t xml:space="preserve">Japan</w:t>
      </w:r>
      <w:r>
        <w:t xml:space="preserve">. The first year in the sampled period is</w:t>
      </w:r>
      <w:r>
        <w:t xml:space="preserve"> </w:t>
      </w:r>
      <w:r>
        <w:rPr>
          <w:b/>
          <w:bCs/>
        </w:rPr>
        <w:t xml:space="preserve">1976</w:t>
      </w:r>
      <w:r>
        <w:t xml:space="preserve">, the last year is</w:t>
      </w:r>
      <w:r>
        <w:t xml:space="preserve"> </w:t>
      </w:r>
      <w:r>
        <w:rPr>
          <w:b/>
          <w:bCs/>
        </w:rPr>
        <w:t xml:space="preserve">2023</w:t>
      </w:r>
      <w:r>
        <w:t xml:space="preserve">, and the dataset contains</w:t>
      </w:r>
      <w:r>
        <w:t xml:space="preserve"> </w:t>
      </w:r>
      <w:r>
        <w:rPr>
          <w:b/>
          <w:bCs/>
        </w:rPr>
        <w:t xml:space="preserve">48 yearly observations</w:t>
      </w:r>
      <w:r>
        <w:t xml:space="preserve">. Following the assignment, I treat 1976 as period</w:t>
      </w:r>
      <w:r>
        <w:t xml:space="preserve"> </w:t>
      </w:r>
      <w:r>
        <w:rPr>
          <w:rStyle w:val="VerbatimChar"/>
        </w:rPr>
        <w:t xml:space="preserve">t = 0</w:t>
      </w:r>
      <w:r>
        <w:t xml:space="preserve">.</w:t>
      </w:r>
    </w:p>
    <w:bookmarkEnd w:id="9"/>
    <w:bookmarkStart w:id="10" w:name="question-2"/>
    <w:p>
      <w:pPr>
        <w:pStyle w:val="Heading2"/>
      </w:pPr>
      <w:r>
        <w:t xml:space="preserve">Question 2</w:t>
      </w:r>
    </w:p>
    <w:p>
      <w:pPr>
        <w:pStyle w:val="FirstParagraph"/>
      </w:pPr>
      <w:r>
        <w:t xml:space="preserve">The production function in the prompt is</w:t>
      </w:r>
    </w:p>
    <w:p>
      <w:pPr>
        <w:pStyle w:val="BodyText"/>
      </w:pPr>
      <m:oMathPara>
        <m:oMathParaPr>
          <m:jc m:val="center"/>
        </m:oMathParaPr>
        <m:oMath>
          <m:sSub>
            <m:e>
              <m:r>
                <m:t>Y</m:t>
              </m:r>
            </m:e>
            <m:sub>
              <m:r>
                <m:t>t</m:t>
              </m:r>
            </m:sub>
          </m:sSub>
          <m:r>
            <m:rPr>
              <m:sty m:val="p"/>
            </m:rPr>
            <m:t>=</m:t>
          </m:r>
          <m:sSub>
            <m:e>
              <m:r>
                <m:t>A</m:t>
              </m:r>
            </m:e>
            <m:sub>
              <m:r>
                <m:t>t</m:t>
              </m:r>
            </m:sub>
          </m:sSub>
          <m:sSubSup>
            <m:e>
              <m:r>
                <m:t>K</m:t>
              </m:r>
            </m:e>
            <m:sub>
              <m:r>
                <m:t>t</m:t>
              </m:r>
            </m:sub>
            <m:sup>
              <m:r>
                <m:t>α</m:t>
              </m:r>
            </m:sup>
          </m:sSubSup>
          <m:sSubSup>
            <m:e>
              <m:r>
                <m:t>L</m:t>
              </m:r>
            </m:e>
            <m:sub>
              <m:r>
                <m:t>t</m:t>
              </m:r>
            </m:sub>
            <m:sup>
              <m:r>
                <m:t>1</m:t>
              </m:r>
              <m:r>
                <m:rPr>
                  <m:sty m:val="p"/>
                </m:rPr>
                <m:t>−</m:t>
              </m:r>
              <m:r>
                <m:t>α</m:t>
              </m:r>
            </m:sup>
          </m:sSubSup>
          <m:r>
            <m:rPr>
              <m:sty m:val="p"/>
            </m:rPr>
            <m:t>.</m:t>
          </m:r>
        </m:oMath>
      </m:oMathPara>
    </w:p>
    <w:p>
      <w:pPr>
        <w:pStyle w:val="FirstParagraph"/>
      </w:pPr>
      <w:r>
        <w:t xml:space="preserve">Dividing both sides by population or labor,</w:t>
      </w:r>
      <w:r>
        <w:t xml:space="preserve"> </w:t>
      </w:r>
      <m:oMath>
        <m:sSub>
          <m:e>
            <m:r>
              <m:t>L</m:t>
            </m:r>
          </m:e>
          <m:sub>
            <m:r>
              <m:t>t</m:t>
            </m:r>
          </m:sub>
        </m:sSub>
      </m:oMath>
      <w:r>
        <w:t xml:space="preserve">, gives per-capita output:</w:t>
      </w:r>
    </w:p>
    <w:p>
      <w:pPr>
        <w:pStyle w:val="BodyText"/>
      </w:pPr>
      <m:oMathPara>
        <m:oMathParaPr>
          <m:jc m:val="center"/>
        </m:oMathParaPr>
        <m:oMath>
          <m:f>
            <m:fPr>
              <m:type m:val="bar"/>
            </m:fPr>
            <m:num>
              <m:sSub>
                <m:e>
                  <m:r>
                    <m:t>Y</m:t>
                  </m:r>
                </m:e>
                <m:sub>
                  <m:r>
                    <m:t>t</m:t>
                  </m:r>
                </m:sub>
              </m:sSub>
            </m:num>
            <m:den>
              <m:sSub>
                <m:e>
                  <m:r>
                    <m:t>L</m:t>
                  </m:r>
                </m:e>
                <m:sub>
                  <m:r>
                    <m:t>t</m:t>
                  </m:r>
                </m:sub>
              </m:sSub>
            </m:den>
          </m:f>
          <m:r>
            <m:rPr>
              <m:sty m:val="p"/>
            </m:rPr>
            <m:t>=</m:t>
          </m:r>
          <m:sSub>
            <m:e>
              <m:r>
                <m:t>A</m:t>
              </m:r>
            </m:e>
            <m:sub>
              <m:r>
                <m:t>t</m:t>
              </m:r>
            </m:sub>
          </m:sSub>
          <m:f>
            <m:fPr>
              <m:type m:val="bar"/>
            </m:fPr>
            <m:num>
              <m:sSubSup>
                <m:e>
                  <m:r>
                    <m:t>K</m:t>
                  </m:r>
                </m:e>
                <m:sub>
                  <m:r>
                    <m:t>t</m:t>
                  </m:r>
                </m:sub>
                <m:sup>
                  <m:r>
                    <m:t>α</m:t>
                  </m:r>
                </m:sup>
              </m:sSubSup>
              <m:sSubSup>
                <m:e>
                  <m:r>
                    <m:t>L</m:t>
                  </m:r>
                </m:e>
                <m:sub>
                  <m:r>
                    <m:t>t</m:t>
                  </m:r>
                </m:sub>
                <m:sup>
                  <m:r>
                    <m:t>1</m:t>
                  </m:r>
                  <m:r>
                    <m:rPr>
                      <m:sty m:val="p"/>
                    </m:rPr>
                    <m:t>−</m:t>
                  </m:r>
                  <m:r>
                    <m:t>α</m:t>
                  </m:r>
                </m:sup>
              </m:sSubSup>
            </m:num>
            <m:den>
              <m:sSub>
                <m:e>
                  <m:r>
                    <m:t>L</m:t>
                  </m:r>
                </m:e>
                <m:sub>
                  <m:r>
                    <m:t>t</m:t>
                  </m:r>
                </m:sub>
              </m:sSub>
            </m:den>
          </m:f>
          <m:r>
            <m:rPr>
              <m:sty m:val="p"/>
            </m:rPr>
            <m:t>=</m:t>
          </m:r>
          <m:sSub>
            <m:e>
              <m:r>
                <m:t>A</m:t>
              </m:r>
            </m:e>
            <m:sub>
              <m:r>
                <m:t>t</m:t>
              </m:r>
            </m:sub>
          </m:sSub>
          <m:sSubSup>
            <m:e>
              <m:r>
                <m:t>K</m:t>
              </m:r>
            </m:e>
            <m:sub>
              <m:r>
                <m:t>t</m:t>
              </m:r>
            </m:sub>
            <m:sup>
              <m:r>
                <m:t>α</m:t>
              </m:r>
            </m:sup>
          </m:sSubSup>
          <m:sSubSup>
            <m:e>
              <m:r>
                <m:t>L</m:t>
              </m:r>
            </m:e>
            <m:sub>
              <m:r>
                <m:t>t</m:t>
              </m:r>
            </m:sub>
            <m:sup>
              <m:r>
                <m:rPr>
                  <m:sty m:val="p"/>
                </m:rPr>
                <m:t>−</m:t>
              </m:r>
              <m:r>
                <m:t>α</m:t>
              </m:r>
            </m:sup>
          </m:sSubSup>
          <m:r>
            <m:rPr>
              <m:sty m:val="p"/>
            </m:rPr>
            <m:t>.</m:t>
          </m:r>
        </m:oMath>
      </m:oMathPara>
    </w:p>
    <w:p>
      <w:pPr>
        <w:pStyle w:val="FirstParagraph"/>
      </w:pPr>
      <w:r>
        <w:t xml:space="preserve">Since per-capita capital is</w:t>
      </w:r>
    </w:p>
    <w:p>
      <w:pPr>
        <w:pStyle w:val="BodyText"/>
      </w:pPr>
      <m:oMathPara>
        <m:oMathParaPr>
          <m:jc m:val="center"/>
        </m:oMathParaPr>
        <m:oMath>
          <m:sSub>
            <m:e>
              <m:r>
                <m:t>k</m:t>
              </m:r>
            </m:e>
            <m:sub>
              <m:r>
                <m:t>t</m:t>
              </m:r>
            </m:sub>
          </m:sSub>
          <m:r>
            <m:rPr>
              <m:sty m:val="p"/>
            </m:rPr>
            <m:t>=</m:t>
          </m:r>
          <m:f>
            <m:fPr>
              <m:type m:val="bar"/>
            </m:fPr>
            <m:num>
              <m:sSub>
                <m:e>
                  <m:r>
                    <m:t>K</m:t>
                  </m:r>
                </m:e>
                <m:sub>
                  <m:r>
                    <m:t>t</m:t>
                  </m:r>
                </m:sub>
              </m:sSub>
            </m:num>
            <m:den>
              <m:sSub>
                <m:e>
                  <m:r>
                    <m:t>L</m:t>
                  </m:r>
                </m:e>
                <m:sub>
                  <m:r>
                    <m:t>t</m:t>
                  </m:r>
                </m:sub>
              </m:sSub>
            </m:den>
          </m:f>
          <m:r>
            <m:rPr>
              <m:sty m:val="p"/>
            </m:rPr>
            <m:t>,</m:t>
          </m:r>
        </m:oMath>
      </m:oMathPara>
    </w:p>
    <w:p>
      <w:pPr>
        <w:pStyle w:val="FirstParagraph"/>
      </w:pPr>
      <w:r>
        <w:t xml:space="preserve">the per-capita production function is</w:t>
      </w:r>
    </w:p>
    <w:p>
      <w:pPr>
        <w:pStyle w:val="BodyText"/>
      </w:pPr>
      <m:oMathPara>
        <m:oMathParaPr>
          <m:jc m:val="center"/>
        </m:oMathParaPr>
        <m:oMath>
          <m:sSub>
            <m:e>
              <m:r>
                <m:t>y</m:t>
              </m:r>
            </m:e>
            <m:sub>
              <m:r>
                <m:t>t</m:t>
              </m:r>
            </m:sub>
          </m:sSub>
          <m:r>
            <m:rPr>
              <m:sty m:val="p"/>
            </m:rPr>
            <m:t>=</m:t>
          </m:r>
          <m:r>
            <m:t>f</m:t>
          </m:r>
          <m:r>
            <m:rPr>
              <m:sty m:val="p"/>
            </m:rPr>
            <m:t>(</m:t>
          </m:r>
          <m:sSub>
            <m:e>
              <m:r>
                <m:t>k</m:t>
              </m:r>
            </m:e>
            <m:sub>
              <m:r>
                <m:t>t</m:t>
              </m:r>
            </m:sub>
          </m:sSub>
          <m:r>
            <m:rPr>
              <m:sty m:val="p"/>
            </m:rPr>
            <m:t>)</m:t>
          </m:r>
          <m:r>
            <m:rPr>
              <m:sty m:val="p"/>
            </m:rPr>
            <m:t>=</m:t>
          </m:r>
          <m:sSub>
            <m:e>
              <m:r>
                <m:t>A</m:t>
              </m:r>
            </m:e>
            <m:sub>
              <m:r>
                <m:t>t</m:t>
              </m:r>
            </m:sub>
          </m:sSub>
          <m:sSubSup>
            <m:e>
              <m:r>
                <m:t>k</m:t>
              </m:r>
            </m:e>
            <m:sub>
              <m:r>
                <m:t>t</m:t>
              </m:r>
            </m:sub>
            <m:sup>
              <m:r>
                <m:t>α</m:t>
              </m:r>
            </m:sup>
          </m:sSubSup>
          <m:r>
            <m:rPr>
              <m:sty m:val="p"/>
            </m:rPr>
            <m:t>.</m:t>
          </m:r>
        </m:oMath>
      </m:oMathPara>
    </w:p>
    <w:p>
      <w:pPr>
        <w:pStyle w:val="FirstParagraph"/>
      </w:pPr>
      <w:r>
        <w:t xml:space="preserve">This is the Solow-model relationship I use in the rest of the project.</w:t>
      </w:r>
    </w:p>
    <w:bookmarkEnd w:id="10"/>
    <w:bookmarkStart w:id="11" w:name="question-3"/>
    <w:p>
      <w:pPr>
        <w:pStyle w:val="Heading2"/>
      </w:pPr>
      <w:r>
        <w:t xml:space="preserve">Question 3</w:t>
      </w:r>
    </w:p>
    <w:p>
      <w:pPr>
        <w:pStyle w:val="FirstParagraph"/>
      </w:pPr>
      <w:r>
        <w:t xml:space="preserve">Using Japan’s data from 1976 to 2023, the sample averages are: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right"/>
            </w:pPr>
            <w:r>
              <w:t xml:space="preserve">Value</w:t>
            </w:r>
          </w:p>
        </w:tc>
      </w:tr>
      <w:tr>
        <w:tc>
          <w:tcPr/>
          <w:p>
            <w:pPr>
              <w:pStyle w:val="Compact"/>
              <w:jc w:val="left"/>
            </w:pPr>
            <w:r>
              <w:t xml:space="preserve">Population growth, n</w:t>
            </w:r>
          </w:p>
        </w:tc>
        <w:tc>
          <w:tcPr/>
          <w:p>
            <w:pPr>
              <w:pStyle w:val="Compact"/>
              <w:jc w:val="right"/>
            </w:pPr>
            <w:r>
              <w:t xml:space="preserve">0.001766</w:t>
            </w:r>
          </w:p>
        </w:tc>
      </w:tr>
      <w:tr>
        <w:tc>
          <w:tcPr/>
          <w:p>
            <w:pPr>
              <w:pStyle w:val="Compact"/>
              <w:jc w:val="left"/>
            </w:pPr>
            <w:r>
              <w:t xml:space="preserve">Depreciation, delta</w:t>
            </w:r>
          </w:p>
        </w:tc>
        <w:tc>
          <w:tcPr/>
          <w:p>
            <w:pPr>
              <w:pStyle w:val="Compact"/>
              <w:jc w:val="right"/>
            </w:pPr>
            <w:r>
              <w:t xml:space="preserve">0.037779</w:t>
            </w:r>
          </w:p>
        </w:tc>
      </w:tr>
      <w:tr>
        <w:tc>
          <w:tcPr/>
          <w:p>
            <w:pPr>
              <w:pStyle w:val="Compact"/>
              <w:jc w:val="left"/>
            </w:pPr>
            <w:r>
              <w:t xml:space="preserve">Saving rate, sigma</w:t>
            </w:r>
          </w:p>
        </w:tc>
        <w:tc>
          <w:tcPr/>
          <w:p>
            <w:pPr>
              <w:pStyle w:val="Compact"/>
              <w:jc w:val="right"/>
            </w:pPr>
            <w:r>
              <w:t xml:space="preserve">0.297699</w:t>
            </w:r>
          </w:p>
        </w:tc>
      </w:tr>
      <w:tr>
        <w:tc>
          <w:tcPr/>
          <w:p>
            <w:pPr>
              <w:pStyle w:val="Compact"/>
              <w:jc w:val="left"/>
            </w:pPr>
            <w:r>
              <w:t xml:space="preserve">Labor share, 1 - alpha</w:t>
            </w:r>
          </w:p>
        </w:tc>
        <w:tc>
          <w:tcPr/>
          <w:p>
            <w:pPr>
              <w:pStyle w:val="Compact"/>
              <w:jc w:val="right"/>
            </w:pPr>
            <w:r>
              <w:t xml:space="preserve">0.577921</w:t>
            </w:r>
          </w:p>
        </w:tc>
      </w:tr>
      <w:tr>
        <w:tc>
          <w:tcPr/>
          <w:p>
            <w:pPr>
              <w:pStyle w:val="Compact"/>
              <w:jc w:val="left"/>
            </w:pPr>
            <w:r>
              <w:t xml:space="preserve">Capital share, alpha</w:t>
            </w:r>
          </w:p>
        </w:tc>
        <w:tc>
          <w:tcPr/>
          <w:p>
            <w:pPr>
              <w:pStyle w:val="Compact"/>
              <w:jc w:val="right"/>
            </w:pPr>
            <w:r>
              <w:t xml:space="preserve">0.422079</w:t>
            </w:r>
          </w:p>
        </w:tc>
      </w:tr>
    </w:tbl>
    <w:p>
      <w:pPr>
        <w:pStyle w:val="BodyText"/>
      </w:pPr>
      <w:r>
        <w:t xml:space="preserve">So the key calibrated values are</w:t>
      </w:r>
    </w:p>
    <w:p>
      <w:pPr>
        <w:pStyle w:val="BodyText"/>
      </w:pPr>
      <m:oMathPara>
        <m:oMathParaPr>
          <m:jc m:val="center"/>
        </m:oMathParaPr>
        <m:oMath>
          <m:r>
            <m:t>n</m:t>
          </m:r>
          <m:r>
            <m:rPr>
              <m:sty m:val="p"/>
            </m:rPr>
            <m:t>=</m:t>
          </m:r>
          <m:r>
            <m:t>0.001766</m:t>
          </m:r>
          <m:r>
            <m:rPr>
              <m:sty m:val="p"/>
            </m:rPr>
            <m:t>,</m:t>
          </m:r>
          <m:r>
            <m:t>  </m:t>
          </m:r>
          <m:r>
            <m:t>δ</m:t>
          </m:r>
          <m:r>
            <m:rPr>
              <m:sty m:val="p"/>
            </m:rPr>
            <m:t>=</m:t>
          </m:r>
          <m:r>
            <m:t>0.037779</m:t>
          </m:r>
          <m:r>
            <m:rPr>
              <m:sty m:val="p"/>
            </m:rPr>
            <m:t>,</m:t>
          </m:r>
          <m:r>
            <m:t>  </m:t>
          </m:r>
          <m:r>
            <m:t>σ</m:t>
          </m:r>
          <m:r>
            <m:rPr>
              <m:sty m:val="p"/>
            </m:rPr>
            <m:t>=</m:t>
          </m:r>
          <m:r>
            <m:t>0.297699</m:t>
          </m:r>
          <m:r>
            <m:rPr>
              <m:sty m:val="p"/>
            </m:rPr>
            <m:t>,</m:t>
          </m:r>
          <m:r>
            <m:t>  </m:t>
          </m:r>
          <m:r>
            <m:t>1</m:t>
          </m:r>
          <m:r>
            <m:rPr>
              <m:sty m:val="p"/>
            </m:rPr>
            <m:t>−</m:t>
          </m:r>
          <m:r>
            <m:t>α</m:t>
          </m:r>
          <m:r>
            <m:rPr>
              <m:sty m:val="p"/>
            </m:rPr>
            <m:t>=</m:t>
          </m:r>
          <m:r>
            <m:t>0.577921</m:t>
          </m:r>
          <m:r>
            <m:rPr>
              <m:sty m:val="p"/>
            </m:rPr>
            <m:t>.</m:t>
          </m:r>
        </m:oMath>
      </m:oMathPara>
    </w:p>
    <w:p>
      <w:pPr>
        <w:pStyle w:val="FirstParagraph"/>
      </w:pPr>
      <w:r>
        <w:t xml:space="preserve">Equivalently,</w:t>
      </w:r>
    </w:p>
    <w:p>
      <w:pPr>
        <w:pStyle w:val="BodyText"/>
      </w:pPr>
      <m:oMathPara>
        <m:oMathParaPr>
          <m:jc m:val="center"/>
        </m:oMathParaPr>
        <m:oMath>
          <m:r>
            <m:t>α</m:t>
          </m:r>
          <m:r>
            <m:rPr>
              <m:sty m:val="p"/>
            </m:rPr>
            <m:t>=</m:t>
          </m:r>
          <m:r>
            <m:t>0.422079</m:t>
          </m:r>
          <m:r>
            <m:rPr>
              <m:sty m:val="p"/>
            </m:rPr>
            <m:t>.</m:t>
          </m:r>
        </m:oMath>
      </m:oMathPara>
    </w:p>
    <w:p>
      <w:pPr>
        <w:pStyle w:val="FirstParagraph"/>
      </w:pPr>
      <w:r>
        <w:t xml:space="preserve">Economically, these numbers describe Japan as a mature economy with very low population growth, moderate depreciation, and a relatively high average saving rate.</w:t>
      </w:r>
    </w:p>
    <w:bookmarkEnd w:id="11"/>
    <w:bookmarkStart w:id="15" w:name="question-4"/>
    <w:p>
      <w:pPr>
        <w:pStyle w:val="Heading2"/>
      </w:pPr>
      <w:r>
        <w:t xml:space="preserve">Question 4</w:t>
      </w:r>
    </w:p>
    <w:p>
      <w:pPr>
        <w:pStyle w:val="FirstParagraph"/>
      </w:pPr>
      <w:r>
        <w:t xml:space="preserve">Per-capita capital is constructed as</w:t>
      </w:r>
    </w:p>
    <w:p>
      <w:pPr>
        <w:pStyle w:val="BodyText"/>
      </w:pPr>
      <m:oMathPara>
        <m:oMathParaPr>
          <m:jc m:val="center"/>
        </m:oMathParaPr>
        <m:oMath>
          <m:sSubSup>
            <m:e>
              <m:r>
                <m:t>k</m:t>
              </m:r>
            </m:e>
            <m:sub>
              <m:r>
                <m:t>t</m:t>
              </m:r>
            </m:sub>
            <m:sup>
              <m:r>
                <m:t>D</m:t>
              </m:r>
              <m:r>
                <m:t>a</m:t>
              </m:r>
              <m:r>
                <m:t>t</m:t>
              </m:r>
              <m:r>
                <m:t>a</m:t>
              </m:r>
            </m:sup>
          </m:sSubSup>
          <m:r>
            <m:rPr>
              <m:sty m:val="p"/>
            </m:rPr>
            <m:t>=</m:t>
          </m:r>
          <m:f>
            <m:fPr>
              <m:type m:val="bar"/>
            </m:fPr>
            <m:num>
              <m:sSub>
                <m:e>
                  <m:r>
                    <m:t>K</m:t>
                  </m:r>
                </m:e>
                <m:sub>
                  <m:r>
                    <m:t>t</m:t>
                  </m:r>
                </m:sub>
              </m:sSub>
            </m:num>
            <m:den>
              <m:sSub>
                <m:e>
                  <m:r>
                    <m:t>L</m:t>
                  </m:r>
                </m:e>
                <m:sub>
                  <m:r>
                    <m:t>t</m:t>
                  </m:r>
                </m:sub>
              </m:sSub>
            </m:den>
          </m:f>
          <m:r>
            <m:rPr>
              <m:sty m:val="p"/>
            </m:rPr>
            <m:t>=</m:t>
          </m:r>
          <m:f>
            <m:fPr>
              <m:type m:val="bar"/>
            </m:fPr>
            <m:num>
              <m:sSub>
                <m:e>
                  <m:r>
                    <m:rPr>
                      <m:nor/>
                      <m:sty m:val="p"/>
                    </m:rPr>
                    <m:t>rnna</m:t>
                  </m:r>
                </m:e>
                <m:sub>
                  <m:r>
                    <m:t>t</m:t>
                  </m:r>
                </m:sub>
              </m:sSub>
            </m:num>
            <m:den>
              <m:sSub>
                <m:e>
                  <m:r>
                    <m:rPr>
                      <m:nor/>
                      <m:sty m:val="p"/>
                    </m:rPr>
                    <m:t>pop</m:t>
                  </m:r>
                </m:e>
                <m:sub>
                  <m:r>
                    <m:t>t</m:t>
                  </m:r>
                </m:sub>
              </m:sSub>
            </m:den>
          </m:f>
          <m:r>
            <m:rPr>
              <m:sty m:val="p"/>
            </m:rPr>
            <m:t>.</m:t>
          </m:r>
        </m:oMath>
      </m:oMathPara>
    </w:p>
    <w:p>
      <w:pPr>
        <w:pStyle w:val="FirstParagraph"/>
      </w:pPr>
      <w:r>
        <w:t xml:space="preserve">In the data, Japan’s capital stock per capita rises from 75,848 in 1976 to 241,205 in 2023.</w:t>
      </w:r>
    </w:p>
    <w:p>
      <w:pPr>
        <w:pStyle w:val="BodyText"/>
      </w:pPr>
      <w:r>
        <w:drawing>
          <wp:inline>
            <wp:extent cx="5334000" cy="4267200"/>
            <wp:effectExtent b="0" l="0" r="0" t="0"/>
            <wp:docPr descr="" title="" id="13" name="Picture"/>
            <a:graphic>
              <a:graphicData uri="http://schemas.openxmlformats.org/drawingml/2006/picture">
                <pic:pic>
                  <pic:nvPicPr>
                    <pic:cNvPr descr="japan_solow_report_files/figure-docx/unnamed-chunk-3-1.png" id="14" name="Picture"/>
                    <pic:cNvPicPr>
                      <a:picLocks noChangeArrowheads="1" noChangeAspect="1"/>
                    </pic:cNvPicPr>
                  </pic:nvPicPr>
                  <pic:blipFill>
                    <a:blip r:embed="rId1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The upward trend suggests substantial long-run capital deepening.</w:t>
      </w:r>
    </w:p>
    <w:bookmarkEnd w:id="15"/>
    <w:bookmarkStart w:id="16" w:name="question-5"/>
    <w:p>
      <w:pPr>
        <w:pStyle w:val="Heading2"/>
      </w:pPr>
      <w:r>
        <w:t xml:space="preserve">Question 5</w:t>
      </w:r>
    </w:p>
    <w:p>
      <w:pPr>
        <w:pStyle w:val="FirstParagraph"/>
      </w:pPr>
      <w:r>
        <w:t xml:space="preserve">The initial capital stock in the data is</w:t>
      </w:r>
    </w:p>
    <w:p>
      <w:pPr>
        <w:pStyle w:val="BodyText"/>
      </w:pPr>
      <m:oMathPara>
        <m:oMathParaPr>
          <m:jc m:val="center"/>
        </m:oMathParaPr>
        <m:oMath>
          <m:sSubSup>
            <m:e>
              <m:r>
                <m:t>k</m:t>
              </m:r>
            </m:e>
            <m:sub>
              <m:r>
                <m:t>0</m:t>
              </m:r>
            </m:sub>
            <m:sup>
              <m:r>
                <m:t>D</m:t>
              </m:r>
              <m:r>
                <m:t>a</m:t>
              </m:r>
              <m:r>
                <m:t>t</m:t>
              </m:r>
              <m:r>
                <m:t>a</m:t>
              </m:r>
            </m:sup>
          </m:sSubSup>
          <m:r>
            <m:rPr>
              <m:sty m:val="p"/>
            </m:rPr>
            <m:t>=</m:t>
          </m:r>
          <m:r>
            <m:t>75</m:t>
          </m:r>
          <m:r>
            <m:rPr>
              <m:sty m:val="p"/>
            </m:rPr>
            <m:t>,</m:t>
          </m:r>
          <m:r>
            <m:t>847.6944</m:t>
          </m:r>
          <m:r>
            <m:rPr>
              <m:sty m:val="p"/>
            </m:rPr>
            <m:t>.</m:t>
          </m:r>
        </m:oMath>
      </m:oMathPara>
    </w:p>
    <w:p>
      <w:pPr>
        <w:pStyle w:val="FirstParagraph"/>
      </w:pPr>
      <w:r>
        <w:t xml:space="preserve">With</w:t>
      </w:r>
      <w:r>
        <w:t xml:space="preserve"> </w:t>
      </w:r>
      <m:oMath>
        <m:sSub>
          <m:e>
            <m:r>
              <m:t>A</m:t>
            </m:r>
          </m:e>
          <m:sub>
            <m:r>
              <m:t>0</m:t>
            </m:r>
          </m:sub>
        </m:sSub>
        <m:r>
          <m:rPr>
            <m:sty m:val="p"/>
          </m:rPr>
          <m:t>=</m:t>
        </m:r>
        <m:r>
          <m:t>1</m:t>
        </m:r>
      </m:oMath>
      <w:r>
        <w:t xml:space="preserve">, the model-predicted period-0 values are</w:t>
      </w:r>
    </w:p>
    <w:p>
      <w:pPr>
        <w:pStyle w:val="BodyText"/>
      </w:pPr>
      <m:oMathPara>
        <m:oMathParaPr>
          <m:jc m:val="center"/>
        </m:oMathParaPr>
        <m:oMath>
          <m:sSubSup>
            <m:e>
              <m:r>
                <m:t>y</m:t>
              </m:r>
            </m:e>
            <m:sub>
              <m:r>
                <m:t>0</m:t>
              </m:r>
            </m:sub>
            <m:sup>
              <m:r>
                <m:t>M</m:t>
              </m:r>
              <m:r>
                <m:t>o</m:t>
              </m:r>
              <m:r>
                <m:t>d</m:t>
              </m:r>
              <m:r>
                <m:t>e</m:t>
              </m:r>
              <m:r>
                <m:t>l</m:t>
              </m:r>
            </m:sup>
          </m:sSubSup>
          <m:r>
            <m:rPr>
              <m:sty m:val="p"/>
            </m:rPr>
            <m:t>=</m:t>
          </m:r>
          <m:sSub>
            <m:e>
              <m:r>
                <m:t>A</m:t>
              </m:r>
            </m:e>
            <m:sub>
              <m:r>
                <m:t>0</m:t>
              </m:r>
            </m:sub>
          </m:sSub>
          <m:r>
            <m:rPr>
              <m:sty m:val="p"/>
            </m:rPr>
            <m:t>(</m:t>
          </m:r>
          <m:sSubSup>
            <m:e>
              <m:r>
                <m:t>k</m:t>
              </m:r>
            </m:e>
            <m:sub>
              <m:r>
                <m:t>0</m:t>
              </m:r>
            </m:sub>
            <m:sup>
              <m:r>
                <m:t>D</m:t>
              </m:r>
              <m:r>
                <m:t>a</m:t>
              </m:r>
              <m:r>
                <m:t>t</m:t>
              </m:r>
              <m:r>
                <m:t>a</m:t>
              </m:r>
            </m:sup>
          </m:sSubSup>
          <m:sSup>
            <m:e>
              <m:r>
                <m:rPr>
                  <m:sty m:val="p"/>
                </m:rPr>
                <m:t>)</m:t>
              </m:r>
            </m:e>
            <m:sup>
              <m:r>
                <m:t>α</m:t>
              </m:r>
            </m:sup>
          </m:sSup>
          <m:r>
            <m:rPr>
              <m:sty m:val="p"/>
            </m:rPr>
            <m:t>=</m:t>
          </m:r>
          <m:r>
            <m:t>114.7415</m:t>
          </m:r>
          <m:r>
            <m:rPr>
              <m:sty m:val="p"/>
            </m:rPr>
            <m:t>,</m:t>
          </m:r>
        </m:oMath>
      </m:oMathPara>
    </w:p>
    <w:p>
      <w:pPr>
        <w:pStyle w:val="FirstParagraph"/>
      </w:pPr>
      <m:oMathPara>
        <m:oMathParaPr>
          <m:jc m:val="center"/>
        </m:oMathParaPr>
        <m:oMath>
          <m:sSubSup>
            <m:e>
              <m:r>
                <m:t>s</m:t>
              </m:r>
            </m:e>
            <m:sub>
              <m:r>
                <m:t>0</m:t>
              </m:r>
            </m:sub>
            <m:sup>
              <m:r>
                <m:t>M</m:t>
              </m:r>
              <m:r>
                <m:t>o</m:t>
              </m:r>
              <m:r>
                <m:t>d</m:t>
              </m:r>
              <m:r>
                <m:t>e</m:t>
              </m:r>
              <m:r>
                <m:t>l</m:t>
              </m:r>
            </m:sup>
          </m:sSubSup>
          <m:r>
            <m:rPr>
              <m:sty m:val="p"/>
            </m:rPr>
            <m:t>=</m:t>
          </m:r>
          <m:r>
            <m:t>σ</m:t>
          </m:r>
          <m:sSubSup>
            <m:e>
              <m:r>
                <m:t>y</m:t>
              </m:r>
            </m:e>
            <m:sub>
              <m:r>
                <m:t>0</m:t>
              </m:r>
            </m:sub>
            <m:sup>
              <m:r>
                <m:t>M</m:t>
              </m:r>
              <m:r>
                <m:t>o</m:t>
              </m:r>
              <m:r>
                <m:t>d</m:t>
              </m:r>
              <m:r>
                <m:t>e</m:t>
              </m:r>
              <m:r>
                <m:t>l</m:t>
              </m:r>
            </m:sup>
          </m:sSubSup>
          <m:r>
            <m:rPr>
              <m:sty m:val="p"/>
            </m:rPr>
            <m:t>=</m:t>
          </m:r>
          <m:r>
            <m:t>34.1584</m:t>
          </m:r>
          <m:r>
            <m:rPr>
              <m:sty m:val="p"/>
            </m:rPr>
            <m:t>,</m:t>
          </m:r>
        </m:oMath>
      </m:oMathPara>
    </w:p>
    <w:p>
      <w:pPr>
        <w:pStyle w:val="FirstParagraph"/>
      </w:pPr>
      <m:oMathPara>
        <m:oMathParaPr>
          <m:jc m:val="center"/>
        </m:oMathParaPr>
        <m:oMath>
          <m:sSubSup>
            <m:e>
              <m:r>
                <m:t>c</m:t>
              </m:r>
            </m:e>
            <m:sub>
              <m:r>
                <m:t>0</m:t>
              </m:r>
            </m:sub>
            <m:sup>
              <m:r>
                <m:t>M</m:t>
              </m:r>
              <m:r>
                <m:t>o</m:t>
              </m:r>
              <m:r>
                <m:t>d</m:t>
              </m:r>
              <m:r>
                <m:t>e</m:t>
              </m:r>
              <m:r>
                <m:t>l</m:t>
              </m:r>
            </m:sup>
          </m:sSubSup>
          <m:r>
            <m:rPr>
              <m:sty m:val="p"/>
            </m:rPr>
            <m:t>=</m:t>
          </m:r>
          <m:r>
            <m:rPr>
              <m:sty m:val="p"/>
            </m:rPr>
            <m:t>(</m:t>
          </m:r>
          <m:r>
            <m:t>1</m:t>
          </m:r>
          <m:r>
            <m:rPr>
              <m:sty m:val="p"/>
            </m:rPr>
            <m:t>−</m:t>
          </m:r>
          <m:r>
            <m:t>σ</m:t>
          </m:r>
          <m:r>
            <m:rPr>
              <m:sty m:val="p"/>
            </m:rPr>
            <m:t>)</m:t>
          </m:r>
          <m:sSubSup>
            <m:e>
              <m:r>
                <m:t>y</m:t>
              </m:r>
            </m:e>
            <m:sub>
              <m:r>
                <m:t>0</m:t>
              </m:r>
            </m:sub>
            <m:sup>
              <m:r>
                <m:t>M</m:t>
              </m:r>
              <m:r>
                <m:t>o</m:t>
              </m:r>
              <m:r>
                <m:t>d</m:t>
              </m:r>
              <m:r>
                <m:t>e</m:t>
              </m:r>
              <m:r>
                <m:t>l</m:t>
              </m:r>
            </m:sup>
          </m:sSubSup>
          <m:r>
            <m:rPr>
              <m:sty m:val="p"/>
            </m:rPr>
            <m:t>=</m:t>
          </m:r>
          <m:r>
            <m:t>80.5830</m:t>
          </m:r>
          <m:r>
            <m:rPr>
              <m:sty m:val="p"/>
            </m:rPr>
            <m:t>,</m:t>
          </m:r>
        </m:oMath>
      </m:oMathPara>
    </w:p>
    <w:p>
      <w:pPr>
        <w:pStyle w:val="FirstParagraph"/>
      </w:pPr>
      <w:r>
        <w:t xml:space="preserve">and</w:t>
      </w:r>
    </w:p>
    <w:p>
      <w:pPr>
        <w:pStyle w:val="BodyText"/>
      </w:pPr>
      <m:oMathPara>
        <m:oMathParaPr>
          <m:jc m:val="center"/>
        </m:oMathParaPr>
        <m:oMath>
          <m:r>
            <m:rPr>
              <m:sty m:val="p"/>
            </m:rPr>
            <m:t>Δ</m:t>
          </m:r>
          <m:sSubSup>
            <m:e>
              <m:r>
                <m:t>k</m:t>
              </m:r>
            </m:e>
            <m:sub>
              <m:r>
                <m:t>0</m:t>
              </m:r>
            </m:sub>
            <m:sup>
              <m:r>
                <m:t>M</m:t>
              </m:r>
              <m:r>
                <m:t>o</m:t>
              </m:r>
              <m:r>
                <m:t>d</m:t>
              </m:r>
              <m:r>
                <m:t>e</m:t>
              </m:r>
              <m:r>
                <m:t>l</m:t>
              </m:r>
            </m:sup>
          </m:sSubSup>
          <m:r>
            <m:rPr>
              <m:sty m:val="p"/>
            </m:rPr>
            <m:t>=</m:t>
          </m:r>
          <m:r>
            <m:t>σ</m:t>
          </m:r>
          <m:sSubSup>
            <m:e>
              <m:r>
                <m:t>y</m:t>
              </m:r>
            </m:e>
            <m:sub>
              <m:r>
                <m:t>0</m:t>
              </m:r>
            </m:sub>
            <m:sup>
              <m:r>
                <m:t>M</m:t>
              </m:r>
              <m:r>
                <m:t>o</m:t>
              </m:r>
              <m:r>
                <m:t>d</m:t>
              </m:r>
              <m:r>
                <m:t>e</m:t>
              </m:r>
              <m:r>
                <m:t>l</m:t>
              </m:r>
            </m:sup>
          </m:sSubSup>
          <m:r>
            <m:rPr>
              <m:sty m:val="p"/>
            </m:rPr>
            <m:t>−</m:t>
          </m:r>
          <m:r>
            <m:rPr>
              <m:sty m:val="p"/>
            </m:rPr>
            <m:t>(</m:t>
          </m:r>
          <m:r>
            <m:t>δ</m:t>
          </m:r>
          <m:r>
            <m:rPr>
              <m:sty m:val="p"/>
            </m:rPr>
            <m:t>+</m:t>
          </m:r>
          <m:r>
            <m:t>n</m:t>
          </m:r>
          <m:r>
            <m:rPr>
              <m:sty m:val="p"/>
            </m:rPr>
            <m:t>)</m:t>
          </m:r>
          <m:sSubSup>
            <m:e>
              <m:r>
                <m:t>k</m:t>
              </m:r>
            </m:e>
            <m:sub>
              <m:r>
                <m:t>0</m:t>
              </m:r>
            </m:sub>
            <m:sup>
              <m:r>
                <m:t>D</m:t>
              </m:r>
              <m:r>
                <m:t>a</m:t>
              </m:r>
              <m:r>
                <m:t>t</m:t>
              </m:r>
              <m:r>
                <m:t>a</m:t>
              </m:r>
            </m:sup>
          </m:sSubSup>
          <m:r>
            <m:rPr>
              <m:sty m:val="p"/>
            </m:rPr>
            <m:t>=</m:t>
          </m:r>
          <m:r>
            <m:rPr>
              <m:sty m:val="p"/>
            </m:rPr>
            <m:t>−</m:t>
          </m:r>
          <m:r>
            <m:t>2</m:t>
          </m:r>
          <m:r>
            <m:rPr>
              <m:sty m:val="p"/>
            </m:rPr>
            <m:t>,</m:t>
          </m:r>
          <m:r>
            <m:t>965.2465</m:t>
          </m:r>
          <m:r>
            <m:rPr>
              <m:sty m:val="p"/>
            </m:rPr>
            <m:t>.</m:t>
          </m:r>
        </m:oMath>
      </m:oMathPara>
    </w:p>
    <w:p>
      <w:pPr>
        <w:pStyle w:val="FirstParagraph"/>
      </w:pPr>
      <w:r>
        <w:t xml:space="preserve">Since</w:t>
      </w:r>
      <w:r>
        <w:t xml:space="preserve"> </w:t>
      </w:r>
      <m:oMath>
        <m:r>
          <m:rPr>
            <m:sty m:val="p"/>
          </m:rPr>
          <m:t>Δ</m:t>
        </m:r>
        <m:sSubSup>
          <m:e>
            <m:r>
              <m:t>k</m:t>
            </m:r>
          </m:e>
          <m:sub>
            <m:r>
              <m:t>0</m:t>
            </m:r>
          </m:sub>
          <m:sup>
            <m:r>
              <m:t>M</m:t>
            </m:r>
            <m:r>
              <m:t>o</m:t>
            </m:r>
            <m:r>
              <m:t>d</m:t>
            </m:r>
            <m:r>
              <m:t>e</m:t>
            </m:r>
            <m:r>
              <m:t>l</m:t>
            </m:r>
          </m:sup>
        </m:sSubSup>
        <m:r>
          <m:rPr>
            <m:sty m:val="p"/>
          </m:rPr>
          <m:t>&lt;</m:t>
        </m:r>
        <m:r>
          <m:t>0</m:t>
        </m:r>
      </m:oMath>
      <w:r>
        <w:t xml:space="preserve">, capital accumulation is negative under the normalization</w:t>
      </w:r>
      <w:r>
        <w:t xml:space="preserve"> </w:t>
      </w:r>
      <m:oMath>
        <m:sSub>
          <m:e>
            <m:r>
              <m:t>A</m:t>
            </m:r>
          </m:e>
          <m:sub>
            <m:r>
              <m:t>0</m:t>
            </m:r>
          </m:sub>
        </m:sSub>
        <m:r>
          <m:rPr>
            <m:sty m:val="p"/>
          </m:rPr>
          <m:t>=</m:t>
        </m:r>
        <m:r>
          <m:t>1</m:t>
        </m:r>
      </m:oMath>
      <w:r>
        <w:t xml:space="preserve">. To ensure positive capital accumulation, we need</w:t>
      </w:r>
    </w:p>
    <w:p>
      <w:pPr>
        <w:pStyle w:val="BodyText"/>
      </w:pPr>
      <m:oMathPara>
        <m:oMathParaPr>
          <m:jc m:val="center"/>
        </m:oMathParaPr>
        <m:oMath>
          <m:sSub>
            <m:e>
              <m:r>
                <m:t>A</m:t>
              </m:r>
            </m:e>
            <m:sub>
              <m:r>
                <m:t>0</m:t>
              </m:r>
            </m:sub>
          </m:sSub>
          <m:r>
            <m:rPr>
              <m:sty m:val="p"/>
            </m:rPr>
            <m:t>&gt;</m:t>
          </m:r>
          <m:f>
            <m:fPr>
              <m:type m:val="bar"/>
            </m:fPr>
            <m:num>
              <m:r>
                <m:rPr>
                  <m:sty m:val="p"/>
                </m:rPr>
                <m:t>(</m:t>
              </m:r>
              <m:r>
                <m:t>δ</m:t>
              </m:r>
              <m:r>
                <m:rPr>
                  <m:sty m:val="p"/>
                </m:rPr>
                <m:t>+</m:t>
              </m:r>
              <m:r>
                <m:t>n</m:t>
              </m:r>
              <m:r>
                <m:rPr>
                  <m:sty m:val="p"/>
                </m:rPr>
                <m:t>)</m:t>
              </m:r>
              <m:sSubSup>
                <m:e>
                  <m:r>
                    <m:t>k</m:t>
                  </m:r>
                </m:e>
                <m:sub>
                  <m:r>
                    <m:t>0</m:t>
                  </m:r>
                </m:sub>
                <m:sup>
                  <m:r>
                    <m:t>D</m:t>
                  </m:r>
                  <m:r>
                    <m:t>a</m:t>
                  </m:r>
                  <m:r>
                    <m:t>t</m:t>
                  </m:r>
                  <m:r>
                    <m:t>a</m:t>
                  </m:r>
                </m:sup>
              </m:sSubSup>
            </m:num>
            <m:den>
              <m:r>
                <m:t>σ</m:t>
              </m:r>
              <m:r>
                <m:rPr>
                  <m:sty m:val="p"/>
                </m:rPr>
                <m:t>(</m:t>
              </m:r>
              <m:sSubSup>
                <m:e>
                  <m:r>
                    <m:t>k</m:t>
                  </m:r>
                </m:e>
                <m:sub>
                  <m:r>
                    <m:t>0</m:t>
                  </m:r>
                </m:sub>
                <m:sup>
                  <m:r>
                    <m:t>D</m:t>
                  </m:r>
                  <m:r>
                    <m:t>a</m:t>
                  </m:r>
                  <m:r>
                    <m:t>t</m:t>
                  </m:r>
                  <m:r>
                    <m:t>a</m:t>
                  </m:r>
                </m:sup>
              </m:sSubSup>
              <m:sSup>
                <m:e>
                  <m:r>
                    <m:rPr>
                      <m:sty m:val="p"/>
                    </m:rPr>
                    <m:t>)</m:t>
                  </m:r>
                </m:e>
                <m:sup>
                  <m:r>
                    <m:t>α</m:t>
                  </m:r>
                </m:sup>
              </m:sSup>
            </m:den>
          </m:f>
          <m:r>
            <m:rPr>
              <m:sty m:val="p"/>
            </m:rPr>
            <m:t>=</m:t>
          </m:r>
          <m:r>
            <m:t>87.8086</m:t>
          </m:r>
          <m:r>
            <m:rPr>
              <m:sty m:val="p"/>
            </m:rPr>
            <m:t>.</m:t>
          </m:r>
        </m:oMath>
      </m:oMathPara>
    </w:p>
    <w:p>
      <w:pPr>
        <w:pStyle w:val="FirstParagraph"/>
      </w:pPr>
      <w:r>
        <w:t xml:space="preserve">Therefore, the minimum integer that makes</w:t>
      </w:r>
      <w:r>
        <w:t xml:space="preserve"> </w:t>
      </w:r>
      <m:oMath>
        <m:r>
          <m:rPr>
            <m:sty m:val="p"/>
          </m:rPr>
          <m:t>Δ</m:t>
        </m:r>
        <m:sSubSup>
          <m:e>
            <m:r>
              <m:t>k</m:t>
            </m:r>
          </m:e>
          <m:sub>
            <m:r>
              <m:t>0</m:t>
            </m:r>
          </m:sub>
          <m:sup>
            <m:r>
              <m:t>M</m:t>
            </m:r>
            <m:r>
              <m:t>o</m:t>
            </m:r>
            <m:r>
              <m:t>d</m:t>
            </m:r>
            <m:r>
              <m:t>e</m:t>
            </m:r>
            <m:r>
              <m:t>l</m:t>
            </m:r>
          </m:sup>
        </m:sSubSup>
        <m:r>
          <m:rPr>
            <m:sty m:val="p"/>
          </m:rPr>
          <m:t>&gt;</m:t>
        </m:r>
        <m:r>
          <m:t>0</m:t>
        </m:r>
      </m:oMath>
      <w:r>
        <w:t xml:space="preserve"> </w:t>
      </w:r>
      <w:r>
        <w:t xml:space="preserve">is</w:t>
      </w:r>
    </w:p>
    <w:p>
      <w:pPr>
        <w:pStyle w:val="BodyText"/>
      </w:pPr>
      <m:oMathPara>
        <m:oMathParaPr>
          <m:jc m:val="center"/>
        </m:oMathParaPr>
        <m:oMath>
          <m:sSub>
            <m:e>
              <m:r>
                <m:t>A</m:t>
              </m:r>
            </m:e>
            <m:sub>
              <m:r>
                <m:t>0</m:t>
              </m:r>
            </m:sub>
          </m:sSub>
          <m:r>
            <m:rPr>
              <m:sty m:val="p"/>
            </m:rPr>
            <m:t>=</m:t>
          </m:r>
          <m:r>
            <m:t>88</m:t>
          </m:r>
          <m:r>
            <m:rPr>
              <m:sty m:val="p"/>
            </m:rPr>
            <m:t>.</m:t>
          </m:r>
        </m:oMath>
      </m:oMathPara>
    </w:p>
    <w:p>
      <w:pPr>
        <w:pStyle w:val="FirstParagraph"/>
      </w:pPr>
      <w:r>
        <w:t xml:space="preserve">Using this adjusted value, the revised period-0 model predictions are</w:t>
      </w:r>
    </w:p>
    <w:p>
      <w:pPr>
        <w:pStyle w:val="BodyText"/>
      </w:pPr>
      <m:oMathPara>
        <m:oMathParaPr>
          <m:jc m:val="center"/>
        </m:oMathParaPr>
        <m:oMath>
          <m:sSubSup>
            <m:e>
              <m:r>
                <m:t>y</m:t>
              </m:r>
            </m:e>
            <m:sub>
              <m:r>
                <m:t>0</m:t>
              </m:r>
            </m:sub>
            <m:sup>
              <m:r>
                <m:t>M</m:t>
              </m:r>
              <m:r>
                <m:t>o</m:t>
              </m:r>
              <m:r>
                <m:t>d</m:t>
              </m:r>
              <m:r>
                <m:t>e</m:t>
              </m:r>
              <m:r>
                <m:t>l</m:t>
              </m:r>
            </m:sup>
          </m:sSubSup>
          <m:r>
            <m:rPr>
              <m:sty m:val="p"/>
            </m:rPr>
            <m:t>=</m:t>
          </m:r>
          <m:r>
            <m:t>10</m:t>
          </m:r>
          <m:r>
            <m:rPr>
              <m:sty m:val="p"/>
            </m:rPr>
            <m:t>,</m:t>
          </m:r>
          <m:r>
            <m:t>097.2504</m:t>
          </m:r>
          <m:r>
            <m:rPr>
              <m:sty m:val="p"/>
            </m:rPr>
            <m:t>,</m:t>
          </m:r>
          <m:r>
            <m:t>  </m:t>
          </m:r>
          <m:sSubSup>
            <m:e>
              <m:r>
                <m:t>s</m:t>
              </m:r>
            </m:e>
            <m:sub>
              <m:r>
                <m:t>0</m:t>
              </m:r>
            </m:sub>
            <m:sup>
              <m:r>
                <m:t>M</m:t>
              </m:r>
              <m:r>
                <m:t>o</m:t>
              </m:r>
              <m:r>
                <m:t>d</m:t>
              </m:r>
              <m:r>
                <m:t>e</m:t>
              </m:r>
              <m:r>
                <m:t>l</m:t>
              </m:r>
            </m:sup>
          </m:sSubSup>
          <m:r>
            <m:rPr>
              <m:sty m:val="p"/>
            </m:rPr>
            <m:t>=</m:t>
          </m:r>
          <m:r>
            <m:t>3</m:t>
          </m:r>
          <m:r>
            <m:rPr>
              <m:sty m:val="p"/>
            </m:rPr>
            <m:t>,</m:t>
          </m:r>
          <m:r>
            <m:t>005.9433</m:t>
          </m:r>
          <m:r>
            <m:rPr>
              <m:sty m:val="p"/>
            </m:rPr>
            <m:t>,</m:t>
          </m:r>
          <m:r>
            <m:t>  </m:t>
          </m:r>
          <m:sSubSup>
            <m:e>
              <m:r>
                <m:t>c</m:t>
              </m:r>
            </m:e>
            <m:sub>
              <m:r>
                <m:t>0</m:t>
              </m:r>
            </m:sub>
            <m:sup>
              <m:r>
                <m:t>M</m:t>
              </m:r>
              <m:r>
                <m:t>o</m:t>
              </m:r>
              <m:r>
                <m:t>d</m:t>
              </m:r>
              <m:r>
                <m:t>e</m:t>
              </m:r>
              <m:r>
                <m:t>l</m:t>
              </m:r>
            </m:sup>
          </m:sSubSup>
          <m:r>
            <m:rPr>
              <m:sty m:val="p"/>
            </m:rPr>
            <m:t>=</m:t>
          </m:r>
          <m:r>
            <m:t>7</m:t>
          </m:r>
          <m:r>
            <m:rPr>
              <m:sty m:val="p"/>
            </m:rPr>
            <m:t>,</m:t>
          </m:r>
          <m:r>
            <m:t>091.3071</m:t>
          </m:r>
          <m:r>
            <m:rPr>
              <m:sty m:val="p"/>
            </m:rPr>
            <m:t>,</m:t>
          </m:r>
          <m:r>
            <m:t>  </m:t>
          </m:r>
          <m:r>
            <m:rPr>
              <m:sty m:val="p"/>
            </m:rPr>
            <m:t>Δ</m:t>
          </m:r>
          <m:sSubSup>
            <m:e>
              <m:r>
                <m:t>k</m:t>
              </m:r>
            </m:e>
            <m:sub>
              <m:r>
                <m:t>0</m:t>
              </m:r>
            </m:sub>
            <m:sup>
              <m:r>
                <m:t>M</m:t>
              </m:r>
              <m:r>
                <m:t>o</m:t>
              </m:r>
              <m:r>
                <m:t>d</m:t>
              </m:r>
              <m:r>
                <m:t>e</m:t>
              </m:r>
              <m:r>
                <m:t>l</m:t>
              </m:r>
            </m:sup>
          </m:sSubSup>
          <m:r>
            <m:rPr>
              <m:sty m:val="p"/>
            </m:rPr>
            <m:t>=</m:t>
          </m:r>
          <m:r>
            <m:t>6.5383</m:t>
          </m:r>
          <m:r>
            <m:rPr>
              <m:sty m:val="p"/>
            </m:rPr>
            <m:t>.</m:t>
          </m:r>
        </m:oMath>
      </m:oMathPara>
    </w:p>
    <w:p>
      <w:pPr>
        <w:pStyle w:val="FirstParagraph"/>
      </w:pPr>
      <w:r>
        <w:t xml:space="preserve">I use this minimum integer, $A_0 = 88, for the recursive model calculations below.</w:t>
      </w:r>
    </w:p>
    <w:bookmarkEnd w:id="16"/>
    <w:bookmarkStart w:id="17" w:name="question-6"/>
    <w:p>
      <w:pPr>
        <w:pStyle w:val="Heading2"/>
      </w:pPr>
      <w:r>
        <w:t xml:space="preserve">Question 6</w:t>
      </w:r>
    </w:p>
    <w:p>
      <w:pPr>
        <w:pStyle w:val="FirstParagraph"/>
      </w:pPr>
      <w:r>
        <w:t xml:space="preserve">The steady-state condition is</w:t>
      </w:r>
    </w:p>
    <w:p>
      <w:pPr>
        <w:pStyle w:val="BodyText"/>
      </w:pPr>
      <m:oMathPara>
        <m:oMathParaPr>
          <m:jc m:val="center"/>
        </m:oMathParaPr>
        <m:oMath>
          <m:r>
            <m:t>σ</m:t>
          </m:r>
          <m:r>
            <m:t>f</m:t>
          </m:r>
          <m:r>
            <m:rPr>
              <m:sty m:val="p"/>
            </m:rPr>
            <m:t>(</m:t>
          </m:r>
          <m:sSup>
            <m:e>
              <m:r>
                <m:t>k</m:t>
              </m:r>
            </m:e>
            <m:sup>
              <m:r>
                <m:rPr>
                  <m:sty m:val="p"/>
                </m:rPr>
                <m:t>*</m:t>
              </m:r>
            </m:sup>
          </m:sSup>
          <m:r>
            <m:rPr>
              <m:sty m:val="p"/>
            </m:rPr>
            <m:t>)</m:t>
          </m:r>
          <m:r>
            <m:rPr>
              <m:sty m:val="p"/>
            </m:rPr>
            <m:t>=</m:t>
          </m:r>
          <m:r>
            <m:rPr>
              <m:sty m:val="p"/>
            </m:rPr>
            <m:t>(</m:t>
          </m:r>
          <m:r>
            <m:t>n</m:t>
          </m:r>
          <m:r>
            <m:rPr>
              <m:sty m:val="p"/>
            </m:rPr>
            <m:t>+</m:t>
          </m:r>
          <m:r>
            <m:t>δ</m:t>
          </m:r>
          <m:r>
            <m:rPr>
              <m:sty m:val="p"/>
            </m:rPr>
            <m:t>)</m:t>
          </m:r>
          <m:sSup>
            <m:e>
              <m:r>
                <m:t>k</m:t>
              </m:r>
            </m:e>
            <m:sup>
              <m:r>
                <m:rPr>
                  <m:sty m:val="p"/>
                </m:rPr>
                <m:t>*</m:t>
              </m:r>
            </m:sup>
          </m:sSup>
          <m:r>
            <m:rPr>
              <m:sty m:val="p"/>
            </m:rPr>
            <m:t>.</m:t>
          </m:r>
        </m:oMath>
      </m:oMathPara>
    </w:p>
    <w:p>
      <w:pPr>
        <w:pStyle w:val="FirstParagraph"/>
      </w:pPr>
      <w:r>
        <w:t xml:space="preserve">Using the per-capita production function from Question 2,</w:t>
      </w:r>
      <w:r>
        <w:t xml:space="preserve"> </w:t>
      </w:r>
      <m:oMath>
        <m:r>
          <m:t>f</m:t>
        </m:r>
        <m:r>
          <m:rPr>
            <m:sty m:val="p"/>
          </m:rPr>
          <m:t>(</m:t>
        </m:r>
        <m:r>
          <m:t>k</m:t>
        </m:r>
        <m:r>
          <m:rPr>
            <m:sty m:val="p"/>
          </m:rPr>
          <m:t>)</m:t>
        </m:r>
        <m:r>
          <m:rPr>
            <m:sty m:val="p"/>
          </m:rPr>
          <m:t>=</m:t>
        </m:r>
        <m:r>
          <m:t>A</m:t>
        </m:r>
        <m:sSup>
          <m:e>
            <m:r>
              <m:t>k</m:t>
            </m:r>
          </m:e>
          <m:sup>
            <m:r>
              <m:t>α</m:t>
            </m:r>
          </m:sup>
        </m:sSup>
      </m:oMath>
      <w:r>
        <w:t xml:space="preserve">, we get</w:t>
      </w:r>
    </w:p>
    <w:p>
      <w:pPr>
        <w:pStyle w:val="BodyText"/>
      </w:pPr>
      <m:oMathPara>
        <m:oMathParaPr>
          <m:jc m:val="center"/>
        </m:oMathParaPr>
        <m:oMath>
          <m:r>
            <m:t>σ</m:t>
          </m:r>
          <m:r>
            <m:t>A</m:t>
          </m:r>
          <m:r>
            <m:rPr>
              <m:sty m:val="p"/>
            </m:rPr>
            <m:t>(</m:t>
          </m:r>
          <m:sSup>
            <m:e>
              <m:r>
                <m:t>k</m:t>
              </m:r>
            </m:e>
            <m:sup>
              <m:r>
                <m:rPr>
                  <m:sty m:val="p"/>
                </m:rPr>
                <m:t>*</m:t>
              </m:r>
            </m:sup>
          </m:sSup>
          <m:sSup>
            <m:e>
              <m:r>
                <m:rPr>
                  <m:sty m:val="p"/>
                </m:rPr>
                <m:t>)</m:t>
              </m:r>
            </m:e>
            <m:sup>
              <m:r>
                <m:t>α</m:t>
              </m:r>
            </m:sup>
          </m:sSup>
          <m:r>
            <m:rPr>
              <m:sty m:val="p"/>
            </m:rPr>
            <m:t>=</m:t>
          </m:r>
          <m:r>
            <m:rPr>
              <m:sty m:val="p"/>
            </m:rPr>
            <m:t>(</m:t>
          </m:r>
          <m:r>
            <m:t>n</m:t>
          </m:r>
          <m:r>
            <m:rPr>
              <m:sty m:val="p"/>
            </m:rPr>
            <m:t>+</m:t>
          </m:r>
          <m:r>
            <m:t>δ</m:t>
          </m:r>
          <m:r>
            <m:rPr>
              <m:sty m:val="p"/>
            </m:rPr>
            <m:t>)</m:t>
          </m:r>
          <m:sSup>
            <m:e>
              <m:r>
                <m:t>k</m:t>
              </m:r>
            </m:e>
            <m:sup>
              <m:r>
                <m:rPr>
                  <m:sty m:val="p"/>
                </m:rPr>
                <m:t>*</m:t>
              </m:r>
            </m:sup>
          </m:sSup>
          <m:r>
            <m:rPr>
              <m:sty m:val="p"/>
            </m:rPr>
            <m:t>.</m:t>
          </m:r>
        </m:oMath>
      </m:oMathPara>
    </w:p>
    <w:p>
      <w:pPr>
        <w:pStyle w:val="FirstParagraph"/>
      </w:pPr>
      <w:r>
        <w:t xml:space="preserve">Solving for</w:t>
      </w:r>
      <w:r>
        <w:t xml:space="preserve"> </w:t>
      </w:r>
      <m:oMath>
        <m:sSup>
          <m:e>
            <m:r>
              <m:t>k</m:t>
            </m:r>
          </m:e>
          <m:sup>
            <m:r>
              <m:rPr>
                <m:sty m:val="p"/>
              </m:rPr>
              <m:t>*</m:t>
            </m:r>
          </m:sup>
        </m:sSup>
      </m:oMath>
      <w:r>
        <w:t xml:space="preserve">:</w:t>
      </w:r>
    </w:p>
    <w:p>
      <w:pPr>
        <w:pStyle w:val="BodyText"/>
      </w:pPr>
      <m:oMathPara>
        <m:oMathParaPr>
          <m:jc m:val="center"/>
        </m:oMathParaPr>
        <m:oMath>
          <m:sSup>
            <m:e>
              <m:r>
                <m:t>k</m:t>
              </m:r>
            </m:e>
            <m:sup>
              <m:r>
                <m:rPr>
                  <m:sty m:val="p"/>
                </m:rPr>
                <m:t>*</m:t>
              </m:r>
            </m:sup>
          </m:sSup>
          <m:r>
            <m:rPr>
              <m:sty m:val="p"/>
            </m:rPr>
            <m:t>=</m:t>
          </m:r>
          <m:sSup>
            <m:e>
              <m:d>
                <m:dPr>
                  <m:begChr m:val="("/>
                  <m:sepChr m:val=""/>
                  <m:endChr m:val=")"/>
                  <m:grow/>
                </m:dPr>
                <m:e>
                  <m:f>
                    <m:fPr>
                      <m:type m:val="bar"/>
                    </m:fPr>
                    <m:num>
                      <m:r>
                        <m:t>σ</m:t>
                      </m:r>
                      <m:r>
                        <m:t>A</m:t>
                      </m:r>
                    </m:num>
                    <m:den>
                      <m:r>
                        <m:t>n</m:t>
                      </m:r>
                      <m:r>
                        <m:rPr>
                          <m:sty m:val="p"/>
                        </m:rPr>
                        <m:t>+</m:t>
                      </m:r>
                      <m:r>
                        <m:t>δ</m:t>
                      </m:r>
                    </m:den>
                  </m:f>
                </m:e>
              </m:d>
            </m:e>
            <m:sup>
              <m:f>
                <m:fPr>
                  <m:type m:val="bar"/>
                </m:fPr>
                <m:num>
                  <m:r>
                    <m:t>1</m:t>
                  </m:r>
                </m:num>
                <m:den>
                  <m:r>
                    <m:t>1</m:t>
                  </m:r>
                  <m:r>
                    <m:rPr>
                      <m:sty m:val="p"/>
                    </m:rPr>
                    <m:t>−</m:t>
                  </m:r>
                  <m:r>
                    <m:t>α</m:t>
                  </m:r>
                </m:den>
              </m:f>
            </m:sup>
          </m:sSup>
          <m:r>
            <m:rPr>
              <m:sty m:val="p"/>
            </m:rPr>
            <m:t>.</m:t>
          </m:r>
        </m:oMath>
      </m:oMathPara>
    </w:p>
    <w:p>
      <w:pPr>
        <w:pStyle w:val="FirstParagraph"/>
      </w:pPr>
      <w:r>
        <w:t xml:space="preserve">Using the adjusted technology level from Question 5, $A = 88, the theoretical steady-state capital stock per capita is</w:t>
      </w:r>
    </w:p>
    <w:p>
      <w:pPr>
        <w:pStyle w:val="BodyText"/>
      </w:pPr>
      <m:oMathPara>
        <m:oMathParaPr>
          <m:jc m:val="center"/>
        </m:oMathParaPr>
        <m:oMath>
          <m:sSup>
            <m:e>
              <m:r>
                <m:t>k</m:t>
              </m:r>
            </m:e>
            <m:sup>
              <m:r>
                <m:rPr>
                  <m:sty m:val="p"/>
                </m:rPr>
                <m:t>*</m:t>
              </m:r>
            </m:sup>
          </m:sSup>
          <m:r>
            <m:rPr>
              <m:sty m:val="p"/>
            </m:rPr>
            <m:t>=</m:t>
          </m:r>
          <m:sSup>
            <m:e>
              <m:d>
                <m:dPr>
                  <m:begChr m:val="("/>
                  <m:sepChr m:val=""/>
                  <m:endChr m:val=")"/>
                  <m:grow/>
                </m:dPr>
                <m:e>
                  <m:f>
                    <m:fPr>
                      <m:type m:val="bar"/>
                    </m:fPr>
                    <m:num>
                      <m:r>
                        <m:t>0.297699</m:t>
                      </m:r>
                      <m:r>
                        <m:rPr>
                          <m:sty m:val="p"/>
                        </m:rPr>
                        <m:t>×</m:t>
                      </m:r>
                      <m:r>
                        <m:t>88</m:t>
                      </m:r>
                    </m:num>
                    <m:den>
                      <m:r>
                        <m:t>0.039545</m:t>
                      </m:r>
                    </m:den>
                  </m:f>
                </m:e>
              </m:d>
            </m:e>
            <m:sup>
              <m:f>
                <m:fPr>
                  <m:type m:val="bar"/>
                </m:fPr>
                <m:num>
                  <m:r>
                    <m:t>1</m:t>
                  </m:r>
                </m:num>
                <m:den>
                  <m:r>
                    <m:t>1</m:t>
                  </m:r>
                  <m:r>
                    <m:rPr>
                      <m:sty m:val="p"/>
                    </m:rPr>
                    <m:t>−</m:t>
                  </m:r>
                  <m:r>
                    <m:t>0.422079</m:t>
                  </m:r>
                </m:den>
              </m:f>
            </m:sup>
          </m:sSup>
          <m:r>
            <m:rPr>
              <m:sty m:val="p"/>
            </m:rPr>
            <m:t>≈</m:t>
          </m:r>
          <m:r>
            <m:t>76</m:t>
          </m:r>
          <m:r>
            <m:rPr>
              <m:sty m:val="p"/>
            </m:rPr>
            <m:t>,</m:t>
          </m:r>
          <m:r>
            <m:t>134.0139</m:t>
          </m:r>
          <m:r>
            <m:rPr>
              <m:sty m:val="p"/>
            </m:rPr>
            <m:t>.</m:t>
          </m:r>
        </m:oMath>
      </m:oMathPara>
    </w:p>
    <w:p>
      <w:pPr>
        <w:pStyle w:val="FirstParagraph"/>
      </w:pPr>
      <w:r>
        <w:t xml:space="preserve">For reference, if one keeps the pure normalization</w:t>
      </w:r>
      <w:r>
        <w:t xml:space="preserve"> </w:t>
      </w:r>
      <m:oMath>
        <m:r>
          <m:t>A</m:t>
        </m:r>
        <m:r>
          <m:rPr>
            <m:sty m:val="p"/>
          </m:rPr>
          <m:t>=</m:t>
        </m:r>
        <m:r>
          <m:t>1</m:t>
        </m:r>
      </m:oMath>
      <w:r>
        <w:t xml:space="preserve">, then</w:t>
      </w:r>
    </w:p>
    <w:p>
      <w:pPr>
        <w:pStyle w:val="BodyText"/>
      </w:pPr>
      <m:oMathPara>
        <m:oMathParaPr>
          <m:jc m:val="center"/>
        </m:oMathParaPr>
        <m:oMath>
          <m:sSup>
            <m:e>
              <m:r>
                <m:t>k</m:t>
              </m:r>
            </m:e>
            <m:sup>
              <m:r>
                <m:rPr>
                  <m:sty m:val="p"/>
                </m:rPr>
                <m:t>*</m:t>
              </m:r>
            </m:sup>
          </m:sSup>
          <m:r>
            <m:rPr>
              <m:sty m:val="p"/>
            </m:rPr>
            <m:t>≈</m:t>
          </m:r>
          <m:r>
            <m:t>32.8824</m:t>
          </m:r>
          <m:r>
            <m:rPr>
              <m:sty m:val="p"/>
            </m:rPr>
            <m:t>.</m:t>
          </m:r>
        </m:oMath>
      </m:oMathPara>
    </w:p>
    <w:bookmarkEnd w:id="17"/>
    <w:bookmarkStart w:id="18" w:name="question-7"/>
    <w:p>
      <w:pPr>
        <w:pStyle w:val="Heading2"/>
      </w:pPr>
      <w:r>
        <w:t xml:space="preserve">Question 7</w:t>
      </w:r>
    </w:p>
    <w:p>
      <w:pPr>
        <w:pStyle w:val="FirstParagraph"/>
      </w:pPr>
      <w:r>
        <w:t xml:space="preserve">The Golden Rule capital stock satisfies</w:t>
      </w:r>
    </w:p>
    <w:p>
      <w:pPr>
        <w:pStyle w:val="BodyText"/>
      </w:pPr>
      <m:oMathPara>
        <m:oMathParaPr>
          <m:jc m:val="center"/>
        </m:oMathParaPr>
        <m:oMath>
          <m:sSup>
            <m:e>
              <m:r>
                <m:t>f</m:t>
              </m:r>
            </m:e>
            <m:sup>
              <m:r>
                <m:rPr>
                  <m:sty m:val="p"/>
                </m:rPr>
                <m:t>′</m:t>
              </m:r>
            </m:sup>
          </m:sSup>
          <m:r>
            <m:rPr>
              <m:sty m:val="p"/>
            </m:rPr>
            <m:t>(</m:t>
          </m:r>
          <m:sSub>
            <m:e>
              <m:r>
                <m:t>k</m:t>
              </m:r>
            </m:e>
            <m:sub>
              <m:r>
                <m:t>G</m:t>
              </m:r>
              <m:r>
                <m:t>R</m:t>
              </m:r>
            </m:sub>
          </m:sSub>
          <m:r>
            <m:rPr>
              <m:sty m:val="p"/>
            </m:rPr>
            <m:t>)</m:t>
          </m:r>
          <m:r>
            <m:rPr>
              <m:sty m:val="p"/>
            </m:rPr>
            <m:t>=</m:t>
          </m:r>
          <m:r>
            <m:t>n</m:t>
          </m:r>
          <m:r>
            <m:rPr>
              <m:sty m:val="p"/>
            </m:rPr>
            <m:t>+</m:t>
          </m:r>
          <m:r>
            <m:t>δ</m:t>
          </m:r>
          <m:r>
            <m:rPr>
              <m:sty m:val="p"/>
            </m:rPr>
            <m:t>.</m:t>
          </m:r>
        </m:oMath>
      </m:oMathPara>
    </w:p>
    <w:p>
      <w:pPr>
        <w:pStyle w:val="FirstParagraph"/>
      </w:pPr>
      <w:r>
        <w:t xml:space="preserve">Since</w:t>
      </w:r>
    </w:p>
    <w:p>
      <w:pPr>
        <w:pStyle w:val="BodyText"/>
      </w:pPr>
      <m:oMathPara>
        <m:oMathParaPr>
          <m:jc m:val="center"/>
        </m:oMathParaPr>
        <m:oMath>
          <m:r>
            <m:t>f</m:t>
          </m:r>
          <m:r>
            <m:rPr>
              <m:sty m:val="p"/>
            </m:rPr>
            <m:t>(</m:t>
          </m:r>
          <m:r>
            <m:t>k</m:t>
          </m:r>
          <m:r>
            <m:rPr>
              <m:sty m:val="p"/>
            </m:rPr>
            <m:t>)</m:t>
          </m:r>
          <m:r>
            <m:rPr>
              <m:sty m:val="p"/>
            </m:rPr>
            <m:t>=</m:t>
          </m:r>
          <m:r>
            <m:t>A</m:t>
          </m:r>
          <m:sSup>
            <m:e>
              <m:r>
                <m:t>k</m:t>
              </m:r>
            </m:e>
            <m:sup>
              <m:r>
                <m:t>α</m:t>
              </m:r>
            </m:sup>
          </m:sSup>
          <m:r>
            <m:rPr>
              <m:sty m:val="p"/>
            </m:rPr>
            <m:t>,</m:t>
          </m:r>
        </m:oMath>
      </m:oMathPara>
    </w:p>
    <w:p>
      <w:pPr>
        <w:pStyle w:val="FirstParagraph"/>
      </w:pPr>
      <w:r>
        <w:t xml:space="preserve">we have</w:t>
      </w:r>
    </w:p>
    <w:p>
      <w:pPr>
        <w:pStyle w:val="BodyText"/>
      </w:pPr>
      <m:oMathPara>
        <m:oMathParaPr>
          <m:jc m:val="center"/>
        </m:oMathParaPr>
        <m:oMath>
          <m:sSup>
            <m:e>
              <m:r>
                <m:t>f</m:t>
              </m:r>
            </m:e>
            <m:sup>
              <m:r>
                <m:rPr>
                  <m:sty m:val="p"/>
                </m:rPr>
                <m:t>′</m:t>
              </m:r>
            </m:sup>
          </m:sSup>
          <m:r>
            <m:rPr>
              <m:sty m:val="p"/>
            </m:rPr>
            <m:t>(</m:t>
          </m:r>
          <m:r>
            <m:t>k</m:t>
          </m:r>
          <m:r>
            <m:rPr>
              <m:sty m:val="p"/>
            </m:rPr>
            <m:t>)</m:t>
          </m:r>
          <m:r>
            <m:rPr>
              <m:sty m:val="p"/>
            </m:rPr>
            <m:t>=</m:t>
          </m:r>
          <m:r>
            <m:t>α</m:t>
          </m:r>
          <m:r>
            <m:t>A</m:t>
          </m:r>
          <m:sSup>
            <m:e>
              <m:r>
                <m:t>k</m:t>
              </m:r>
            </m:e>
            <m:sup>
              <m:r>
                <m:t>α</m:t>
              </m:r>
              <m:r>
                <m:rPr>
                  <m:sty m:val="p"/>
                </m:rPr>
                <m:t>−</m:t>
              </m:r>
              <m:r>
                <m:t>1</m:t>
              </m:r>
            </m:sup>
          </m:sSup>
          <m:r>
            <m:rPr>
              <m:sty m:val="p"/>
            </m:rPr>
            <m:t>.</m:t>
          </m:r>
        </m:oMath>
      </m:oMathPara>
    </w:p>
    <w:p>
      <w:pPr>
        <w:pStyle w:val="FirstParagraph"/>
      </w:pPr>
      <w:r>
        <w:t xml:space="preserve">Therefore,</w:t>
      </w:r>
    </w:p>
    <w:p>
      <w:pPr>
        <w:pStyle w:val="BodyText"/>
      </w:pPr>
      <m:oMathPara>
        <m:oMathParaPr>
          <m:jc m:val="center"/>
        </m:oMathParaPr>
        <m:oMath>
          <m:r>
            <m:t>α</m:t>
          </m:r>
          <m:r>
            <m:t>A</m:t>
          </m:r>
          <m:sSubSup>
            <m:e>
              <m:r>
                <m:t>k</m:t>
              </m:r>
            </m:e>
            <m:sub>
              <m:r>
                <m:t>G</m:t>
              </m:r>
              <m:r>
                <m:t>R</m:t>
              </m:r>
            </m:sub>
            <m:sup>
              <m:r>
                <m:t>α</m:t>
              </m:r>
              <m:r>
                <m:rPr>
                  <m:sty m:val="p"/>
                </m:rPr>
                <m:t>−</m:t>
              </m:r>
              <m:r>
                <m:t>1</m:t>
              </m:r>
            </m:sup>
          </m:sSubSup>
          <m:r>
            <m:rPr>
              <m:sty m:val="p"/>
            </m:rPr>
            <m:t>=</m:t>
          </m:r>
          <m:r>
            <m:t>n</m:t>
          </m:r>
          <m:r>
            <m:rPr>
              <m:sty m:val="p"/>
            </m:rPr>
            <m:t>+</m:t>
          </m:r>
          <m:r>
            <m:t>δ</m:t>
          </m:r>
          <m:r>
            <m:t> </m:t>
          </m:r>
          <m:r>
            <m:rPr>
              <m:sty m:val="p"/>
            </m:rPr>
            <m:t>⇒</m:t>
          </m:r>
          <m:r>
            <m:t> </m:t>
          </m:r>
          <m:sSub>
            <m:e>
              <m:r>
                <m:t>k</m:t>
              </m:r>
            </m:e>
            <m:sub>
              <m:r>
                <m:t>G</m:t>
              </m:r>
              <m:r>
                <m:t>R</m:t>
              </m:r>
            </m:sub>
          </m:sSub>
          <m:r>
            <m:rPr>
              <m:sty m:val="p"/>
            </m:rPr>
            <m:t>=</m:t>
          </m:r>
          <m:sSup>
            <m:e>
              <m:d>
                <m:dPr>
                  <m:begChr m:val="("/>
                  <m:sepChr m:val=""/>
                  <m:endChr m:val=")"/>
                  <m:grow/>
                </m:dPr>
                <m:e>
                  <m:f>
                    <m:fPr>
                      <m:type m:val="bar"/>
                    </m:fPr>
                    <m:num>
                      <m:r>
                        <m:t>α</m:t>
                      </m:r>
                      <m:r>
                        <m:t>A</m:t>
                      </m:r>
                    </m:num>
                    <m:den>
                      <m:r>
                        <m:t>n</m:t>
                      </m:r>
                      <m:r>
                        <m:rPr>
                          <m:sty m:val="p"/>
                        </m:rPr>
                        <m:t>+</m:t>
                      </m:r>
                      <m:r>
                        <m:t>δ</m:t>
                      </m:r>
                    </m:den>
                  </m:f>
                </m:e>
              </m:d>
            </m:e>
            <m:sup>
              <m:f>
                <m:fPr>
                  <m:type m:val="bar"/>
                </m:fPr>
                <m:num>
                  <m:r>
                    <m:t>1</m:t>
                  </m:r>
                </m:num>
                <m:den>
                  <m:r>
                    <m:t>1</m:t>
                  </m:r>
                  <m:r>
                    <m:rPr>
                      <m:sty m:val="p"/>
                    </m:rPr>
                    <m:t>−</m:t>
                  </m:r>
                  <m:r>
                    <m:t>α</m:t>
                  </m:r>
                </m:den>
              </m:f>
            </m:sup>
          </m:sSup>
          <m:r>
            <m:rPr>
              <m:sty m:val="p"/>
            </m:rPr>
            <m:t>.</m:t>
          </m:r>
        </m:oMath>
      </m:oMathPara>
    </w:p>
    <w:p>
      <w:pPr>
        <w:pStyle w:val="FirstParagraph"/>
      </w:pPr>
      <w:r>
        <w:t xml:space="preserve">Using $A = 88,</w:t>
      </w:r>
    </w:p>
    <w:p>
      <w:pPr>
        <w:pStyle w:val="BodyText"/>
      </w:pPr>
      <m:oMathPara>
        <m:oMathParaPr>
          <m:jc m:val="center"/>
        </m:oMathParaPr>
        <m:oMath>
          <m:sSub>
            <m:e>
              <m:r>
                <m:t>k</m:t>
              </m:r>
            </m:e>
            <m:sub>
              <m:r>
                <m:t>G</m:t>
              </m:r>
              <m:r>
                <m:t>R</m:t>
              </m:r>
            </m:sub>
          </m:sSub>
          <m:r>
            <m:rPr>
              <m:sty m:val="p"/>
            </m:rPr>
            <m:t>≈</m:t>
          </m:r>
          <m:r>
            <m:t>139</m:t>
          </m:r>
          <m:r>
            <m:rPr>
              <m:sty m:val="p"/>
            </m:rPr>
            <m:t>,</m:t>
          </m:r>
          <m:r>
            <m:t>291.8828</m:t>
          </m:r>
          <m:r>
            <m:rPr>
              <m:sty m:val="p"/>
            </m:rPr>
            <m:t>.</m:t>
          </m:r>
        </m:oMath>
      </m:oMathPara>
    </w:p>
    <w:p>
      <w:pPr>
        <w:pStyle w:val="FirstParagraph"/>
      </w:pPr>
      <w:r>
        <w:t xml:space="preserve">Because</w:t>
      </w:r>
    </w:p>
    <w:p>
      <w:pPr>
        <w:pStyle w:val="BodyText"/>
      </w:pPr>
      <m:oMathPara>
        <m:oMathParaPr>
          <m:jc m:val="center"/>
        </m:oMathParaPr>
        <m:oMath>
          <m:sSup>
            <m:e>
              <m:r>
                <m:t>k</m:t>
              </m:r>
            </m:e>
            <m:sup>
              <m:r>
                <m:rPr>
                  <m:sty m:val="p"/>
                </m:rPr>
                <m:t>*</m:t>
              </m:r>
            </m:sup>
          </m:sSup>
          <m:r>
            <m:rPr>
              <m:sty m:val="p"/>
            </m:rPr>
            <m:t>≈</m:t>
          </m:r>
          <m:r>
            <m:t>76</m:t>
          </m:r>
          <m:r>
            <m:rPr>
              <m:sty m:val="p"/>
            </m:rPr>
            <m:t>,</m:t>
          </m:r>
          <m:r>
            <m:t>134.0139</m:t>
          </m:r>
          <m:r>
            <m:rPr>
              <m:sty m:val="p"/>
            </m:rPr>
            <m:t>&lt;</m:t>
          </m:r>
          <m:sSub>
            <m:e>
              <m:r>
                <m:t>k</m:t>
              </m:r>
            </m:e>
            <m:sub>
              <m:r>
                <m:t>G</m:t>
              </m:r>
              <m:r>
                <m:t>R</m:t>
              </m:r>
            </m:sub>
          </m:sSub>
          <m:r>
            <m:rPr>
              <m:sty m:val="p"/>
            </m:rPr>
            <m:t>≈</m:t>
          </m:r>
          <m:r>
            <m:t>139</m:t>
          </m:r>
          <m:r>
            <m:rPr>
              <m:sty m:val="p"/>
            </m:rPr>
            <m:t>,</m:t>
          </m:r>
          <m:r>
            <m:t>291.8828</m:t>
          </m:r>
          <m:r>
            <m:rPr>
              <m:sty m:val="p"/>
            </m:rPr>
            <m:t>.</m:t>
          </m:r>
        </m:oMath>
      </m:oMathPara>
    </w:p>
    <w:p>
      <w:pPr>
        <w:pStyle w:val="FirstParagraph"/>
      </w:pPr>
      <w:r>
        <w:t xml:space="preserve">Japan is</w:t>
      </w:r>
      <w:r>
        <w:t xml:space="preserve"> </w:t>
      </w:r>
      <w:r>
        <w:rPr>
          <w:b/>
          <w:bCs/>
        </w:rPr>
        <w:t xml:space="preserve">below the Golden Rule</w:t>
      </w:r>
      <w:r>
        <w:t xml:space="preserve"> </w:t>
      </w:r>
      <w:r>
        <w:t xml:space="preserve">in this calibration. Economically, that means the model-implied steady state has less capital than the level that would maximize steady-state consumption per capita.</w:t>
      </w:r>
    </w:p>
    <w:bookmarkEnd w:id="18"/>
    <w:bookmarkStart w:id="19" w:name="question-8"/>
    <w:p>
      <w:pPr>
        <w:pStyle w:val="Heading2"/>
      </w:pPr>
      <w:r>
        <w:t xml:space="preserve">Question 8</w:t>
      </w:r>
    </w:p>
    <w:p>
      <w:pPr>
        <w:pStyle w:val="FirstParagraph"/>
      </w:pPr>
      <w:r>
        <w:t xml:space="preserve">Starting from</w:t>
      </w:r>
      <w:r>
        <w:t xml:space="preserve"> </w:t>
      </w:r>
      <m:oMath>
        <m:sSubSup>
          <m:e>
            <m:r>
              <m:t>k</m:t>
            </m:r>
          </m:e>
          <m:sub>
            <m:r>
              <m:t>0</m:t>
            </m:r>
          </m:sub>
          <m:sup>
            <m:r>
              <m:t>D</m:t>
            </m:r>
            <m:r>
              <m:t>a</m:t>
            </m:r>
            <m:r>
              <m:t>t</m:t>
            </m:r>
            <m:r>
              <m:t>a</m:t>
            </m:r>
          </m:sup>
        </m:sSubSup>
      </m:oMath>
      <w:r>
        <w:t xml:space="preserve"> </w:t>
      </w:r>
      <w:r>
        <w:t xml:space="preserve">and using</w:t>
      </w:r>
      <w:r>
        <w:t xml:space="preserve"> </w:t>
      </w:r>
      <m:oMath>
        <m:r>
          <m:rPr>
            <m:sty m:val="p"/>
          </m:rPr>
          <m:t>Δ</m:t>
        </m:r>
        <m:sSubSup>
          <m:e>
            <m:r>
              <m:t>k</m:t>
            </m:r>
          </m:e>
          <m:sub>
            <m:r>
              <m:t>0</m:t>
            </m:r>
          </m:sub>
          <m:sup>
            <m:r>
              <m:t>M</m:t>
            </m:r>
            <m:r>
              <m:t>o</m:t>
            </m:r>
            <m:r>
              <m:t>d</m:t>
            </m:r>
            <m:r>
              <m:t>e</m:t>
            </m:r>
            <m:r>
              <m:t>l</m:t>
            </m:r>
          </m:sup>
        </m:sSubSup>
      </m:oMath>
      <w:r>
        <w:t xml:space="preserve"> </w:t>
      </w:r>
      <w:r>
        <w:t xml:space="preserve">from Question 5, the recursive law of motion is</w:t>
      </w:r>
    </w:p>
    <w:p>
      <w:pPr>
        <w:pStyle w:val="BodyText"/>
      </w:pPr>
      <m:oMathPara>
        <m:oMathParaPr>
          <m:jc m:val="center"/>
        </m:oMathParaPr>
        <m:oMath>
          <m:sSubSup>
            <m:e>
              <m:r>
                <m:t>k</m:t>
              </m:r>
            </m:e>
            <m:sub>
              <m:r>
                <m:t>t</m:t>
              </m:r>
              <m:r>
                <m:rPr>
                  <m:sty m:val="p"/>
                </m:rPr>
                <m:t>+</m:t>
              </m:r>
              <m:r>
                <m:t>1</m:t>
              </m:r>
            </m:sub>
            <m:sup>
              <m:r>
                <m:t>M</m:t>
              </m:r>
              <m:r>
                <m:t>o</m:t>
              </m:r>
              <m:r>
                <m:t>d</m:t>
              </m:r>
              <m:r>
                <m:t>e</m:t>
              </m:r>
              <m:r>
                <m:t>l</m:t>
              </m:r>
            </m:sup>
          </m:sSubSup>
          <m:r>
            <m:rPr>
              <m:sty m:val="p"/>
            </m:rPr>
            <m:t>=</m:t>
          </m:r>
          <m:sSubSup>
            <m:e>
              <m:r>
                <m:t>k</m:t>
              </m:r>
            </m:e>
            <m:sub>
              <m:r>
                <m:t>t</m:t>
              </m:r>
            </m:sub>
            <m:sup>
              <m:r>
                <m:t>M</m:t>
              </m:r>
              <m:r>
                <m:t>o</m:t>
              </m:r>
              <m:r>
                <m:t>d</m:t>
              </m:r>
              <m:r>
                <m:t>e</m:t>
              </m:r>
              <m:r>
                <m:t>l</m:t>
              </m:r>
            </m:sup>
          </m:sSubSup>
          <m:r>
            <m:rPr>
              <m:sty m:val="p"/>
            </m:rPr>
            <m:t>+</m:t>
          </m:r>
          <m:r>
            <m:rPr>
              <m:sty m:val="p"/>
            </m:rPr>
            <m:t>Δ</m:t>
          </m:r>
          <m:sSubSup>
            <m:e>
              <m:r>
                <m:t>k</m:t>
              </m:r>
            </m:e>
            <m:sub>
              <m:r>
                <m:t>t</m:t>
              </m:r>
            </m:sub>
            <m:sup>
              <m:r>
                <m:t>M</m:t>
              </m:r>
              <m:r>
                <m:t>o</m:t>
              </m:r>
              <m:r>
                <m:t>d</m:t>
              </m:r>
              <m:r>
                <m:t>e</m:t>
              </m:r>
              <m:r>
                <m:t>l</m:t>
              </m:r>
            </m:sup>
          </m:sSubSup>
          <m:r>
            <m:rPr>
              <m:sty m:val="p"/>
            </m:rPr>
            <m:t>,</m:t>
          </m:r>
        </m:oMath>
      </m:oMathPara>
    </w:p>
    <w:p>
      <w:pPr>
        <w:pStyle w:val="FirstParagraph"/>
      </w:pPr>
      <w:r>
        <w:t xml:space="preserve">where</w:t>
      </w:r>
    </w:p>
    <w:p>
      <w:pPr>
        <w:pStyle w:val="BodyText"/>
      </w:pPr>
      <m:oMathPara>
        <m:oMathParaPr>
          <m:jc m:val="center"/>
        </m:oMathParaPr>
        <m:oMath>
          <m:r>
            <m:rPr>
              <m:sty m:val="p"/>
            </m:rPr>
            <m:t>Δ</m:t>
          </m:r>
          <m:sSubSup>
            <m:e>
              <m:r>
                <m:t>k</m:t>
              </m:r>
            </m:e>
            <m:sub>
              <m:r>
                <m:t>t</m:t>
              </m:r>
            </m:sub>
            <m:sup>
              <m:r>
                <m:t>M</m:t>
              </m:r>
              <m:r>
                <m:t>o</m:t>
              </m:r>
              <m:r>
                <m:t>d</m:t>
              </m:r>
              <m:r>
                <m:t>e</m:t>
              </m:r>
              <m:r>
                <m:t>l</m:t>
              </m:r>
            </m:sup>
          </m:sSubSup>
          <m:r>
            <m:rPr>
              <m:sty m:val="p"/>
            </m:rPr>
            <m:t>=</m:t>
          </m:r>
          <m:r>
            <m:t>σ</m:t>
          </m:r>
          <m:sSub>
            <m:e>
              <m:r>
                <m:t>A</m:t>
              </m:r>
            </m:e>
            <m:sub>
              <m:r>
                <m:t>0</m:t>
              </m:r>
            </m:sub>
          </m:sSub>
          <m:r>
            <m:rPr>
              <m:sty m:val="p"/>
            </m:rPr>
            <m:t>(</m:t>
          </m:r>
          <m:sSubSup>
            <m:e>
              <m:r>
                <m:t>k</m:t>
              </m:r>
            </m:e>
            <m:sub>
              <m:r>
                <m:t>t</m:t>
              </m:r>
            </m:sub>
            <m:sup>
              <m:r>
                <m:t>M</m:t>
              </m:r>
              <m:r>
                <m:t>o</m:t>
              </m:r>
              <m:r>
                <m:t>d</m:t>
              </m:r>
              <m:r>
                <m:t>e</m:t>
              </m:r>
              <m:r>
                <m:t>l</m:t>
              </m:r>
            </m:sup>
          </m:sSubSup>
          <m:sSup>
            <m:e>
              <m:r>
                <m:rPr>
                  <m:sty m:val="p"/>
                </m:rPr>
                <m:t>)</m:t>
              </m:r>
            </m:e>
            <m:sup>
              <m:r>
                <m:t>α</m:t>
              </m:r>
            </m:sup>
          </m:sSup>
          <m:r>
            <m:rPr>
              <m:sty m:val="p"/>
            </m:rPr>
            <m:t>−</m:t>
          </m:r>
          <m:r>
            <m:rPr>
              <m:sty m:val="p"/>
            </m:rPr>
            <m:t>(</m:t>
          </m:r>
          <m:r>
            <m:t>δ</m:t>
          </m:r>
          <m:r>
            <m:rPr>
              <m:sty m:val="p"/>
            </m:rPr>
            <m:t>+</m:t>
          </m:r>
          <m:r>
            <m:t>n</m:t>
          </m:r>
          <m:r>
            <m:rPr>
              <m:sty m:val="p"/>
            </m:rPr>
            <m:t>)</m:t>
          </m:r>
          <m:sSubSup>
            <m:e>
              <m:r>
                <m:t>k</m:t>
              </m:r>
            </m:e>
            <m:sub>
              <m:r>
                <m:t>t</m:t>
              </m:r>
            </m:sub>
            <m:sup>
              <m:r>
                <m:t>M</m:t>
              </m:r>
              <m:r>
                <m:t>o</m:t>
              </m:r>
              <m:r>
                <m:t>d</m:t>
              </m:r>
              <m:r>
                <m:t>e</m:t>
              </m:r>
              <m:r>
                <m:t>l</m:t>
              </m:r>
            </m:sup>
          </m:sSubSup>
          <m:r>
            <m:rPr>
              <m:sty m:val="p"/>
            </m:rPr>
            <m:t>.</m:t>
          </m:r>
        </m:oMath>
      </m:oMathPara>
    </w:p>
    <w:p>
      <w:pPr>
        <w:pStyle w:val="FirstParagraph"/>
      </w:pPr>
      <w:r>
        <w:t xml:space="preserve">For each year, I then compute</w:t>
      </w:r>
    </w:p>
    <w:p>
      <w:pPr>
        <w:pStyle w:val="BodyText"/>
      </w:pPr>
      <m:oMathPara>
        <m:oMathParaPr>
          <m:jc m:val="center"/>
        </m:oMathParaPr>
        <m:oMath>
          <m:sSubSup>
            <m:e>
              <m:r>
                <m:t>y</m:t>
              </m:r>
            </m:e>
            <m:sub>
              <m:r>
                <m:t>t</m:t>
              </m:r>
            </m:sub>
            <m:sup>
              <m:r>
                <m:t>M</m:t>
              </m:r>
              <m:r>
                <m:t>o</m:t>
              </m:r>
              <m:r>
                <m:t>d</m:t>
              </m:r>
              <m:r>
                <m:t>e</m:t>
              </m:r>
              <m:r>
                <m:t>l</m:t>
              </m:r>
            </m:sup>
          </m:sSubSup>
          <m:r>
            <m:rPr>
              <m:sty m:val="p"/>
            </m:rPr>
            <m:t>=</m:t>
          </m:r>
          <m:sSub>
            <m:e>
              <m:r>
                <m:t>A</m:t>
              </m:r>
            </m:e>
            <m:sub>
              <m:r>
                <m:t>0</m:t>
              </m:r>
            </m:sub>
          </m:sSub>
          <m:r>
            <m:rPr>
              <m:sty m:val="p"/>
            </m:rPr>
            <m:t>(</m:t>
          </m:r>
          <m:sSubSup>
            <m:e>
              <m:r>
                <m:t>k</m:t>
              </m:r>
            </m:e>
            <m:sub>
              <m:r>
                <m:t>t</m:t>
              </m:r>
            </m:sub>
            <m:sup>
              <m:r>
                <m:t>M</m:t>
              </m:r>
              <m:r>
                <m:t>o</m:t>
              </m:r>
              <m:r>
                <m:t>d</m:t>
              </m:r>
              <m:r>
                <m:t>e</m:t>
              </m:r>
              <m:r>
                <m:t>l</m:t>
              </m:r>
            </m:sup>
          </m:sSubSup>
          <m:sSup>
            <m:e>
              <m:r>
                <m:rPr>
                  <m:sty m:val="p"/>
                </m:rPr>
                <m:t>)</m:t>
              </m:r>
            </m:e>
            <m:sup>
              <m:r>
                <m:t>α</m:t>
              </m:r>
            </m:sup>
          </m:sSup>
          <m:r>
            <m:rPr>
              <m:sty m:val="p"/>
            </m:rPr>
            <m:t>,</m:t>
          </m:r>
          <m:r>
            <m:t>  </m:t>
          </m:r>
          <m:sSubSup>
            <m:e>
              <m:r>
                <m:t>s</m:t>
              </m:r>
            </m:e>
            <m:sub>
              <m:r>
                <m:t>t</m:t>
              </m:r>
            </m:sub>
            <m:sup>
              <m:r>
                <m:t>M</m:t>
              </m:r>
              <m:r>
                <m:t>o</m:t>
              </m:r>
              <m:r>
                <m:t>d</m:t>
              </m:r>
              <m:r>
                <m:t>e</m:t>
              </m:r>
              <m:r>
                <m:t>l</m:t>
              </m:r>
            </m:sup>
          </m:sSubSup>
          <m:r>
            <m:rPr>
              <m:sty m:val="p"/>
            </m:rPr>
            <m:t>=</m:t>
          </m:r>
          <m:r>
            <m:t>σ</m:t>
          </m:r>
          <m:sSubSup>
            <m:e>
              <m:r>
                <m:t>y</m:t>
              </m:r>
            </m:e>
            <m:sub>
              <m:r>
                <m:t>t</m:t>
              </m:r>
            </m:sub>
            <m:sup>
              <m:r>
                <m:t>M</m:t>
              </m:r>
              <m:r>
                <m:t>o</m:t>
              </m:r>
              <m:r>
                <m:t>d</m:t>
              </m:r>
              <m:r>
                <m:t>e</m:t>
              </m:r>
              <m:r>
                <m:t>l</m:t>
              </m:r>
            </m:sup>
          </m:sSubSup>
          <m:r>
            <m:rPr>
              <m:sty m:val="p"/>
            </m:rPr>
            <m:t>,</m:t>
          </m:r>
          <m:r>
            <m:t>  </m:t>
          </m:r>
          <m:sSubSup>
            <m:e>
              <m:r>
                <m:t>c</m:t>
              </m:r>
            </m:e>
            <m:sub>
              <m:r>
                <m:t>t</m:t>
              </m:r>
            </m:sub>
            <m:sup>
              <m:r>
                <m:t>M</m:t>
              </m:r>
              <m:r>
                <m:t>o</m:t>
              </m:r>
              <m:r>
                <m:t>d</m:t>
              </m:r>
              <m:r>
                <m:t>e</m:t>
              </m:r>
              <m:r>
                <m:t>l</m:t>
              </m:r>
            </m:sup>
          </m:sSubSup>
          <m:r>
            <m:rPr>
              <m:sty m:val="p"/>
            </m:rPr>
            <m:t>=</m:t>
          </m:r>
          <m:r>
            <m:rPr>
              <m:sty m:val="p"/>
            </m:rPr>
            <m:t>(</m:t>
          </m:r>
          <m:r>
            <m:t>1</m:t>
          </m:r>
          <m:r>
            <m:rPr>
              <m:sty m:val="p"/>
            </m:rPr>
            <m:t>−</m:t>
          </m:r>
          <m:r>
            <m:t>σ</m:t>
          </m:r>
          <m:r>
            <m:rPr>
              <m:sty m:val="p"/>
            </m:rPr>
            <m:t>)</m:t>
          </m:r>
          <m:sSubSup>
            <m:e>
              <m:r>
                <m:t>y</m:t>
              </m:r>
            </m:e>
            <m:sub>
              <m:r>
                <m:t>t</m:t>
              </m:r>
            </m:sub>
            <m:sup>
              <m:r>
                <m:t>M</m:t>
              </m:r>
              <m:r>
                <m:t>o</m:t>
              </m:r>
              <m:r>
                <m:t>d</m:t>
              </m:r>
              <m:r>
                <m:t>e</m:t>
              </m:r>
              <m:r>
                <m:t>l</m:t>
              </m:r>
            </m:sup>
          </m:sSubSup>
          <m:r>
            <m:rPr>
              <m:sty m:val="p"/>
            </m:rPr>
            <m:t>.</m:t>
          </m:r>
        </m:oMath>
      </m:oMathPara>
    </w:p>
    <w:p>
      <w:pPr>
        <w:pStyle w:val="FirstParagraph"/>
      </w:pPr>
      <w:r>
        <w:t xml:space="preserve">Using $A_0 = 88, the first few and last few predicted observations are: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jc w:val="right"/>
            </w:pPr>
            <w:r>
              <w:t xml:space="preserve">Year</w:t>
            </w:r>
          </w:p>
        </w:tc>
        <w:tc>
          <w:tcPr/>
          <w:p>
            <w:pPr>
              <w:pStyle w:val="Compact"/>
              <w:jc w:val="right"/>
            </w:pPr>
            <w:r>
              <w:t xml:space="preserve">k_model</w:t>
            </w:r>
          </w:p>
        </w:tc>
        <w:tc>
          <w:tcPr/>
          <w:p>
            <w:pPr>
              <w:pStyle w:val="Compact"/>
              <w:jc w:val="right"/>
            </w:pPr>
            <w:r>
              <w:t xml:space="preserve">y_model</w:t>
            </w:r>
          </w:p>
        </w:tc>
        <w:tc>
          <w:tcPr/>
          <w:p>
            <w:pPr>
              <w:pStyle w:val="Compact"/>
              <w:jc w:val="right"/>
            </w:pPr>
            <w:r>
              <w:t xml:space="preserve">s_model</w:t>
            </w:r>
          </w:p>
        </w:tc>
        <w:tc>
          <w:tcPr/>
          <w:p>
            <w:pPr>
              <w:pStyle w:val="Compact"/>
              <w:jc w:val="right"/>
            </w:pPr>
            <w:r>
              <w:t xml:space="preserve">c_model</w:t>
            </w:r>
          </w:p>
        </w:tc>
        <w:tc>
          <w:tcPr/>
          <w:p>
            <w:pPr>
              <w:pStyle w:val="Compact"/>
              <w:jc w:val="right"/>
            </w:pPr>
            <w:r>
              <w:t xml:space="preserve">delta_k_model</w:t>
            </w:r>
          </w:p>
        </w:tc>
      </w:tr>
      <w:tr>
        <w:tc>
          <w:tcPr/>
          <w:p>
            <w:pPr>
              <w:pStyle w:val="Compact"/>
              <w:jc w:val="left"/>
            </w:pPr>
            <w:r>
              <w:t xml:space="preserve">1</w:t>
            </w:r>
          </w:p>
        </w:tc>
        <w:tc>
          <w:tcPr/>
          <w:p>
            <w:pPr>
              <w:pStyle w:val="Compact"/>
              <w:jc w:val="right"/>
            </w:pPr>
            <w:r>
              <w:t xml:space="preserve">1976</w:t>
            </w:r>
          </w:p>
        </w:tc>
        <w:tc>
          <w:tcPr/>
          <w:p>
            <w:pPr>
              <w:pStyle w:val="Compact"/>
              <w:jc w:val="right"/>
            </w:pPr>
            <w:r>
              <w:t xml:space="preserve">75847.69</w:t>
            </w:r>
          </w:p>
        </w:tc>
        <w:tc>
          <w:tcPr/>
          <w:p>
            <w:pPr>
              <w:pStyle w:val="Compact"/>
              <w:jc w:val="right"/>
            </w:pPr>
            <w:r>
              <w:t xml:space="preserve">10097.25</w:t>
            </w:r>
          </w:p>
        </w:tc>
        <w:tc>
          <w:tcPr/>
          <w:p>
            <w:pPr>
              <w:pStyle w:val="Compact"/>
              <w:jc w:val="right"/>
            </w:pPr>
            <w:r>
              <w:t xml:space="preserve">3005.94</w:t>
            </w:r>
          </w:p>
        </w:tc>
        <w:tc>
          <w:tcPr/>
          <w:p>
            <w:pPr>
              <w:pStyle w:val="Compact"/>
              <w:jc w:val="right"/>
            </w:pPr>
            <w:r>
              <w:t xml:space="preserve">7091.31</w:t>
            </w:r>
          </w:p>
        </w:tc>
        <w:tc>
          <w:tcPr/>
          <w:p>
            <w:pPr>
              <w:pStyle w:val="Compact"/>
              <w:jc w:val="right"/>
            </w:pPr>
            <w:r>
              <w:t xml:space="preserve">6.54</w:t>
            </w:r>
          </w:p>
        </w:tc>
      </w:tr>
      <w:tr>
        <w:tc>
          <w:tcPr/>
          <w:p>
            <w:pPr>
              <w:pStyle w:val="Compact"/>
              <w:jc w:val="left"/>
            </w:pPr>
            <w:r>
              <w:t xml:space="preserve">2</w:t>
            </w:r>
          </w:p>
        </w:tc>
        <w:tc>
          <w:tcPr/>
          <w:p>
            <w:pPr>
              <w:pStyle w:val="Compact"/>
              <w:jc w:val="right"/>
            </w:pPr>
            <w:r>
              <w:t xml:space="preserve">1977</w:t>
            </w:r>
          </w:p>
        </w:tc>
        <w:tc>
          <w:tcPr/>
          <w:p>
            <w:pPr>
              <w:pStyle w:val="Compact"/>
              <w:jc w:val="right"/>
            </w:pPr>
            <w:r>
              <w:t xml:space="preserve">75854.23</w:t>
            </w:r>
          </w:p>
        </w:tc>
        <w:tc>
          <w:tcPr/>
          <w:p>
            <w:pPr>
              <w:pStyle w:val="Compact"/>
              <w:jc w:val="right"/>
            </w:pPr>
            <w:r>
              <w:t xml:space="preserve">10097.62</w:t>
            </w:r>
          </w:p>
        </w:tc>
        <w:tc>
          <w:tcPr/>
          <w:p>
            <w:pPr>
              <w:pStyle w:val="Compact"/>
              <w:jc w:val="right"/>
            </w:pPr>
            <w:r>
              <w:t xml:space="preserve">3006.05</w:t>
            </w:r>
          </w:p>
        </w:tc>
        <w:tc>
          <w:tcPr/>
          <w:p>
            <w:pPr>
              <w:pStyle w:val="Compact"/>
              <w:jc w:val="right"/>
            </w:pPr>
            <w:r>
              <w:t xml:space="preserve">7091.57</w:t>
            </w:r>
          </w:p>
        </w:tc>
        <w:tc>
          <w:tcPr/>
          <w:p>
            <w:pPr>
              <w:pStyle w:val="Compact"/>
              <w:jc w:val="right"/>
            </w:pPr>
            <w:r>
              <w:t xml:space="preserve">6.39</w:t>
            </w:r>
          </w:p>
        </w:tc>
      </w:tr>
      <w:tr>
        <w:tc>
          <w:tcPr/>
          <w:p>
            <w:pPr>
              <w:pStyle w:val="Compact"/>
              <w:jc w:val="left"/>
            </w:pPr>
            <w:r>
              <w:t xml:space="preserve">3</w:t>
            </w:r>
          </w:p>
        </w:tc>
        <w:tc>
          <w:tcPr/>
          <w:p>
            <w:pPr>
              <w:pStyle w:val="Compact"/>
              <w:jc w:val="right"/>
            </w:pPr>
            <w:r>
              <w:t xml:space="preserve">1978</w:t>
            </w:r>
          </w:p>
        </w:tc>
        <w:tc>
          <w:tcPr/>
          <w:p>
            <w:pPr>
              <w:pStyle w:val="Compact"/>
              <w:jc w:val="right"/>
            </w:pPr>
            <w:r>
              <w:t xml:space="preserve">75860.62</w:t>
            </w:r>
          </w:p>
        </w:tc>
        <w:tc>
          <w:tcPr/>
          <w:p>
            <w:pPr>
              <w:pStyle w:val="Compact"/>
              <w:jc w:val="right"/>
            </w:pPr>
            <w:r>
              <w:t xml:space="preserve">10097.98</w:t>
            </w:r>
          </w:p>
        </w:tc>
        <w:tc>
          <w:tcPr/>
          <w:p>
            <w:pPr>
              <w:pStyle w:val="Compact"/>
              <w:jc w:val="right"/>
            </w:pPr>
            <w:r>
              <w:t xml:space="preserve">3006.16</w:t>
            </w:r>
          </w:p>
        </w:tc>
        <w:tc>
          <w:tcPr/>
          <w:p>
            <w:pPr>
              <w:pStyle w:val="Compact"/>
              <w:jc w:val="right"/>
            </w:pPr>
            <w:r>
              <w:t xml:space="preserve">7091.82</w:t>
            </w:r>
          </w:p>
        </w:tc>
        <w:tc>
          <w:tcPr/>
          <w:p>
            <w:pPr>
              <w:pStyle w:val="Compact"/>
              <w:jc w:val="right"/>
            </w:pPr>
            <w:r>
              <w:t xml:space="preserve">6.24</w:t>
            </w:r>
          </w:p>
        </w:tc>
      </w:tr>
      <w:tr>
        <w:tc>
          <w:tcPr/>
          <w:p>
            <w:pPr>
              <w:pStyle w:val="Compact"/>
              <w:jc w:val="left"/>
            </w:pPr>
            <w:r>
              <w:t xml:space="preserve">46</w:t>
            </w:r>
          </w:p>
        </w:tc>
        <w:tc>
          <w:tcPr/>
          <w:p>
            <w:pPr>
              <w:pStyle w:val="Compact"/>
              <w:jc w:val="right"/>
            </w:pPr>
            <w:r>
              <w:t xml:space="preserve">2021</w:t>
            </w:r>
          </w:p>
        </w:tc>
        <w:tc>
          <w:tcPr/>
          <w:p>
            <w:pPr>
              <w:pStyle w:val="Compact"/>
              <w:jc w:val="right"/>
            </w:pPr>
            <w:r>
              <w:t xml:space="preserve">76032.80</w:t>
            </w:r>
          </w:p>
        </w:tc>
        <w:tc>
          <w:tcPr/>
          <w:p>
            <w:pPr>
              <w:pStyle w:val="Compact"/>
              <w:jc w:val="right"/>
            </w:pPr>
            <w:r>
              <w:t xml:space="preserve">10107.64</w:t>
            </w:r>
          </w:p>
        </w:tc>
        <w:tc>
          <w:tcPr/>
          <w:p>
            <w:pPr>
              <w:pStyle w:val="Compact"/>
              <w:jc w:val="right"/>
            </w:pPr>
            <w:r>
              <w:t xml:space="preserve">3009.04</w:t>
            </w:r>
          </w:p>
        </w:tc>
        <w:tc>
          <w:tcPr/>
          <w:p>
            <w:pPr>
              <w:pStyle w:val="Compact"/>
              <w:jc w:val="right"/>
            </w:pPr>
            <w:r>
              <w:t xml:space="preserve">7098.61</w:t>
            </w:r>
          </w:p>
        </w:tc>
        <w:tc>
          <w:tcPr/>
          <w:p>
            <w:pPr>
              <w:pStyle w:val="Compact"/>
              <w:jc w:val="right"/>
            </w:pPr>
            <w:r>
              <w:t xml:space="preserve">2.31</w:t>
            </w:r>
          </w:p>
        </w:tc>
      </w:tr>
      <w:tr>
        <w:tc>
          <w:tcPr/>
          <w:p>
            <w:pPr>
              <w:pStyle w:val="Compact"/>
              <w:jc w:val="left"/>
            </w:pPr>
            <w:r>
              <w:t xml:space="preserve">47</w:t>
            </w:r>
          </w:p>
        </w:tc>
        <w:tc>
          <w:tcPr/>
          <w:p>
            <w:pPr>
              <w:pStyle w:val="Compact"/>
              <w:jc w:val="right"/>
            </w:pPr>
            <w:r>
              <w:t xml:space="preserve">2022</w:t>
            </w:r>
          </w:p>
        </w:tc>
        <w:tc>
          <w:tcPr/>
          <w:p>
            <w:pPr>
              <w:pStyle w:val="Compact"/>
              <w:jc w:val="right"/>
            </w:pPr>
            <w:r>
              <w:t xml:space="preserve">76035.11</w:t>
            </w:r>
          </w:p>
        </w:tc>
        <w:tc>
          <w:tcPr/>
          <w:p>
            <w:pPr>
              <w:pStyle w:val="Compact"/>
              <w:jc w:val="right"/>
            </w:pPr>
            <w:r>
              <w:t xml:space="preserve">10107.77</w:t>
            </w:r>
          </w:p>
        </w:tc>
        <w:tc>
          <w:tcPr/>
          <w:p>
            <w:pPr>
              <w:pStyle w:val="Compact"/>
              <w:jc w:val="right"/>
            </w:pPr>
            <w:r>
              <w:t xml:space="preserve">3009.08</w:t>
            </w:r>
          </w:p>
        </w:tc>
        <w:tc>
          <w:tcPr/>
          <w:p>
            <w:pPr>
              <w:pStyle w:val="Compact"/>
              <w:jc w:val="right"/>
            </w:pPr>
            <w:r>
              <w:t xml:space="preserve">7098.70</w:t>
            </w:r>
          </w:p>
        </w:tc>
        <w:tc>
          <w:tcPr/>
          <w:p>
            <w:pPr>
              <w:pStyle w:val="Compact"/>
              <w:jc w:val="right"/>
            </w:pPr>
            <w:r>
              <w:t xml:space="preserve">2.26</w:t>
            </w:r>
          </w:p>
        </w:tc>
      </w:tr>
      <w:tr>
        <w:tc>
          <w:tcPr/>
          <w:p>
            <w:pPr>
              <w:pStyle w:val="Compact"/>
              <w:jc w:val="left"/>
            </w:pPr>
            <w:r>
              <w:t xml:space="preserve">48</w:t>
            </w:r>
          </w:p>
        </w:tc>
        <w:tc>
          <w:tcPr/>
          <w:p>
            <w:pPr>
              <w:pStyle w:val="Compact"/>
              <w:jc w:val="right"/>
            </w:pPr>
            <w:r>
              <w:t xml:space="preserve">2023</w:t>
            </w:r>
          </w:p>
        </w:tc>
        <w:tc>
          <w:tcPr/>
          <w:p>
            <w:pPr>
              <w:pStyle w:val="Compact"/>
              <w:jc w:val="right"/>
            </w:pPr>
            <w:r>
              <w:t xml:space="preserve">76037.37</w:t>
            </w:r>
          </w:p>
        </w:tc>
        <w:tc>
          <w:tcPr/>
          <w:p>
            <w:pPr>
              <w:pStyle w:val="Compact"/>
              <w:jc w:val="right"/>
            </w:pPr>
            <w:r>
              <w:t xml:space="preserve">10107.90</w:t>
            </w:r>
          </w:p>
        </w:tc>
        <w:tc>
          <w:tcPr/>
          <w:p>
            <w:pPr>
              <w:pStyle w:val="Compact"/>
              <w:jc w:val="right"/>
            </w:pPr>
            <w:r>
              <w:t xml:space="preserve">3009.11</w:t>
            </w:r>
          </w:p>
        </w:tc>
        <w:tc>
          <w:tcPr/>
          <w:p>
            <w:pPr>
              <w:pStyle w:val="Compact"/>
              <w:jc w:val="right"/>
            </w:pPr>
            <w:r>
              <w:t xml:space="preserve">7098.79</w:t>
            </w:r>
          </w:p>
        </w:tc>
        <w:tc>
          <w:tcPr/>
          <w:p>
            <w:pPr>
              <w:pStyle w:val="Compact"/>
              <w:jc w:val="right"/>
            </w:pPr>
            <w:r>
              <w:t xml:space="preserve">2.21</w:t>
            </w:r>
          </w:p>
        </w:tc>
      </w:tr>
    </w:tbl>
    <w:p>
      <w:pPr>
        <w:pStyle w:val="BodyText"/>
      </w:pPr>
      <w:r>
        <w:t xml:space="preserve">Under constant technology, the model predicts only a very small increase in capital per capita, from 75,848 to 76,037.</w:t>
      </w:r>
    </w:p>
    <w:bookmarkEnd w:id="19"/>
    <w:bookmarkStart w:id="26" w:name="question-9"/>
    <w:p>
      <w:pPr>
        <w:pStyle w:val="Heading2"/>
      </w:pPr>
      <w:r>
        <w:t xml:space="preserve">Question 9</w:t>
      </w:r>
    </w:p>
    <w:p>
      <w:pPr>
        <w:pStyle w:val="FirstParagraph"/>
      </w:pPr>
      <w:r>
        <w:drawing>
          <wp:inline>
            <wp:extent cx="5334000" cy="4267200"/>
            <wp:effectExtent b="0" l="0" r="0" t="0"/>
            <wp:docPr descr="" title="" id="21" name="Picture"/>
            <a:graphic>
              <a:graphicData uri="http://schemas.openxmlformats.org/drawingml/2006/picture">
                <pic:pic>
                  <pic:nvPicPr>
                    <pic:cNvPr descr="japan_solow_report_files/figure-docx/unnamed-chunk-5-1.png" id="22" name="Picture"/>
                    <pic:cNvPicPr>
                      <a:picLocks noChangeArrowheads="1" noChangeAspect="1"/>
                    </pic:cNvPicPr>
                  </pic:nvPicPr>
                  <pic:blipFill>
                    <a:blip r:embed="rId20"/>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drawing>
          <wp:inline>
            <wp:extent cx="5334000" cy="4267200"/>
            <wp:effectExtent b="0" l="0" r="0" t="0"/>
            <wp:docPr descr="" title="" id="24" name="Picture"/>
            <a:graphic>
              <a:graphicData uri="http://schemas.openxmlformats.org/drawingml/2006/picture">
                <pic:pic>
                  <pic:nvPicPr>
                    <pic:cNvPr descr="japan_solow_report_files/figure-docx/unnamed-chunk-6-1.png" id="25" name="Picture"/>
                    <pic:cNvPicPr>
                      <a:picLocks noChangeArrowheads="1" noChangeAspect="1"/>
                    </pic:cNvPicPr>
                  </pic:nvPicPr>
                  <pic:blipFill>
                    <a:blip r:embed="rId23"/>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The constant-technology Solow model does</w:t>
      </w:r>
      <w:r>
        <w:t xml:space="preserve"> </w:t>
      </w:r>
      <w:r>
        <w:rPr>
          <w:b/>
          <w:bCs/>
        </w:rPr>
        <w:t xml:space="preserve">not</w:t>
      </w:r>
      <w:r>
        <w:t xml:space="preserve"> </w:t>
      </w:r>
      <w:r>
        <w:t xml:space="preserve">explain Japan’s growth path very well. The model produces only a slight increase in both output per capita and capital per capita, while the actual data show a much stronger upward trend. Quantitatively, the root mean squared error is 28,444 for output and 112,383 for capital.</w:t>
      </w:r>
    </w:p>
    <w:p>
      <w:pPr>
        <w:pStyle w:val="BodyText"/>
      </w:pPr>
      <w:r>
        <w:t xml:space="preserve">A likely reason is that Japan’s growth over this period cannot be captured by capital accumulation alone. Postwar catch-up, technological upgrading, industrial restructuring, and improvements in efficiency all mattered. A Solow model with constant technology leaves those forces out, so it underpredicts the rise in living standards.</w:t>
      </w:r>
    </w:p>
    <w:bookmarkEnd w:id="26"/>
    <w:bookmarkStart w:id="30" w:name="question-10"/>
    <w:p>
      <w:pPr>
        <w:pStyle w:val="Heading2"/>
      </w:pPr>
      <w:r>
        <w:t xml:space="preserve">Question 10</w:t>
      </w:r>
    </w:p>
    <w:p>
      <w:pPr>
        <w:pStyle w:val="FirstParagraph"/>
      </w:pPr>
      <w:r>
        <w:t xml:space="preserve">The prompt now allows technology to grow at 2% per year. Because</w:t>
      </w:r>
      <w:r>
        <w:t xml:space="preserve"> </w:t>
      </w:r>
      <w:r>
        <w:t xml:space="preserve">“2% per year”</w:t>
      </w:r>
      <w:r>
        <w:t xml:space="preserve"> </w:t>
      </w:r>
      <w:r>
        <w:t xml:space="preserve">implies a constant gross growth factor of</w:t>
      </w:r>
      <w:r>
        <w:t xml:space="preserve"> </w:t>
      </w:r>
      <m:oMath>
        <m:r>
          <m:t>1.02</m:t>
        </m:r>
      </m:oMath>
      <w:r>
        <w:t xml:space="preserve">, I use</w:t>
      </w:r>
    </w:p>
    <w:p>
      <w:pPr>
        <w:pStyle w:val="BodyText"/>
      </w:pPr>
      <m:oMathPara>
        <m:oMathParaPr>
          <m:jc m:val="center"/>
        </m:oMathParaPr>
        <m:oMath>
          <m:sSub>
            <m:e>
              <m:r>
                <m:t>A</m:t>
              </m:r>
            </m:e>
            <m:sub>
              <m:r>
                <m:t>t</m:t>
              </m:r>
            </m:sub>
          </m:sSub>
          <m:r>
            <m:rPr>
              <m:sty m:val="p"/>
            </m:rPr>
            <m:t>=</m:t>
          </m:r>
          <m:sSub>
            <m:e>
              <m:r>
                <m:t>A</m:t>
              </m:r>
            </m:e>
            <m:sub>
              <m:r>
                <m:t>0</m:t>
              </m:r>
            </m:sub>
          </m:sSub>
          <m:r>
            <m:rPr>
              <m:sty m:val="p"/>
            </m:rPr>
            <m:t>(</m:t>
          </m:r>
          <m:r>
            <m:t>1.02</m:t>
          </m:r>
          <m:sSup>
            <m:e>
              <m:r>
                <m:rPr>
                  <m:sty m:val="p"/>
                </m:rPr>
                <m:t>)</m:t>
              </m:r>
            </m:e>
            <m:sup>
              <m:r>
                <m:t>t</m:t>
              </m:r>
            </m:sup>
          </m:sSup>
          <m:r>
            <m:rPr>
              <m:sty m:val="p"/>
            </m:rPr>
            <m:t>,</m:t>
          </m:r>
        </m:oMath>
      </m:oMathPara>
    </w:p>
    <w:p>
      <w:pPr>
        <w:pStyle w:val="FirstParagraph"/>
      </w:pPr>
      <w:r>
        <w:t xml:space="preserve">which is equivalent to</w:t>
      </w:r>
    </w:p>
    <w:p>
      <w:pPr>
        <w:pStyle w:val="BodyText"/>
      </w:pPr>
      <m:oMathPara>
        <m:oMathParaPr>
          <m:jc m:val="center"/>
        </m:oMathParaPr>
        <m:oMath>
          <m:sSub>
            <m:e>
              <m:r>
                <m:t>A</m:t>
              </m:r>
            </m:e>
            <m:sub>
              <m:r>
                <m:t>t</m:t>
              </m:r>
              <m:r>
                <m:rPr>
                  <m:sty m:val="p"/>
                </m:rPr>
                <m:t>+</m:t>
              </m:r>
              <m:r>
                <m:t>1</m:t>
              </m:r>
            </m:sub>
          </m:sSub>
          <m:r>
            <m:rPr>
              <m:sty m:val="p"/>
            </m:rPr>
            <m:t>=</m:t>
          </m:r>
          <m:r>
            <m:t>1.02</m:t>
          </m:r>
          <m:sSub>
            <m:e>
              <m:r>
                <m:t>A</m:t>
              </m:r>
            </m:e>
            <m:sub>
              <m:r>
                <m:t>t</m:t>
              </m:r>
            </m:sub>
          </m:sSub>
          <m:r>
            <m:rPr>
              <m:sty m:val="p"/>
            </m:rPr>
            <m:t>.</m:t>
          </m:r>
        </m:oMath>
      </m:oMathPara>
    </w:p>
    <w:p>
      <w:pPr>
        <w:pStyle w:val="FirstParagraph"/>
      </w:pPr>
      <w:r>
        <w:t xml:space="preserve">Using $A_0 = 88, the technology path starts at 88.00 in 1976 and reaches 223.20 in 2023.</w:t>
      </w:r>
    </w:p>
    <w:p>
      <w:pPr>
        <w:pStyle w:val="BodyText"/>
      </w:pPr>
      <w:r>
        <w:drawing>
          <wp:inline>
            <wp:extent cx="5334000" cy="4267200"/>
            <wp:effectExtent b="0" l="0" r="0" t="0"/>
            <wp:docPr descr="" title="" id="28" name="Picture"/>
            <a:graphic>
              <a:graphicData uri="http://schemas.openxmlformats.org/drawingml/2006/picture">
                <pic:pic>
                  <pic:nvPicPr>
                    <pic:cNvPr descr="japan_solow_report_files/figure-docx/unnamed-chunk-7-1.png" id="29" name="Picture"/>
                    <pic:cNvPicPr>
                      <a:picLocks noChangeArrowheads="1" noChangeAspect="1"/>
                    </pic:cNvPicPr>
                  </pic:nvPicPr>
                  <pic:blipFill>
                    <a:blip r:embed="rId27"/>
                    <a:stretch>
                      <a:fillRect/>
                    </a:stretch>
                  </pic:blipFill>
                  <pic:spPr bwMode="auto">
                    <a:xfrm>
                      <a:off x="0" y="0"/>
                      <a:ext cx="5334000" cy="4267200"/>
                    </a:xfrm>
                    <a:prstGeom prst="rect">
                      <a:avLst/>
                    </a:prstGeom>
                    <a:noFill/>
                    <a:ln w="9525">
                      <a:noFill/>
                      <a:headEnd/>
                      <a:tailEnd/>
                    </a:ln>
                  </pic:spPr>
                </pic:pic>
              </a:graphicData>
            </a:graphic>
          </wp:inline>
        </w:drawing>
      </w:r>
    </w:p>
    <w:bookmarkEnd w:id="30"/>
    <w:bookmarkStart w:id="37" w:name="question-11"/>
    <w:p>
      <w:pPr>
        <w:pStyle w:val="Heading2"/>
      </w:pPr>
      <w:r>
        <w:t xml:space="preserve">Question 11</w:t>
      </w:r>
    </w:p>
    <w:p>
      <w:pPr>
        <w:pStyle w:val="FirstParagraph"/>
      </w:pPr>
      <w:r>
        <w:t xml:space="preserve">With technological progress, the law of motion becomes</w:t>
      </w:r>
    </w:p>
    <w:p>
      <w:pPr>
        <w:pStyle w:val="BodyText"/>
      </w:pPr>
      <m:oMathPara>
        <m:oMathParaPr>
          <m:jc m:val="center"/>
        </m:oMathParaPr>
        <m:oMath>
          <m:r>
            <m:rPr>
              <m:sty m:val="p"/>
            </m:rPr>
            <m:t>Δ</m:t>
          </m:r>
          <m:sSubSup>
            <m:e>
              <m:r>
                <m:t>k</m:t>
              </m:r>
            </m:e>
            <m:sub>
              <m:r>
                <m:t>t</m:t>
              </m:r>
            </m:sub>
            <m:sup>
              <m:r>
                <m:t>M</m:t>
              </m:r>
              <m:r>
                <m:t>o</m:t>
              </m:r>
              <m:r>
                <m:t>d</m:t>
              </m:r>
              <m:r>
                <m:t>e</m:t>
              </m:r>
              <m:r>
                <m:t>l</m:t>
              </m:r>
            </m:sup>
          </m:sSubSup>
          <m:r>
            <m:rPr>
              <m:sty m:val="p"/>
            </m:rPr>
            <m:t>=</m:t>
          </m:r>
          <m:r>
            <m:t>σ</m:t>
          </m:r>
          <m:sSub>
            <m:e>
              <m:r>
                <m:t>A</m:t>
              </m:r>
            </m:e>
            <m:sub>
              <m:r>
                <m:t>t</m:t>
              </m:r>
            </m:sub>
          </m:sSub>
          <m:r>
            <m:rPr>
              <m:sty m:val="p"/>
            </m:rPr>
            <m:t>(</m:t>
          </m:r>
          <m:sSubSup>
            <m:e>
              <m:r>
                <m:t>k</m:t>
              </m:r>
            </m:e>
            <m:sub>
              <m:r>
                <m:t>t</m:t>
              </m:r>
            </m:sub>
            <m:sup>
              <m:r>
                <m:t>M</m:t>
              </m:r>
              <m:r>
                <m:t>o</m:t>
              </m:r>
              <m:r>
                <m:t>d</m:t>
              </m:r>
              <m:r>
                <m:t>e</m:t>
              </m:r>
              <m:r>
                <m:t>l</m:t>
              </m:r>
            </m:sup>
          </m:sSubSup>
          <m:sSup>
            <m:e>
              <m:r>
                <m:rPr>
                  <m:sty m:val="p"/>
                </m:rPr>
                <m:t>)</m:t>
              </m:r>
            </m:e>
            <m:sup>
              <m:r>
                <m:t>α</m:t>
              </m:r>
            </m:sup>
          </m:sSup>
          <m:r>
            <m:rPr>
              <m:sty m:val="p"/>
            </m:rPr>
            <m:t>−</m:t>
          </m:r>
          <m:r>
            <m:rPr>
              <m:sty m:val="p"/>
            </m:rPr>
            <m:t>(</m:t>
          </m:r>
          <m:r>
            <m:t>δ</m:t>
          </m:r>
          <m:r>
            <m:rPr>
              <m:sty m:val="p"/>
            </m:rPr>
            <m:t>+</m:t>
          </m:r>
          <m:r>
            <m:t>n</m:t>
          </m:r>
          <m:r>
            <m:rPr>
              <m:sty m:val="p"/>
            </m:rPr>
            <m:t>)</m:t>
          </m:r>
          <m:sSubSup>
            <m:e>
              <m:r>
                <m:t>k</m:t>
              </m:r>
            </m:e>
            <m:sub>
              <m:r>
                <m:t>t</m:t>
              </m:r>
            </m:sub>
            <m:sup>
              <m:r>
                <m:t>M</m:t>
              </m:r>
              <m:r>
                <m:t>o</m:t>
              </m:r>
              <m:r>
                <m:t>d</m:t>
              </m:r>
              <m:r>
                <m:t>e</m:t>
              </m:r>
              <m:r>
                <m:t>l</m:t>
              </m:r>
            </m:sup>
          </m:sSubSup>
          <m:r>
            <m:rPr>
              <m:sty m:val="p"/>
            </m:rPr>
            <m:t>,</m:t>
          </m:r>
        </m:oMath>
      </m:oMathPara>
    </w:p>
    <w:p>
      <w:pPr>
        <w:pStyle w:val="FirstParagraph"/>
      </w:pPr>
      <m:oMathPara>
        <m:oMathParaPr>
          <m:jc m:val="center"/>
        </m:oMathParaPr>
        <m:oMath>
          <m:sSubSup>
            <m:e>
              <m:r>
                <m:t>k</m:t>
              </m:r>
            </m:e>
            <m:sub>
              <m:r>
                <m:t>t</m:t>
              </m:r>
              <m:r>
                <m:rPr>
                  <m:sty m:val="p"/>
                </m:rPr>
                <m:t>+</m:t>
              </m:r>
              <m:r>
                <m:t>1</m:t>
              </m:r>
            </m:sub>
            <m:sup>
              <m:r>
                <m:t>M</m:t>
              </m:r>
              <m:r>
                <m:t>o</m:t>
              </m:r>
              <m:r>
                <m:t>d</m:t>
              </m:r>
              <m:r>
                <m:t>e</m:t>
              </m:r>
              <m:r>
                <m:t>l</m:t>
              </m:r>
            </m:sup>
          </m:sSubSup>
          <m:r>
            <m:rPr>
              <m:sty m:val="p"/>
            </m:rPr>
            <m:t>=</m:t>
          </m:r>
          <m:sSubSup>
            <m:e>
              <m:r>
                <m:t>k</m:t>
              </m:r>
            </m:e>
            <m:sub>
              <m:r>
                <m:t>t</m:t>
              </m:r>
            </m:sub>
            <m:sup>
              <m:r>
                <m:t>M</m:t>
              </m:r>
              <m:r>
                <m:t>o</m:t>
              </m:r>
              <m:r>
                <m:t>d</m:t>
              </m:r>
              <m:r>
                <m:t>e</m:t>
              </m:r>
              <m:r>
                <m:t>l</m:t>
              </m:r>
            </m:sup>
          </m:sSubSup>
          <m:r>
            <m:rPr>
              <m:sty m:val="p"/>
            </m:rPr>
            <m:t>+</m:t>
          </m:r>
          <m:r>
            <m:rPr>
              <m:sty m:val="p"/>
            </m:rPr>
            <m:t>Δ</m:t>
          </m:r>
          <m:sSubSup>
            <m:e>
              <m:r>
                <m:t>k</m:t>
              </m:r>
            </m:e>
            <m:sub>
              <m:r>
                <m:t>t</m:t>
              </m:r>
            </m:sub>
            <m:sup>
              <m:r>
                <m:t>M</m:t>
              </m:r>
              <m:r>
                <m:t>o</m:t>
              </m:r>
              <m:r>
                <m:t>d</m:t>
              </m:r>
              <m:r>
                <m:t>e</m:t>
              </m:r>
              <m:r>
                <m:t>l</m:t>
              </m:r>
            </m:sup>
          </m:sSubSup>
          <m:r>
            <m:rPr>
              <m:sty m:val="p"/>
            </m:rPr>
            <m:t>.</m:t>
          </m:r>
        </m:oMath>
      </m:oMathPara>
    </w:p>
    <w:p>
      <w:pPr>
        <w:pStyle w:val="FirstParagraph"/>
      </w:pPr>
      <w:r>
        <w:t xml:space="preserve">The first few and last few observations from the technology-augmented simulation are:</w:t>
      </w:r>
    </w:p>
    <w:tbl>
      <w:tblPr>
        <w:tblStyle w:val="Table"/>
        <w:tblW w:type="pct" w:w="5000"/>
        <w:tblLayout w:type="fixed"/>
        <w:tblLook w:firstRow="1" w:lastRow="0" w:firstColumn="0" w:lastColumn="0" w:noHBand="0" w:noVBand="0" w:val="0020"/>
      </w:tblPr>
      <w:tblGrid>
        <w:gridCol w:w="360"/>
        <w:gridCol w:w="600"/>
        <w:gridCol w:w="840"/>
        <w:gridCol w:w="1200"/>
        <w:gridCol w:w="1080"/>
        <w:gridCol w:w="1080"/>
        <w:gridCol w:w="1080"/>
        <w:gridCol w:w="1680"/>
      </w:tblGrid>
      <w:tr>
        <w:trPr>
          <w:tblHeader w:val="on"/>
        </w:trPr>
        <w:tc>
          <w:tcPr/>
          <w:p>
            <w:pPr>
              <w:pStyle w:val="Compact"/>
            </w:pPr>
          </w:p>
        </w:tc>
        <w:tc>
          <w:tcPr/>
          <w:p>
            <w:pPr>
              <w:pStyle w:val="Compact"/>
              <w:jc w:val="right"/>
            </w:pPr>
            <w:r>
              <w:t xml:space="preserve">Year</w:t>
            </w:r>
          </w:p>
        </w:tc>
        <w:tc>
          <w:tcPr/>
          <w:p>
            <w:pPr>
              <w:pStyle w:val="Compact"/>
              <w:jc w:val="right"/>
            </w:pPr>
            <w:r>
              <w:t xml:space="preserve">A_t</w:t>
            </w:r>
          </w:p>
        </w:tc>
        <w:tc>
          <w:tcPr/>
          <w:p>
            <w:pPr>
              <w:pStyle w:val="Compact"/>
              <w:jc w:val="right"/>
            </w:pPr>
            <w:r>
              <w:t xml:space="preserve">k_model</w:t>
            </w:r>
          </w:p>
        </w:tc>
        <w:tc>
          <w:tcPr/>
          <w:p>
            <w:pPr>
              <w:pStyle w:val="Compact"/>
              <w:jc w:val="right"/>
            </w:pPr>
            <w:r>
              <w:t xml:space="preserve">y_model</w:t>
            </w:r>
          </w:p>
        </w:tc>
        <w:tc>
          <w:tcPr/>
          <w:p>
            <w:pPr>
              <w:pStyle w:val="Compact"/>
              <w:jc w:val="right"/>
            </w:pPr>
            <w:r>
              <w:t xml:space="preserve">s_model</w:t>
            </w:r>
          </w:p>
        </w:tc>
        <w:tc>
          <w:tcPr/>
          <w:p>
            <w:pPr>
              <w:pStyle w:val="Compact"/>
              <w:jc w:val="right"/>
            </w:pPr>
            <w:r>
              <w:t xml:space="preserve">c_model</w:t>
            </w:r>
          </w:p>
        </w:tc>
        <w:tc>
          <w:tcPr/>
          <w:p>
            <w:pPr>
              <w:pStyle w:val="Compact"/>
              <w:jc w:val="right"/>
            </w:pPr>
            <w:r>
              <w:t xml:space="preserve">delta_k_model</w:t>
            </w:r>
          </w:p>
        </w:tc>
      </w:tr>
      <w:tr>
        <w:tc>
          <w:tcPr/>
          <w:p>
            <w:pPr>
              <w:pStyle w:val="Compact"/>
              <w:jc w:val="left"/>
            </w:pPr>
            <w:r>
              <w:t xml:space="preserve">1</w:t>
            </w:r>
          </w:p>
        </w:tc>
        <w:tc>
          <w:tcPr/>
          <w:p>
            <w:pPr>
              <w:pStyle w:val="Compact"/>
              <w:jc w:val="right"/>
            </w:pPr>
            <w:r>
              <w:t xml:space="preserve">1976</w:t>
            </w:r>
          </w:p>
        </w:tc>
        <w:tc>
          <w:tcPr/>
          <w:p>
            <w:pPr>
              <w:pStyle w:val="Compact"/>
              <w:jc w:val="right"/>
            </w:pPr>
            <w:r>
              <w:t xml:space="preserve">88.00</w:t>
            </w:r>
          </w:p>
        </w:tc>
        <w:tc>
          <w:tcPr/>
          <w:p>
            <w:pPr>
              <w:pStyle w:val="Compact"/>
              <w:jc w:val="right"/>
            </w:pPr>
            <w:r>
              <w:t xml:space="preserve">75847.69</w:t>
            </w:r>
          </w:p>
        </w:tc>
        <w:tc>
          <w:tcPr/>
          <w:p>
            <w:pPr>
              <w:pStyle w:val="Compact"/>
              <w:jc w:val="right"/>
            </w:pPr>
            <w:r>
              <w:t xml:space="preserve">10097.25</w:t>
            </w:r>
          </w:p>
        </w:tc>
        <w:tc>
          <w:tcPr/>
          <w:p>
            <w:pPr>
              <w:pStyle w:val="Compact"/>
              <w:jc w:val="right"/>
            </w:pPr>
            <w:r>
              <w:t xml:space="preserve">3005.94</w:t>
            </w:r>
          </w:p>
        </w:tc>
        <w:tc>
          <w:tcPr/>
          <w:p>
            <w:pPr>
              <w:pStyle w:val="Compact"/>
              <w:jc w:val="right"/>
            </w:pPr>
            <w:r>
              <w:t xml:space="preserve">7091.31</w:t>
            </w:r>
          </w:p>
        </w:tc>
        <w:tc>
          <w:tcPr/>
          <w:p>
            <w:pPr>
              <w:pStyle w:val="Compact"/>
              <w:jc w:val="right"/>
            </w:pPr>
            <w:r>
              <w:t xml:space="preserve">6.54</w:t>
            </w:r>
          </w:p>
        </w:tc>
      </w:tr>
      <w:tr>
        <w:tc>
          <w:tcPr/>
          <w:p>
            <w:pPr>
              <w:pStyle w:val="Compact"/>
              <w:jc w:val="left"/>
            </w:pPr>
            <w:r>
              <w:t xml:space="preserve">2</w:t>
            </w:r>
          </w:p>
        </w:tc>
        <w:tc>
          <w:tcPr/>
          <w:p>
            <w:pPr>
              <w:pStyle w:val="Compact"/>
              <w:jc w:val="right"/>
            </w:pPr>
            <w:r>
              <w:t xml:space="preserve">1977</w:t>
            </w:r>
          </w:p>
        </w:tc>
        <w:tc>
          <w:tcPr/>
          <w:p>
            <w:pPr>
              <w:pStyle w:val="Compact"/>
              <w:jc w:val="right"/>
            </w:pPr>
            <w:r>
              <w:t xml:space="preserve">89.76</w:t>
            </w:r>
          </w:p>
        </w:tc>
        <w:tc>
          <w:tcPr/>
          <w:p>
            <w:pPr>
              <w:pStyle w:val="Compact"/>
              <w:jc w:val="right"/>
            </w:pPr>
            <w:r>
              <w:t xml:space="preserve">75854.23</w:t>
            </w:r>
          </w:p>
        </w:tc>
        <w:tc>
          <w:tcPr/>
          <w:p>
            <w:pPr>
              <w:pStyle w:val="Compact"/>
              <w:jc w:val="right"/>
            </w:pPr>
            <w:r>
              <w:t xml:space="preserve">10299.57</w:t>
            </w:r>
          </w:p>
        </w:tc>
        <w:tc>
          <w:tcPr/>
          <w:p>
            <w:pPr>
              <w:pStyle w:val="Compact"/>
              <w:jc w:val="right"/>
            </w:pPr>
            <w:r>
              <w:t xml:space="preserve">3066.17</w:t>
            </w:r>
          </w:p>
        </w:tc>
        <w:tc>
          <w:tcPr/>
          <w:p>
            <w:pPr>
              <w:pStyle w:val="Compact"/>
              <w:jc w:val="right"/>
            </w:pPr>
            <w:r>
              <w:t xml:space="preserve">7233.40</w:t>
            </w:r>
          </w:p>
        </w:tc>
        <w:tc>
          <w:tcPr/>
          <w:p>
            <w:pPr>
              <w:pStyle w:val="Compact"/>
              <w:jc w:val="right"/>
            </w:pPr>
            <w:r>
              <w:t xml:space="preserve">66.51</w:t>
            </w:r>
          </w:p>
        </w:tc>
      </w:tr>
      <w:tr>
        <w:tc>
          <w:tcPr/>
          <w:p>
            <w:pPr>
              <w:pStyle w:val="Compact"/>
              <w:jc w:val="left"/>
            </w:pPr>
            <w:r>
              <w:t xml:space="preserve">3</w:t>
            </w:r>
          </w:p>
        </w:tc>
        <w:tc>
          <w:tcPr/>
          <w:p>
            <w:pPr>
              <w:pStyle w:val="Compact"/>
              <w:jc w:val="right"/>
            </w:pPr>
            <w:r>
              <w:t xml:space="preserve">1978</w:t>
            </w:r>
          </w:p>
        </w:tc>
        <w:tc>
          <w:tcPr/>
          <w:p>
            <w:pPr>
              <w:pStyle w:val="Compact"/>
              <w:jc w:val="right"/>
            </w:pPr>
            <w:r>
              <w:t xml:space="preserve">91.56</w:t>
            </w:r>
          </w:p>
        </w:tc>
        <w:tc>
          <w:tcPr/>
          <w:p>
            <w:pPr>
              <w:pStyle w:val="Compact"/>
              <w:jc w:val="right"/>
            </w:pPr>
            <w:r>
              <w:t xml:space="preserve">75920.74</w:t>
            </w:r>
          </w:p>
        </w:tc>
        <w:tc>
          <w:tcPr/>
          <w:p>
            <w:pPr>
              <w:pStyle w:val="Compact"/>
              <w:jc w:val="right"/>
            </w:pPr>
            <w:r>
              <w:t xml:space="preserve">10509.45</w:t>
            </w:r>
          </w:p>
        </w:tc>
        <w:tc>
          <w:tcPr/>
          <w:p>
            <w:pPr>
              <w:pStyle w:val="Compact"/>
              <w:jc w:val="right"/>
            </w:pPr>
            <w:r>
              <w:t xml:space="preserve">3128.65</w:t>
            </w:r>
          </w:p>
        </w:tc>
        <w:tc>
          <w:tcPr/>
          <w:p>
            <w:pPr>
              <w:pStyle w:val="Compact"/>
              <w:jc w:val="right"/>
            </w:pPr>
            <w:r>
              <w:t xml:space="preserve">7380.79</w:t>
            </w:r>
          </w:p>
        </w:tc>
        <w:tc>
          <w:tcPr/>
          <w:p>
            <w:pPr>
              <w:pStyle w:val="Compact"/>
              <w:jc w:val="right"/>
            </w:pPr>
            <w:r>
              <w:t xml:space="preserve">126.36</w:t>
            </w:r>
          </w:p>
        </w:tc>
      </w:tr>
      <w:tr>
        <w:tc>
          <w:tcPr/>
          <w:p>
            <w:pPr>
              <w:pStyle w:val="Compact"/>
              <w:jc w:val="left"/>
            </w:pPr>
            <w:r>
              <w:t xml:space="preserve">46</w:t>
            </w:r>
          </w:p>
        </w:tc>
        <w:tc>
          <w:tcPr/>
          <w:p>
            <w:pPr>
              <w:pStyle w:val="Compact"/>
              <w:jc w:val="right"/>
            </w:pPr>
            <w:r>
              <w:t xml:space="preserve">2021</w:t>
            </w:r>
          </w:p>
        </w:tc>
        <w:tc>
          <w:tcPr/>
          <w:p>
            <w:pPr>
              <w:pStyle w:val="Compact"/>
              <w:jc w:val="right"/>
            </w:pPr>
            <w:r>
              <w:t xml:space="preserve">214.53</w:t>
            </w:r>
          </w:p>
        </w:tc>
        <w:tc>
          <w:tcPr/>
          <w:p>
            <w:pPr>
              <w:pStyle w:val="Compact"/>
              <w:jc w:val="right"/>
            </w:pPr>
            <w:r>
              <w:t xml:space="preserve">147017.67</w:t>
            </w:r>
          </w:p>
        </w:tc>
        <w:tc>
          <w:tcPr/>
          <w:p>
            <w:pPr>
              <w:pStyle w:val="Compact"/>
              <w:jc w:val="right"/>
            </w:pPr>
            <w:r>
              <w:t xml:space="preserve">32548.26</w:t>
            </w:r>
          </w:p>
        </w:tc>
        <w:tc>
          <w:tcPr/>
          <w:p>
            <w:pPr>
              <w:pStyle w:val="Compact"/>
              <w:jc w:val="right"/>
            </w:pPr>
            <w:r>
              <w:t xml:space="preserve">9689.59</w:t>
            </w:r>
          </w:p>
        </w:tc>
        <w:tc>
          <w:tcPr/>
          <w:p>
            <w:pPr>
              <w:pStyle w:val="Compact"/>
              <w:jc w:val="right"/>
            </w:pPr>
            <w:r>
              <w:t xml:space="preserve">22858.67</w:t>
            </w:r>
          </w:p>
        </w:tc>
        <w:tc>
          <w:tcPr/>
          <w:p>
            <w:pPr>
              <w:pStyle w:val="Compact"/>
              <w:jc w:val="right"/>
            </w:pPr>
            <w:r>
              <w:t xml:space="preserve">3875.76</w:t>
            </w:r>
          </w:p>
        </w:tc>
      </w:tr>
      <w:tr>
        <w:tc>
          <w:tcPr/>
          <w:p>
            <w:pPr>
              <w:pStyle w:val="Compact"/>
              <w:jc w:val="left"/>
            </w:pPr>
            <w:r>
              <w:t xml:space="preserve">47</w:t>
            </w:r>
          </w:p>
        </w:tc>
        <w:tc>
          <w:tcPr/>
          <w:p>
            <w:pPr>
              <w:pStyle w:val="Compact"/>
              <w:jc w:val="right"/>
            </w:pPr>
            <w:r>
              <w:t xml:space="preserve">2022</w:t>
            </w:r>
          </w:p>
        </w:tc>
        <w:tc>
          <w:tcPr/>
          <w:p>
            <w:pPr>
              <w:pStyle w:val="Compact"/>
              <w:jc w:val="right"/>
            </w:pPr>
            <w:r>
              <w:t xml:space="preserve">218.82</w:t>
            </w:r>
          </w:p>
        </w:tc>
        <w:tc>
          <w:tcPr/>
          <w:p>
            <w:pPr>
              <w:pStyle w:val="Compact"/>
              <w:jc w:val="right"/>
            </w:pPr>
            <w:r>
              <w:t xml:space="preserve">150893.43</w:t>
            </w:r>
          </w:p>
        </w:tc>
        <w:tc>
          <w:tcPr/>
          <w:p>
            <w:pPr>
              <w:pStyle w:val="Compact"/>
              <w:jc w:val="right"/>
            </w:pPr>
            <w:r>
              <w:t xml:space="preserve">33565.86</w:t>
            </w:r>
          </w:p>
        </w:tc>
        <w:tc>
          <w:tcPr/>
          <w:p>
            <w:pPr>
              <w:pStyle w:val="Compact"/>
              <w:jc w:val="right"/>
            </w:pPr>
            <w:r>
              <w:t xml:space="preserve">9992.53</w:t>
            </w:r>
          </w:p>
        </w:tc>
        <w:tc>
          <w:tcPr/>
          <w:p>
            <w:pPr>
              <w:pStyle w:val="Compact"/>
              <w:jc w:val="right"/>
            </w:pPr>
            <w:r>
              <w:t xml:space="preserve">23573.33</w:t>
            </w:r>
          </w:p>
        </w:tc>
        <w:tc>
          <w:tcPr/>
          <w:p>
            <w:pPr>
              <w:pStyle w:val="Compact"/>
              <w:jc w:val="right"/>
            </w:pPr>
            <w:r>
              <w:t xml:space="preserve">4025.43</w:t>
            </w:r>
          </w:p>
        </w:tc>
      </w:tr>
      <w:tr>
        <w:tc>
          <w:tcPr/>
          <w:p>
            <w:pPr>
              <w:pStyle w:val="Compact"/>
              <w:jc w:val="left"/>
            </w:pPr>
            <w:r>
              <w:t xml:space="preserve">48</w:t>
            </w:r>
          </w:p>
        </w:tc>
        <w:tc>
          <w:tcPr/>
          <w:p>
            <w:pPr>
              <w:pStyle w:val="Compact"/>
              <w:jc w:val="right"/>
            </w:pPr>
            <w:r>
              <w:t xml:space="preserve">2023</w:t>
            </w:r>
          </w:p>
        </w:tc>
        <w:tc>
          <w:tcPr/>
          <w:p>
            <w:pPr>
              <w:pStyle w:val="Compact"/>
              <w:jc w:val="right"/>
            </w:pPr>
            <w:r>
              <w:t xml:space="preserve">223.20</w:t>
            </w:r>
          </w:p>
        </w:tc>
        <w:tc>
          <w:tcPr/>
          <w:p>
            <w:pPr>
              <w:pStyle w:val="Compact"/>
              <w:jc w:val="right"/>
            </w:pPr>
            <w:r>
              <w:t xml:space="preserve">154918.86</w:t>
            </w:r>
          </w:p>
        </w:tc>
        <w:tc>
          <w:tcPr/>
          <w:p>
            <w:pPr>
              <w:pStyle w:val="Compact"/>
              <w:jc w:val="right"/>
            </w:pPr>
            <w:r>
              <w:t xml:space="preserve">34619.75</w:t>
            </w:r>
          </w:p>
        </w:tc>
        <w:tc>
          <w:tcPr/>
          <w:p>
            <w:pPr>
              <w:pStyle w:val="Compact"/>
              <w:jc w:val="right"/>
            </w:pPr>
            <w:r>
              <w:t xml:space="preserve">10306.27</w:t>
            </w:r>
          </w:p>
        </w:tc>
        <w:tc>
          <w:tcPr/>
          <w:p>
            <w:pPr>
              <w:pStyle w:val="Compact"/>
              <w:jc w:val="right"/>
            </w:pPr>
            <w:r>
              <w:t xml:space="preserve">24313.48</w:t>
            </w:r>
          </w:p>
        </w:tc>
        <w:tc>
          <w:tcPr/>
          <w:p>
            <w:pPr>
              <w:pStyle w:val="Compact"/>
              <w:jc w:val="right"/>
            </w:pPr>
            <w:r>
              <w:t xml:space="preserve">4179.99</w:t>
            </w:r>
          </w:p>
        </w:tc>
      </w:tr>
    </w:tbl>
    <w:p>
      <w:pPr>
        <w:pStyle w:val="BodyText"/>
      </w:pPr>
      <w:r>
        <w:drawing>
          <wp:inline>
            <wp:extent cx="5334000" cy="4267200"/>
            <wp:effectExtent b="0" l="0" r="0" t="0"/>
            <wp:docPr descr="" title="" id="32" name="Picture"/>
            <a:graphic>
              <a:graphicData uri="http://schemas.openxmlformats.org/drawingml/2006/picture">
                <pic:pic>
                  <pic:nvPicPr>
                    <pic:cNvPr descr="japan_solow_report_files/figure-docx/unnamed-chunk-9-1.png" id="33" name="Picture"/>
                    <pic:cNvPicPr>
                      <a:picLocks noChangeArrowheads="1" noChangeAspect="1"/>
                    </pic:cNvPicPr>
                  </pic:nvPicPr>
                  <pic:blipFill>
                    <a:blip r:embed="rId31"/>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drawing>
          <wp:inline>
            <wp:extent cx="5334000" cy="4267200"/>
            <wp:effectExtent b="0" l="0" r="0" t="0"/>
            <wp:docPr descr="" title="" id="35" name="Picture"/>
            <a:graphic>
              <a:graphicData uri="http://schemas.openxmlformats.org/drawingml/2006/picture">
                <pic:pic>
                  <pic:nvPicPr>
                    <pic:cNvPr descr="japan_solow_report_files/figure-docx/unnamed-chunk-10-1.png" id="36" name="Picture"/>
                    <pic:cNvPicPr>
                      <a:picLocks noChangeArrowheads="1" noChangeAspect="1"/>
                    </pic:cNvPicPr>
                  </pic:nvPicPr>
                  <pic:blipFill>
                    <a:blip r:embed="rId34"/>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Technological progress improves the fit of the Solow model. The RMSE for output falls from 28,444 to 18,849, and the RMSE for capital falls from 112,383 to 82,749. The model still does not match Japan perfectly, but it performs better once productivity growth is allowed.</w:t>
      </w:r>
    </w:p>
    <w:p>
      <w:pPr>
        <w:pStyle w:val="BodyText"/>
      </w:pPr>
      <w:r>
        <w:t xml:space="preserve">This is economically sensible. In a mature economy like Japan, higher productivity can come from innovation, organizational efficiency, digitalization, and better use of human and physical capital. Those channels raise output per capita beyond what pure capital accumulation can generate.</w:t>
      </w:r>
    </w:p>
    <w:bookmarkEnd w:id="37"/>
    <w:bookmarkStart w:id="38" w:name="question-12"/>
    <w:p>
      <w:pPr>
        <w:pStyle w:val="Heading2"/>
      </w:pPr>
      <w:r>
        <w:t xml:space="preserve">Question 12</w:t>
      </w:r>
    </w:p>
    <w:p>
      <w:pPr>
        <w:pStyle w:val="FirstParagraph"/>
      </w:pPr>
      <w:r>
        <w:t xml:space="preserve">The policy lesson from the full exercise is that long-run growth in Japan depends on both</w:t>
      </w:r>
      <w:r>
        <w:t xml:space="preserve"> </w:t>
      </w:r>
      <w:r>
        <w:rPr>
          <w:b/>
          <w:bCs/>
        </w:rPr>
        <w:t xml:space="preserve">capital accumulation</w:t>
      </w:r>
      <w:r>
        <w:t xml:space="preserve"> </w:t>
      </w:r>
      <w:r>
        <w:t xml:space="preserve">and</w:t>
      </w:r>
      <w:r>
        <w:t xml:space="preserve"> </w:t>
      </w:r>
      <w:r>
        <w:rPr>
          <w:b/>
          <w:bCs/>
        </w:rPr>
        <w:t xml:space="preserve">productivity growth</w:t>
      </w:r>
      <w:r>
        <w:t xml:space="preserve">, but the latter appears especially important.</w:t>
      </w:r>
    </w:p>
    <w:p>
      <w:pPr>
        <w:pStyle w:val="BodyText"/>
      </w:pPr>
      <w:r>
        <w:t xml:space="preserve">First, because the economy is below the Golden Rule in this calibration, policies that raise productive investment can improve long-run outcomes. This could include public infrastructure with high social returns, incentives for private capital formation, and measures that improve the allocation of capital across firms.</w:t>
      </w:r>
    </w:p>
    <w:p>
      <w:pPr>
        <w:pStyle w:val="BodyText"/>
      </w:pPr>
      <w:r>
        <w:t xml:space="preserve">Second, the technology-augmented Solow model fits the data better than the constant-technology model. That strongly suggests that productivity policy matters. Japan should continue to support research and development, advanced manufacturing, AI and robotics adoption, university-industry collaboration, and diffusion of new technology to smaller firms.</w:t>
      </w:r>
    </w:p>
    <w:p>
      <w:pPr>
        <w:pStyle w:val="BodyText"/>
      </w:pPr>
      <w:r>
        <w:t xml:space="preserve">Third, Japan’s low population growth means labor constraints are a central issue. Policies that raise labor-force participation, improve worker training, encourage lifelong skill formation, and make better use of an aging population would help sustain per-capita GDP growth.</w:t>
      </w:r>
    </w:p>
    <w:p>
      <w:pPr>
        <w:pStyle w:val="BodyText"/>
      </w:pPr>
      <w:r>
        <w:t xml:space="preserve">Finally, macroeconomic stability and strong institutions remain important because they support saving, investment, innovation, and confidence. A growth strategy centered only on higher saving would be incomplete; the stronger recommendation is to combine investment with sustained productivity improvement.</w:t>
      </w:r>
    </w:p>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4" Target="media/rId34.png" /><Relationship Type="http://schemas.openxmlformats.org/officeDocument/2006/relationships/image" Id="rId12" Target="media/rId12.png"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 206 Final Project: Japan</dc:title>
  <dc:creator>Adam</dc:creator>
  <cp:keywords/>
  <dcterms:created xsi:type="dcterms:W3CDTF">2026-04-13T17:18:23Z</dcterms:created>
  <dcterms:modified xsi:type="dcterms:W3CDTF">2026-04-13T17:18:23Z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engines">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