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360"/>
        <w:jc w:val="center"/>
      </w:pPr>
      <w:r>
        <w:rPr>
          <w:rFonts w:ascii="Times New Roman" w:hAnsi="Times New Roman"/>
          <w:b/>
          <w:sz w:val="22"/>
        </w:rPr>
        <w:t>HACKNUSA 2026 NATIONAL TECHNOLOGY HACKATHON INNOVATION PROPOSAL</w:t>
        <w:br/>
        <w:t>TOP 30 FINALIST STAGE</w:t>
      </w:r>
    </w:p>
    <w:p>
      <w:pPr>
        <w:spacing w:before="400" w:after="280"/>
        <w:jc w:val="center"/>
      </w:pPr>
      <w:r>
        <w:rPr>
          <w:rFonts w:ascii="Times New Roman" w:hAnsi="Times New Roman"/>
          <w:b/>
          <w:sz w:val="36"/>
        </w:rPr>
        <w:t>SIAGA INNOVATION PROPOSAL</w:t>
      </w:r>
    </w:p>
    <w:p>
      <w:pPr>
        <w:spacing w:after="480"/>
        <w:jc w:val="center"/>
      </w:pPr>
      <w:r>
        <w:rPr>
          <w:rFonts w:ascii="Times New Roman" w:hAnsi="Times New Roman"/>
          <w:i/>
          <w:sz w:val="23"/>
        </w:rPr>
        <w:t>Progressive AI Conversational Defense for Mental Health Services</w:t>
      </w:r>
    </w:p>
    <w:p>
      <w:pPr>
        <w:spacing w:after="480"/>
        <w:jc w:val="center"/>
      </w:pPr>
      <w:r>
        <w:rPr>
          <w:rFonts w:ascii="Times New Roman" w:hAnsi="Times New Roman"/>
          <w:color w:val="475569"/>
          <w:sz w:val="20"/>
        </w:rPr>
        <w:t>────────────────────────────────────────────────────────────</w:t>
      </w:r>
    </w:p>
    <w:p>
      <w:pPr>
        <w:spacing w:after="600"/>
        <w:jc w:val="center"/>
      </w:pPr>
      <w:r>
        <w:rPr>
          <w:rFonts w:ascii="Times New Roman" w:hAnsi="Times New Roman"/>
          <w:color w:val="475569"/>
          <w:sz w:val="20"/>
        </w:rPr>
        <w:t>Competition Category / Track:</w:t>
        <w:br/>
      </w:r>
      <w:r>
        <w:rPr>
          <w:rFonts w:ascii="Times New Roman" w:hAnsi="Times New Roman"/>
          <w:b/>
          <w:sz w:val="22"/>
        </w:rPr>
        <w:t>HackNusa 2026 · AI vs AI Defense Track</w:t>
      </w:r>
    </w:p>
    <w:p>
      <w:pPr>
        <w:spacing w:after="400"/>
        <w:jc w:val="center"/>
      </w:pPr>
      <w:r>
        <w:rPr>
          <w:rFonts w:ascii="Times New Roman" w:hAnsi="Times New Roman"/>
          <w:color w:val="475569"/>
          <w:sz w:val="20"/>
        </w:rPr>
        <w:t>Proposed By:</w:t>
        <w:br/>
      </w:r>
      <w:r>
        <w:rPr>
          <w:rFonts w:ascii="Times New Roman" w:hAnsi="Times New Roman"/>
          <w:b/>
          <w:sz w:val="21"/>
        </w:rPr>
        <w:t>SIAGA Team · Institut Teknologi Nasional Bandung</w:t>
      </w:r>
    </w:p>
    <w:p>
      <w:pPr>
        <w:spacing w:after="720"/>
        <w:jc w:val="center"/>
      </w:pPr>
      <w:r>
        <w:rPr>
          <w:rFonts w:ascii="Times New Roman" w:hAnsi="Times New Roman"/>
          <w:color w:val="475569"/>
          <w:sz w:val="19"/>
        </w:rPr>
        <w:t>Open Source Repository (Open Reproducibility):</w:t>
        <w:br/>
      </w:r>
      <w:r>
        <w:rPr>
          <w:rFonts w:ascii="Times New Roman" w:hAnsi="Times New Roman"/>
          <w:sz w:val="19"/>
        </w:rPr>
        <w:t>https://github.com/Adikafazaa/SIAGA</w:t>
      </w:r>
    </w:p>
    <w:p>
      <w:pPr>
        <w:spacing w:before="720"/>
        <w:jc w:val="center"/>
      </w:pPr>
      <w:r>
        <w:rPr>
          <w:rFonts w:ascii="Times New Roman" w:hAnsi="Times New Roman"/>
          <w:b/>
          <w:sz w:val="21"/>
        </w:rPr>
        <w:t>BANDUNG · OCTOBER 2026</w:t>
      </w:r>
    </w:p>
    <w:p>
      <w:pPr>
        <w:sectPr>
          <w:headerReference w:type="default" r:id="rId9"/>
          <w:footerReference w:type="default" r:id="rId10"/>
          <w:pgSz w:w="11906" w:h="16838"/>
          <w:pgMar w:top="1417" w:right="1417" w:bottom="1417" w:left="1417" w:header="720" w:footer="720" w:gutter="0"/>
          <w:cols w:space="720"/>
          <w:titlePg/>
          <w:docGrid w:linePitch="360"/>
        </w:sectPr>
      </w:pPr>
    </w:p>
    <w:p>
      <w:pPr>
        <w:keepNext/>
        <w:spacing w:before="160" w:after="60"/>
        <w:jc w:val="left"/>
      </w:pPr>
      <w:r>
        <w:rPr>
          <w:rFonts w:ascii="Times New Roman" w:hAnsi="Times New Roman"/>
          <w:b/>
          <w:color w:val="0F172A"/>
          <w:sz w:val="21"/>
        </w:rPr>
        <w:t>CHAPTER 1: INTRODUCTION &amp; BACKGROUND</w:t>
      </w:r>
    </w:p>
    <w:p>
      <w:pPr>
        <w:keepNext/>
        <w:spacing w:before="120" w:after="40"/>
        <w:jc w:val="left"/>
      </w:pPr>
      <w:r>
        <w:rPr>
          <w:rFonts w:ascii="Times New Roman" w:hAnsi="Times New Roman"/>
          <w:b/>
          <w:color w:val="0F172A"/>
          <w:sz w:val="20"/>
        </w:rPr>
        <w:t>1.1. Problem Addressed</w:t>
      </w:r>
    </w:p>
    <w:p>
      <w:pPr>
        <w:spacing w:before="0" w:after="56" w:line="276" w:lineRule="auto"/>
        <w:ind w:firstLine="227"/>
        <w:jc w:val="both"/>
      </w:pPr>
      <w:r>
        <w:rPr>
          <w:rFonts w:ascii="Times New Roman" w:hAnsi="Times New Roman"/>
          <w:b w:val="0"/>
          <w:i w:val="0"/>
          <w:color w:val="0F172A"/>
          <w:sz w:val="20"/>
        </w:rPr>
        <w:t xml:space="preserve">Mental health services require accessible first-line intake, yet clinical dialogues addressing symptoms, personal trauma, and therapeutic history generate exceptionally sensitive data. The World Health Organization (WHO) consistently highlights global service capacity disparities [1]. Validation studies by Kroenke et al. in the </w:t>
      </w:r>
      <w:r>
        <w:rPr>
          <w:rFonts w:ascii="Times New Roman" w:hAnsi="Times New Roman"/>
          <w:b w:val="0"/>
          <w:i/>
          <w:color w:val="0F172A"/>
          <w:sz w:val="20"/>
        </w:rPr>
        <w:t>Journal of General Internal Medicine</w:t>
      </w:r>
      <w:r>
        <w:rPr>
          <w:rFonts w:ascii="Times New Roman" w:hAnsi="Times New Roman"/>
          <w:b w:val="0"/>
          <w:i w:val="0"/>
          <w:color w:val="0F172A"/>
          <w:sz w:val="20"/>
        </w:rPr>
        <w:t xml:space="preserve"> substantiate the PHQ-9 as an efficient measure of depression severity [10]; Spitzer et al. in the </w:t>
      </w:r>
      <w:r>
        <w:rPr>
          <w:rFonts w:ascii="Times New Roman" w:hAnsi="Times New Roman"/>
          <w:b w:val="0"/>
          <w:i/>
          <w:color w:val="0F172A"/>
          <w:sz w:val="20"/>
        </w:rPr>
        <w:t>Archives of Internal Medicine</w:t>
      </w:r>
      <w:r>
        <w:rPr>
          <w:rFonts w:ascii="Times New Roman" w:hAnsi="Times New Roman"/>
          <w:b w:val="0"/>
          <w:i w:val="0"/>
          <w:color w:val="0F172A"/>
          <w:sz w:val="20"/>
        </w:rPr>
        <w:t xml:space="preserve"> corroborate the GAD-7 for generalized anxiety screening [11]. Crucially, both screening instruments indicate symptomatic severity rather than providing automated clinical diagnoses [3].</w:t>
      </w:r>
    </w:p>
    <w:p>
      <w:pPr>
        <w:spacing w:before="0" w:after="56" w:line="276" w:lineRule="auto"/>
        <w:ind w:firstLine="227"/>
        <w:jc w:val="both"/>
      </w:pPr>
      <w:r>
        <w:rPr>
          <w:rFonts w:ascii="Times New Roman" w:hAnsi="Times New Roman"/>
          <w:b w:val="0"/>
          <w:i w:val="0"/>
          <w:color w:val="0F172A"/>
          <w:sz w:val="20"/>
        </w:rPr>
        <w:t xml:space="preserve">When conversational assistants utilize large language models (LLMs), dialogue transcripts risk exposure through local storage, permissive access permissions, or third-party cloud APIs. Furthermore, adversarial actors can steer conversational agents incrementally: initial prompts appear innocuous, with malicious objectives emerging progressively across subsequent interaction turns. Russinovich et al. demonstrated this </w:t>
      </w:r>
      <w:r>
        <w:rPr>
          <w:rFonts w:ascii="Times New Roman" w:hAnsi="Times New Roman"/>
          <w:b w:val="0"/>
          <w:i/>
          <w:color w:val="0F172A"/>
          <w:sz w:val="20"/>
        </w:rPr>
        <w:t>Crescendo</w:t>
      </w:r>
      <w:r>
        <w:rPr>
          <w:rFonts w:ascii="Times New Roman" w:hAnsi="Times New Roman"/>
          <w:b w:val="0"/>
          <w:i w:val="0"/>
          <w:color w:val="0F172A"/>
          <w:sz w:val="20"/>
        </w:rPr>
        <w:t xml:space="preserve"> attack paradigm in the proceedings of </w:t>
      </w:r>
      <w:r>
        <w:rPr>
          <w:rFonts w:ascii="Times New Roman" w:hAnsi="Times New Roman"/>
          <w:b w:val="0"/>
          <w:i/>
          <w:color w:val="0F172A"/>
          <w:sz w:val="20"/>
        </w:rPr>
        <w:t>USENIX Security 2025</w:t>
      </w:r>
      <w:r>
        <w:rPr>
          <w:rFonts w:ascii="Times New Roman" w:hAnsi="Times New Roman"/>
          <w:b w:val="0"/>
          <w:i w:val="0"/>
          <w:color w:val="0F172A"/>
          <w:sz w:val="20"/>
        </w:rPr>
        <w:t xml:space="preserve"> [2]. While these findings underscore the urgent necessity of multi-turn inspection, they do not by themselves establish the empirical efficacy of SIAGA's proprietary defense mechanism.</w:t>
      </w:r>
    </w:p>
    <w:p>
      <w:pPr>
        <w:keepNext/>
        <w:spacing w:before="120" w:after="40"/>
        <w:jc w:val="left"/>
      </w:pPr>
      <w:r>
        <w:rPr>
          <w:rFonts w:ascii="Times New Roman" w:hAnsi="Times New Roman"/>
          <w:b/>
          <w:color w:val="0F172A"/>
          <w:sz w:val="20"/>
        </w:rPr>
        <w:t>1.2. Relevance to Competition Track</w:t>
      </w:r>
    </w:p>
    <w:p>
      <w:pPr>
        <w:spacing w:before="0" w:after="56" w:line="276" w:lineRule="auto"/>
        <w:ind w:firstLine="227"/>
        <w:jc w:val="both"/>
      </w:pPr>
      <w:r>
        <w:rPr>
          <w:rFonts w:ascii="Times New Roman" w:hAnsi="Times New Roman"/>
          <w:b w:val="0"/>
          <w:i w:val="0"/>
          <w:color w:val="0F172A"/>
          <w:sz w:val="20"/>
        </w:rPr>
        <w:t xml:space="preserve">SIAGA establishes a stateful security inspection gateway between the end user and the underlying language model. This inspector maintains cross-turn risk signals, quantifies trajectory shifts in conversational intent, and arbitrates whether each request is forwarded (ALLOW), logged under elevated surveillance (WATCH), challenged (PROBE), or terminated (BLOCK). This defensive posture aligns squarely with the HackNusa </w:t>
      </w:r>
      <w:r>
        <w:rPr>
          <w:rFonts w:ascii="Times New Roman" w:hAnsi="Times New Roman"/>
          <w:b w:val="0"/>
          <w:i/>
          <w:color w:val="0F172A"/>
          <w:sz w:val="20"/>
        </w:rPr>
        <w:t>AI vs AI Defense</w:t>
      </w:r>
      <w:r>
        <w:rPr>
          <w:rFonts w:ascii="Times New Roman" w:hAnsi="Times New Roman"/>
          <w:b w:val="0"/>
          <w:i w:val="0"/>
          <w:color w:val="0F172A"/>
          <w:sz w:val="20"/>
        </w:rPr>
        <w:t xml:space="preserve"> track: automated adversaries exploit the dialogue capabilities of the model, whereas our defense fuses textual representation analysis with longitudinal interaction history. The mitigation of prompt injection vectors and sensitive information disclosure directly addresses foundational vulnerabilities delineated in the OWASP Top 10 for LLM Applications [6].</w:t>
      </w:r>
    </w:p>
    <w:p>
      <w:pPr>
        <w:keepNext/>
        <w:spacing w:before="120" w:after="40"/>
        <w:jc w:val="left"/>
      </w:pPr>
      <w:r>
        <w:rPr>
          <w:rFonts w:ascii="Times New Roman" w:hAnsi="Times New Roman"/>
          <w:b/>
          <w:color w:val="0F172A"/>
          <w:sz w:val="20"/>
        </w:rPr>
        <w:t>1.3. Objectives and Limitations</w:t>
      </w:r>
    </w:p>
    <w:p>
      <w:pPr>
        <w:spacing w:before="0" w:after="56" w:line="276" w:lineRule="auto"/>
        <w:ind w:firstLine="227"/>
        <w:jc w:val="both"/>
      </w:pPr>
      <w:r>
        <w:rPr>
          <w:rFonts w:ascii="Times New Roman" w:hAnsi="Times New Roman"/>
          <w:b w:val="0"/>
          <w:i w:val="0"/>
          <w:color w:val="0F172A"/>
          <w:sz w:val="20"/>
        </w:rPr>
        <w:t>The primary objective of this prototype is to demonstrate an integrated digital counseling pipeline capable of executing automated screening, supportive dialogue, clinician oversight, and security incident monitoring via a single unified stateful gateway. The proof-of-concept (PoC) leverages local Small Language Models (SLMs) whenever Ollama services are active; when unavailable, the system invokes deterministic fallback responses, and the frontend can operate in an explicitly labeled simulation mode. This platform is not validated as a diagnostic medical device, is not certified for unconstrained clinical deployment, and has not undergone comprehensive regulatory compliance auditing. These explicit boundaries establish the empirical roadmap detailed in Chapter 6.</w:t>
      </w:r>
    </w:p>
    <w:p>
      <w:pPr>
        <w:keepNext/>
        <w:spacing w:before="120" w:after="40"/>
        <w:jc w:val="left"/>
      </w:pPr>
      <w:r>
        <w:rPr>
          <w:rFonts w:ascii="Times New Roman" w:hAnsi="Times New Roman"/>
          <w:b/>
          <w:color w:val="0F172A"/>
          <w:sz w:val="20"/>
        </w:rPr>
        <w:t>1.4. Threat Scenarios and Success Metrics</w:t>
      </w:r>
    </w:p>
    <w:p>
      <w:pPr>
        <w:spacing w:before="0" w:after="56" w:line="276" w:lineRule="auto"/>
        <w:ind w:firstLine="227"/>
        <w:jc w:val="both"/>
      </w:pPr>
      <w:r>
        <w:rPr>
          <w:rFonts w:ascii="Times New Roman" w:hAnsi="Times New Roman"/>
          <w:b w:val="0"/>
          <w:i w:val="0"/>
          <w:color w:val="0F172A"/>
          <w:sz w:val="20"/>
        </w:rPr>
        <w:t>The core evaluation scenario commences with an adversary inquiring innocuously about session documentation protocols, escalating toward electronic medical record schemas, asserting spoofed clinician authority, and ultimately demanding raw patient consultation transcripts. While the terminal request is overtly malicious, the initial prompts mimic benign administrative inquiries. Stateless defenses evaluating only the latest prompt miss the critical trajectory shift preceding explicit exfiltration. SIAGA is architected to intercept such multi-turn escalation at the session level, while concurrently preserving natural interaction for distressed patients seeking emotional support without triggering spurious blocks due to emotionally charged phrasing.</w:t>
      </w:r>
    </w:p>
    <w:p>
      <w:pPr>
        <w:spacing w:before="0" w:after="56" w:line="276" w:lineRule="auto"/>
        <w:ind w:firstLine="227"/>
        <w:jc w:val="both"/>
      </w:pPr>
      <w:r>
        <w:rPr>
          <w:rFonts w:ascii="Times New Roman" w:hAnsi="Times New Roman"/>
          <w:b w:val="0"/>
          <w:i w:val="0"/>
          <w:color w:val="0F172A"/>
          <w:sz w:val="20"/>
        </w:rPr>
        <w:t>Technical defense efficacy is evaluated against four objective metrics: the proportion of attack trajectories successfully mitigated prior to model execution (Attack Success Rate / ASR mitigation), the false positive rate (FPR) across benign clinical counseling dialogues, the specific conversation turn at which mitigation triggers (time-to-detection), and the marginal inspection latency overhead introduced per message. Each metric requires fixed evaluation conditions and rigorously labeled benchmark suites. Consequently, jury assessments can rely on reproducible empirical telemetry rather than hand-picked demonstrations. Clinical safety remains a separate domain requiring formal institutional supervision, safety governance, and validation by licensed healthcare professionals.</w:t>
      </w:r>
    </w:p>
    <w:p>
      <w:pPr>
        <w:keepNext/>
        <w:spacing w:before="160" w:after="60"/>
        <w:jc w:val="left"/>
      </w:pPr>
      <w:r>
        <w:rPr>
          <w:rFonts w:ascii="Times New Roman" w:hAnsi="Times New Roman"/>
          <w:b/>
          <w:color w:val="0F172A"/>
          <w:sz w:val="21"/>
        </w:rPr>
        <w:t>CHAPTER 2: SOLUTION OVERVIEW &amp; MARKET DIFFERENTIATION</w:t>
      </w:r>
    </w:p>
    <w:p>
      <w:pPr>
        <w:keepNext/>
        <w:spacing w:before="120" w:after="40"/>
        <w:jc w:val="left"/>
      </w:pPr>
      <w:r>
        <w:rPr>
          <w:rFonts w:ascii="Times New Roman" w:hAnsi="Times New Roman"/>
          <w:b/>
          <w:color w:val="0F172A"/>
          <w:sz w:val="20"/>
        </w:rPr>
        <w:t>2.1. Developed Solution</w:t>
      </w:r>
    </w:p>
    <w:p>
      <w:pPr>
        <w:spacing w:before="0" w:after="56" w:line="276" w:lineRule="auto"/>
        <w:ind w:firstLine="227"/>
        <w:jc w:val="both"/>
      </w:pPr>
      <w:r>
        <w:rPr>
          <w:rFonts w:ascii="Times New Roman" w:hAnsi="Times New Roman"/>
          <w:b w:val="0"/>
          <w:i w:val="0"/>
          <w:color w:val="0F172A"/>
          <w:sz w:val="20"/>
        </w:rPr>
        <w:t>PsychoBot delivers a patient-facing conversational console supporting self-administered PHQ-9 and GAD-7 screening alongside real-time empathetic dialogue. The Clinician Portal provides role-gated access to patient profiles and clinical assessments. The SOC Console provides real-time security telemetry, audit logs, and cumulative risk trajectory curves. The FastAPI backend ingests client messages, routes them through SIAGA L0–L3 inspection pipelines, and exclusively forwards requests yielding ALLOW or WATCH verdicts to the response generation engine. A PROBE verdict withholds LLM generation to issue an interactive canary verification challenge, whereas a BLOCK verdict terminates the active session trajectory.</w:t>
      </w:r>
    </w:p>
    <w:p>
      <w:pPr>
        <w:spacing w:before="0" w:after="56" w:line="276" w:lineRule="auto"/>
        <w:ind w:firstLine="227"/>
        <w:jc w:val="both"/>
      </w:pPr>
      <w:r>
        <w:rPr>
          <w:rFonts w:ascii="Times New Roman" w:hAnsi="Times New Roman"/>
          <w:b w:val="0"/>
          <w:i w:val="0"/>
          <w:color w:val="0F172A"/>
          <w:sz w:val="20"/>
        </w:rPr>
        <w:t xml:space="preserve">The core technical innovation is </w:t>
      </w:r>
      <w:r>
        <w:rPr>
          <w:rFonts w:ascii="Times New Roman" w:hAnsi="Times New Roman"/>
          <w:b w:val="0"/>
          <w:i/>
          <w:color w:val="0F172A"/>
          <w:sz w:val="20"/>
        </w:rPr>
        <w:t>Cumulative Intent Momentum</w:t>
      </w:r>
      <w:r>
        <w:rPr>
          <w:rFonts w:ascii="Times New Roman" w:hAnsi="Times New Roman"/>
          <w:b w:val="0"/>
          <w:i w:val="0"/>
          <w:color w:val="0F172A"/>
          <w:sz w:val="20"/>
        </w:rPr>
        <w:t xml:space="preserve"> (CIM): conversational risk is not evaluated in isolation per turn, but dynamically updated using historical risk baselines, directional escalation velocity, semantic alignment with prior system prompts, and vector proximity to known adversarial clusters. Final policy decisions stem from multi-signal fusion, ensuring that decision thresholds are never interpreted as a simplistic single-metric cutoff.</w:t>
      </w:r>
    </w:p>
    <w:p>
      <w:pPr>
        <w:keepNext/>
        <w:spacing w:before="120" w:after="40"/>
        <w:jc w:val="left"/>
      </w:pPr>
      <w:r>
        <w:rPr>
          <w:rFonts w:ascii="Times New Roman" w:hAnsi="Times New Roman"/>
          <w:b/>
          <w:color w:val="0F172A"/>
          <w:sz w:val="20"/>
        </w:rPr>
        <w:t>2.2. Defensible Differentiators</w:t>
      </w:r>
    </w:p>
    <w:p>
      <w:pPr>
        <w:spacing w:before="0" w:after="56" w:line="276" w:lineRule="auto"/>
        <w:ind w:firstLine="227"/>
        <w:jc w:val="both"/>
      </w:pPr>
      <w:r>
        <w:rPr>
          <w:rFonts w:ascii="Times New Roman" w:hAnsi="Times New Roman"/>
          <w:b w:val="0"/>
          <w:i w:val="0"/>
          <w:color w:val="0F172A"/>
          <w:sz w:val="20"/>
        </w:rPr>
        <w:t xml:space="preserve">Table 1 contextualizes our architectural methodology against industry paradigms without asserting unsubstantiated direct benchmark claims against commercial third-party offerings. Foundational Crescendo literature establishes the imperative for multi-turn conversational evaluation [2], while industry guidance from Microsoft underscores mitigations accounting for sequential conversational dynamics [8]. Randomized controlled trials by Fitzpatrick et al. in </w:t>
      </w:r>
      <w:r>
        <w:rPr>
          <w:rFonts w:ascii="Times New Roman" w:hAnsi="Times New Roman"/>
          <w:b w:val="0"/>
          <w:i/>
          <w:color w:val="0F172A"/>
          <w:sz w:val="20"/>
        </w:rPr>
        <w:t>JMIR Mental Health</w:t>
      </w:r>
      <w:r>
        <w:rPr>
          <w:rFonts w:ascii="Times New Roman" w:hAnsi="Times New Roman"/>
          <w:b w:val="0"/>
          <w:i w:val="0"/>
          <w:color w:val="0F172A"/>
          <w:sz w:val="20"/>
        </w:rPr>
        <w:t xml:space="preserve"> demonstrated the initial feasibility of conversational agents for psychological support in modest cohorts [12]. That Woebot trial does not validate PsychoBot or guarantee SIAGA's clinical efficacy. Our proposed contribution lies in the tight coupling of clinical service workflows with layered pre-inference security inspection within an on-premise sovereign PoC.</w:t>
      </w:r>
    </w:p>
    <w:p>
      <w:pPr>
        <w:keepNext/>
        <w:spacing w:before="100" w:after="40"/>
        <w:jc w:val="center"/>
      </w:pPr>
      <w:r>
        <w:rPr>
          <w:rFonts w:ascii="Times New Roman" w:hAnsi="Times New Roman"/>
          <w:b/>
          <w:i w:val="0"/>
          <w:color w:val="0F172A"/>
          <w:sz w:val="17"/>
        </w:rPr>
        <w:t>Table 1. SIAGA's Positioning Relative to Common Approaches</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2409"/>
        <w:gridCol w:w="2409"/>
        <w:gridCol w:w="2409"/>
        <w:gridCol w:w="2409"/>
      </w:tblGrid>
      <w:tr>
        <w:trPr>
          <w:cantSplit/>
          <w:tblHeader/>
        </w:trPr>
        <w:tc>
          <w:tcPr>
            <w:tcW w:type="dxa" w:w="96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Approach</w:t>
            </w:r>
          </w:p>
        </w:tc>
        <w:tc>
          <w:tcPr>
            <w:tcW w:type="dxa" w:w="107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Evaluated Context</w:t>
            </w:r>
          </w:p>
        </w:tc>
        <w:tc>
          <w:tcPr>
            <w:tcW w:type="dxa" w:w="119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Core Strengths</w:t>
            </w:r>
          </w:p>
        </w:tc>
        <w:tc>
          <w:tcPr>
            <w:tcW w:type="dxa" w:w="119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Key Architectural Limitations</w:t>
            </w:r>
          </w:p>
        </w:tc>
      </w:tr>
      <w:tr>
        <w:trPr>
          <w:cantSplit/>
        </w:trPr>
        <w:tc>
          <w:tcPr>
            <w:tcW w:type="dxa" w:w="96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Rule-based per message</w:t>
            </w:r>
          </w:p>
        </w:tc>
        <w:tc>
          <w:tcPr>
            <w:tcW w:type="dxa" w:w="107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Single prompt input</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Lightweight and easily auditable</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Blind to cross-turn escalation trajectories</w:t>
            </w:r>
          </w:p>
        </w:tc>
      </w:tr>
      <w:tr>
        <w:trPr>
          <w:cantSplit/>
        </w:trPr>
        <w:tc>
          <w:tcPr>
            <w:tcW w:type="dxa" w:w="96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Model-based per message</w:t>
            </w:r>
          </w:p>
        </w:tc>
        <w:tc>
          <w:tcPr>
            <w:tcW w:type="dxa" w:w="107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Single prompt via classifier</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High linguistic flexibility</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Bound to classifier latency and static thresholds</w:t>
            </w:r>
          </w:p>
        </w:tc>
      </w:tr>
      <w:tr>
        <w:trPr>
          <w:cantSplit/>
        </w:trPr>
        <w:tc>
          <w:tcPr>
            <w:tcW w:type="dxa" w:w="96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Multi-turn conversational guard</w:t>
            </w:r>
          </w:p>
        </w:tc>
        <w:tc>
          <w:tcPr>
            <w:tcW w:type="dxa" w:w="107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Multiple dialogue turns</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Captures progressive dialogue shifts</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Requires complex state tracking; risk of elevated FPR</w:t>
            </w:r>
          </w:p>
        </w:tc>
      </w:tr>
      <w:tr>
        <w:trPr>
          <w:cantSplit/>
        </w:trPr>
        <w:tc>
          <w:tcPr>
            <w:tcW w:type="dxa" w:w="96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SIAGA Architecture</w:t>
            </w:r>
          </w:p>
        </w:tc>
        <w:tc>
          <w:tcPr>
            <w:tcW w:type="dxa" w:w="107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Pre-inference L0–L3 signals per session</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Combines stateful tracking, fused arbitration, and local telemetry</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Awaits extensive multi-model benchmarking and clinical trials</w:t>
            </w:r>
          </w:p>
        </w:tc>
      </w:tr>
    </w:tbl>
    <w:p>
      <w:pPr>
        <w:spacing w:before="0" w:after="40"/>
      </w:pPr>
    </w:p>
    <w:p>
      <w:pPr>
        <w:keepNext/>
        <w:spacing w:before="120" w:after="40"/>
        <w:jc w:val="left"/>
      </w:pPr>
      <w:r>
        <w:rPr>
          <w:rFonts w:ascii="Times New Roman" w:hAnsi="Times New Roman"/>
          <w:b/>
          <w:color w:val="0F172A"/>
          <w:sz w:val="20"/>
        </w:rPr>
        <w:t>2.3. Value Proposition</w:t>
      </w:r>
    </w:p>
    <w:p>
      <w:pPr>
        <w:spacing w:before="0" w:after="56" w:line="276" w:lineRule="auto"/>
        <w:ind w:firstLine="227"/>
        <w:jc w:val="both"/>
      </w:pPr>
      <w:r>
        <w:rPr>
          <w:rFonts w:ascii="Times New Roman" w:hAnsi="Times New Roman"/>
          <w:b w:val="0"/>
          <w:i w:val="0"/>
          <w:color w:val="0F172A"/>
          <w:sz w:val="20"/>
        </w:rPr>
        <w:t>SIAGA demonstrates three core capabilities within the operational prototype: deterministic pre-inference inspection before prompts reach the LLM, transparent per-turn decision explainability, and physical separation between security telemetry and clinical application records. Local execution via Ollama eliminates the transmission of raw medical transcripts to external third-party cloud APIs within this configuration. This sovereignty advantage depends intrinsically on local infrastructure controls and storage governance; it does not constitute automatic statutory compliance with data privacy mandates such as Indonesia's UU PDP.</w:t>
      </w:r>
    </w:p>
    <w:p>
      <w:pPr>
        <w:spacing w:before="0" w:after="56" w:line="276" w:lineRule="auto"/>
        <w:ind w:firstLine="227"/>
        <w:jc w:val="both"/>
      </w:pPr>
      <w:r>
        <w:rPr>
          <w:rFonts w:ascii="Times New Roman" w:hAnsi="Times New Roman"/>
          <w:b w:val="0"/>
          <w:i w:val="0"/>
          <w:color w:val="0F172A"/>
          <w:sz w:val="20"/>
        </w:rPr>
        <w:t xml:space="preserve">To prevent capability hijacking, SIAGA enforces an explicit </w:t>
      </w:r>
      <w:r>
        <w:rPr>
          <w:rFonts w:ascii="Times New Roman" w:hAnsi="Times New Roman"/>
          <w:b w:val="0"/>
          <w:i/>
          <w:color w:val="0F172A"/>
          <w:sz w:val="20"/>
        </w:rPr>
        <w:t>Out-of-Domain Task Restriction</w:t>
      </w:r>
      <w:r>
        <w:rPr>
          <w:rFonts w:ascii="Times New Roman" w:hAnsi="Times New Roman"/>
          <w:b w:val="0"/>
          <w:i w:val="0"/>
          <w:color w:val="0F172A"/>
          <w:sz w:val="20"/>
        </w:rPr>
        <w:t xml:space="preserve"> policy. As a specialized clinical mental health conversational agent, PsychoBot strictly declines requests to generate software code, program scripts, or general computing solutions outside of emotional and psychological counseling. When a user requests code generation (such as Python scripts or application coding), the system ethically refuses the programming task and redirects the dialogue to explore whether the user is experiencing acute stress or academic/workplace anxiety related to their programming workload. Conversely, if the request solicits malicious code (such as exploits, keyloggers, or database exfiltration scripts), SIAGA's L1/L3 guardrails actively intercept and block the session.</w:t>
      </w:r>
    </w:p>
    <w:p>
      <w:pPr>
        <w:keepNext/>
        <w:spacing w:before="120" w:after="40"/>
        <w:jc w:val="left"/>
      </w:pPr>
      <w:r>
        <w:rPr>
          <w:rFonts w:ascii="Times New Roman" w:hAnsi="Times New Roman"/>
          <w:b/>
          <w:color w:val="0F172A"/>
          <w:sz w:val="20"/>
        </w:rPr>
        <w:t>2.4. Three-Role User Experience</w:t>
      </w:r>
    </w:p>
    <w:p>
      <w:pPr>
        <w:spacing w:before="0" w:after="56" w:line="276" w:lineRule="auto"/>
        <w:ind w:firstLine="227"/>
        <w:jc w:val="both"/>
      </w:pPr>
      <w:r>
        <w:rPr>
          <w:rFonts w:ascii="Times New Roman" w:hAnsi="Times New Roman"/>
          <w:b/>
          <w:i w:val="0"/>
          <w:color w:val="0F172A"/>
          <w:sz w:val="20"/>
        </w:rPr>
        <w:t>Patients</w:t>
      </w:r>
      <w:r>
        <w:rPr>
          <w:rFonts w:ascii="Times New Roman" w:hAnsi="Times New Roman"/>
          <w:b w:val="0"/>
          <w:i w:val="0"/>
          <w:color w:val="0F172A"/>
          <w:sz w:val="20"/>
        </w:rPr>
        <w:t xml:space="preserve"> access a streamlined interface for self-guided psychological screening and supportive conversation. Screening outputs are formatted strictly as numerical scores and symptom tiers rather than automated medical conclusions. </w:t>
      </w:r>
      <w:r>
        <w:rPr>
          <w:rFonts w:ascii="Times New Roman" w:hAnsi="Times New Roman"/>
          <w:b/>
          <w:i w:val="0"/>
          <w:color w:val="0F172A"/>
          <w:sz w:val="20"/>
        </w:rPr>
        <w:t>Clinicians</w:t>
      </w:r>
      <w:r>
        <w:rPr>
          <w:rFonts w:ascii="Times New Roman" w:hAnsi="Times New Roman"/>
          <w:b w:val="0"/>
          <w:i w:val="0"/>
          <w:color w:val="0F172A"/>
          <w:sz w:val="20"/>
        </w:rPr>
        <w:t xml:space="preserve"> inspect authorized patient records and append clinical progress notes within their dedicated portal. </w:t>
      </w:r>
      <w:r>
        <w:rPr>
          <w:rFonts w:ascii="Times New Roman" w:hAnsi="Times New Roman"/>
          <w:b/>
          <w:i w:val="0"/>
          <w:color w:val="0F172A"/>
          <w:sz w:val="20"/>
        </w:rPr>
        <w:t>SOC Operators</w:t>
      </w:r>
      <w:r>
        <w:rPr>
          <w:rFonts w:ascii="Times New Roman" w:hAnsi="Times New Roman"/>
          <w:b w:val="0"/>
          <w:i w:val="0"/>
          <w:color w:val="0F172A"/>
          <w:sz w:val="20"/>
        </w:rPr>
        <w:t xml:space="preserve"> monitor security telemetry, reviewing decision justifications and longitudinal risk vectors. This explicit role separation ensures that automated security governance does not compromise empathetic, unhindered care delivery.</w:t>
      </w:r>
    </w:p>
    <w:p>
      <w:pPr>
        <w:spacing w:before="0" w:after="56" w:line="276" w:lineRule="auto"/>
        <w:ind w:firstLine="227"/>
        <w:jc w:val="both"/>
      </w:pPr>
      <w:r>
        <w:rPr>
          <w:rFonts w:ascii="Times New Roman" w:hAnsi="Times New Roman"/>
          <w:b w:val="0"/>
          <w:i w:val="0"/>
          <w:color w:val="0F172A"/>
          <w:sz w:val="20"/>
        </w:rPr>
        <w:t>Upon triggering a PROBE state, the system halts prompt propagation to the primary LLM, serving a structured cognitive challenge to evaluate the respondent's trajectory. Ambiguous responses maintain a WATCH posture, whereas confirmed adversarial vectors transition immediately to BLOCK. This mechanism serves as an experimental control rather than an infallible Turing verification. High-consequence decisions in production environments necessitate human-in-the-loop escalation paths and validated session recovery protocols.</w:t>
      </w:r>
    </w:p>
    <w:p>
      <w:pPr>
        <w:keepNext/>
        <w:spacing w:before="160" w:after="60"/>
        <w:jc w:val="left"/>
      </w:pPr>
      <w:r>
        <w:rPr>
          <w:rFonts w:ascii="Times New Roman" w:hAnsi="Times New Roman"/>
          <w:b/>
          <w:color w:val="0F172A"/>
          <w:sz w:val="21"/>
        </w:rPr>
        <w:t>CHAPTER 3: PROOF OF CONCEPT IMPLEMENTATION</w:t>
      </w:r>
    </w:p>
    <w:p>
      <w:pPr>
        <w:keepNext/>
        <w:spacing w:before="120" w:after="40"/>
        <w:jc w:val="left"/>
      </w:pPr>
      <w:r>
        <w:rPr>
          <w:rFonts w:ascii="Times New Roman" w:hAnsi="Times New Roman"/>
          <w:b/>
          <w:color w:val="0F172A"/>
          <w:sz w:val="20"/>
        </w:rPr>
        <w:t>3.1. Demonstration Workflow</w:t>
      </w:r>
    </w:p>
    <w:p>
      <w:pPr>
        <w:spacing w:before="0" w:after="56" w:line="276" w:lineRule="auto"/>
        <w:ind w:firstLine="227"/>
        <w:jc w:val="both"/>
      </w:pPr>
      <w:r>
        <w:rPr>
          <w:rFonts w:ascii="Times New Roman" w:hAnsi="Times New Roman"/>
          <w:b w:val="0"/>
          <w:i w:val="0"/>
          <w:color w:val="0F172A"/>
          <w:sz w:val="20"/>
        </w:rPr>
        <w:t>The demonstration sequence begins with a user authenticating as a patient, completing an intake assessment, and initiating a supportive counseling session. The frontend client automatically targets the live backend API upon successful health-check probes; should the service become unreachable, a labeled mock simulation mode provides local interface continuity. In live mode, inbound messages traverse SIAGA's inspection pipeline. Benign dialogues receive immediate conversational responses, while security personnel observe real-time decision rationale and risk curves. Concurrently, clinicians review validated assessments and author clinical documentation. This multi-role journey illustrates the holistic integration between clinical services, guardrail gating, and security telemetry, without conflating simulated mock states with verified backend performance.</w:t>
      </w:r>
    </w:p>
    <w:p>
      <w:pPr>
        <w:keepNext/>
        <w:spacing w:before="120" w:after="40"/>
        <w:jc w:val="left"/>
      </w:pPr>
      <w:r>
        <w:rPr>
          <w:rFonts w:ascii="Times New Roman" w:hAnsi="Times New Roman"/>
          <w:b/>
          <w:color w:val="0F172A"/>
          <w:sz w:val="20"/>
        </w:rPr>
        <w:t>3.2. Existing Features and Their Status</w:t>
      </w:r>
    </w:p>
    <w:p>
      <w:pPr>
        <w:spacing w:before="0" w:after="56" w:line="276" w:lineRule="auto"/>
        <w:ind w:firstLine="227"/>
        <w:jc w:val="both"/>
      </w:pPr>
      <w:r>
        <w:rPr>
          <w:rFonts w:ascii="Times New Roman" w:hAnsi="Times New Roman"/>
          <w:b w:val="0"/>
          <w:i w:val="0"/>
          <w:color w:val="0F172A"/>
          <w:sz w:val="20"/>
        </w:rPr>
        <w:t>Table 2 delineates the capabilities actively implemented in codebase checkout [9] against optional dependencies and prospective roadmap items.</w:t>
      </w:r>
    </w:p>
    <w:p>
      <w:pPr>
        <w:keepNext/>
        <w:spacing w:before="100" w:after="40"/>
        <w:jc w:val="center"/>
      </w:pPr>
      <w:r>
        <w:rPr>
          <w:rFonts w:ascii="Times New Roman" w:hAnsi="Times New Roman"/>
          <w:b/>
          <w:i w:val="0"/>
          <w:color w:val="0F172A"/>
          <w:sz w:val="17"/>
        </w:rPr>
        <w:t>Table 2. PoC Component Status on Project Checkout</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119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Component</w:t>
            </w:r>
          </w:p>
        </w:tc>
        <w:tc>
          <w:tcPr>
            <w:tcW w:type="dxa" w:w="90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Current Status</w:t>
            </w:r>
          </w:p>
        </w:tc>
        <w:tc>
          <w:tcPr>
            <w:tcW w:type="dxa" w:w="232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Implementation Evidence or Boundary</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PHQ-9/GAD-7 screening and history</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Implemented</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Assessment endpoints and patient portal; yields screening metrics, not clinical diagnoses</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Guardrails L0–L3, PROBE, and BLOCK</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Implemented</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 xml:space="preserve">Pipeline orchestration in </w:t>
            </w:r>
            <w:r>
              <w:rPr>
                <w:rFonts w:ascii="Consolas" w:hAnsi="Consolas"/>
                <w:b w:val="0"/>
                <w:color w:val="0F172A"/>
                <w:sz w:val="13"/>
              </w:rPr>
              <w:t>backend/app/engine.py</w:t>
            </w:r>
            <w:r>
              <w:rPr>
                <w:rFonts w:ascii="Times New Roman" w:hAnsi="Times New Roman"/>
                <w:b w:val="0"/>
                <w:i w:val="0"/>
                <w:color w:val="0F172A"/>
                <w:sz w:val="15"/>
              </w:rPr>
              <w:t xml:space="preserve"> and test suites in </w:t>
            </w:r>
            <w:r>
              <w:rPr>
                <w:rFonts w:ascii="Consolas" w:hAnsi="Consolas"/>
                <w:b w:val="0"/>
                <w:color w:val="0F172A"/>
                <w:sz w:val="13"/>
              </w:rPr>
              <w:t>backend/tests/</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Streaming dialogue and SOC telemetry</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Implemented</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SSE streaming endpoints and admin console; data source reflects live/mock state</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Local small language model (SLM)</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Conditional</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Ollama client integrated; deterministic fallback engaged when service is inactive</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Quantized ONNX INT8 intent engine</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Conditional</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Loader code present; falls back to lexical hashing and heuristics when weights are omitted</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Clinician SIP license validation</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Constrained</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Validates formal eight-digit formatting; does not query national regulatory registries</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SATUSEHAT FHIR, semantic cache, TAP runner</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Planned</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Architectural specifications drafted; modules not packaged within this checkout</w:t>
            </w:r>
          </w:p>
        </w:tc>
      </w:tr>
    </w:tbl>
    <w:p>
      <w:pPr>
        <w:spacing w:before="0" w:after="40"/>
      </w:pPr>
    </w:p>
    <w:p>
      <w:pPr>
        <w:keepNext/>
        <w:spacing w:before="120" w:after="40"/>
        <w:jc w:val="left"/>
      </w:pPr>
      <w:r>
        <w:rPr>
          <w:rFonts w:ascii="Times New Roman" w:hAnsi="Times New Roman"/>
          <w:b/>
          <w:color w:val="0F172A"/>
          <w:sz w:val="20"/>
        </w:rPr>
        <w:t>3.3. Test Evidence and Inference Boundaries</w:t>
      </w:r>
    </w:p>
    <w:p>
      <w:pPr>
        <w:spacing w:before="0" w:after="56" w:line="276" w:lineRule="auto"/>
        <w:ind w:firstLine="227"/>
        <w:jc w:val="both"/>
      </w:pPr>
      <w:r>
        <w:rPr>
          <w:rFonts w:ascii="Times New Roman" w:hAnsi="Times New Roman"/>
          <w:b w:val="0"/>
          <w:i w:val="0"/>
          <w:color w:val="0F172A"/>
          <w:sz w:val="20"/>
        </w:rPr>
        <w:t>The codebase incorporates automated verification suites spanning Unicode zero-width canonicalization, cumulative momentum tracking, benign dialogue tolerance, 5-turn adversarial escalation, decision threshold arbitration, probe challenges, role-based authorization, assessment scoring, and SSE transport [9]. While validating functional integrity, these unit tests are insufficient to establish population-level Attack Success Rates (ASR) or False Positive Rates (FPR). The SLM empirical benchmarks detailed in Chapter 4 derive from archived execution telemetry [14]; they evaluate raw model inference isolated from guardrail interception and are not presented as proof of multi-turn systemic immunity.</w:t>
      </w:r>
    </w:p>
    <w:p>
      <w:pPr>
        <w:spacing w:before="0" w:after="56" w:line="276" w:lineRule="auto"/>
        <w:ind w:firstLine="227"/>
        <w:jc w:val="both"/>
      </w:pPr>
      <w:r>
        <w:rPr>
          <w:rFonts w:ascii="Times New Roman" w:hAnsi="Times New Roman"/>
          <w:b w:val="0"/>
          <w:i w:val="0"/>
          <w:color w:val="0F172A"/>
          <w:sz w:val="20"/>
        </w:rPr>
        <w:t>Subsequent empirical evaluations must preserve labeled prompt corpora, exact model revisions, hardware parameters, balanced benign/attack distributions, scoring heuristics, and latency logs per inspection layer. Findings must be reported with rigorous sample sizes and confidence intervals rather than absolute defensive claims. All PoC components, evaluation datasets, and reproduction instructions are maintained at: https://github.com/Adikafazaa/SIAGA.</w:t>
      </w:r>
    </w:p>
    <w:p>
      <w:pPr>
        <w:keepNext/>
        <w:spacing w:before="120" w:after="40"/>
        <w:jc w:val="left"/>
      </w:pPr>
      <w:r>
        <w:rPr>
          <w:rFonts w:ascii="Times New Roman" w:hAnsi="Times New Roman"/>
          <w:b/>
          <w:color w:val="0F172A"/>
          <w:sz w:val="20"/>
        </w:rPr>
        <w:t>3.4. Repeatable Demonstration Criteria</w:t>
      </w:r>
    </w:p>
    <w:p>
      <w:pPr>
        <w:spacing w:before="0" w:after="56" w:line="276" w:lineRule="auto"/>
        <w:ind w:firstLine="227"/>
        <w:jc w:val="both"/>
      </w:pPr>
      <w:r>
        <w:rPr>
          <w:rFonts w:ascii="Times New Roman" w:hAnsi="Times New Roman"/>
          <w:b w:val="0"/>
          <w:i w:val="0"/>
          <w:color w:val="0F172A"/>
          <w:sz w:val="20"/>
        </w:rPr>
        <w:t>Jury verification protocols should execute two isolated sessions in live backend connectivity mode. The first session models a genuine patient expressing anxiety, verifying that the assistant maintains uninhibited, empathetic counseling. The second session models a canonical 5-turn Crescendo escalation targeting patient transcript exfiltration, allowing the SOC console to demonstrate incremental score progression, transparent policy reasoning, and terminal containment. The mock simulation mode is strictly reserved for UI evaluation when backend runtime dependencies are offline.</w:t>
      </w:r>
    </w:p>
    <w:p>
      <w:pPr>
        <w:spacing w:before="0" w:after="56" w:line="276" w:lineRule="auto"/>
        <w:ind w:firstLine="227"/>
        <w:jc w:val="both"/>
      </w:pPr>
      <w:r>
        <w:rPr>
          <w:rFonts w:ascii="Times New Roman" w:hAnsi="Times New Roman"/>
          <w:b w:val="0"/>
          <w:i w:val="0"/>
          <w:color w:val="0F172A"/>
          <w:sz w:val="20"/>
        </w:rPr>
        <w:t>To ensure strict scientific reproducibility, demonstration packages must document repository commit hashes, threshold configurations, active model weights, hardware profiles, and container invocation commands. Output telemetry must clearly isolate guardrail interception latency from model token generation duration. When an adversarial prompt fails to breach defenses, conclusions must remain strictly bounded to the specific test scenario rather than generalized into claims of universal invulnerability.</w:t>
      </w:r>
    </w:p>
    <w:p>
      <w:pPr>
        <w:spacing w:before="0" w:after="56" w:line="276" w:lineRule="auto"/>
        <w:ind w:firstLine="227"/>
        <w:jc w:val="both"/>
      </w:pPr>
      <w:r>
        <w:rPr>
          <w:rFonts w:ascii="Times New Roman" w:hAnsi="Times New Roman"/>
          <w:b w:val="0"/>
          <w:i w:val="0"/>
          <w:color w:val="0F172A"/>
          <w:sz w:val="20"/>
        </w:rPr>
        <w:t>Table 3 operationalizes these evaluation criteria into observable verification checkpoints for peer review and jury audit.</w:t>
      </w:r>
    </w:p>
    <w:p>
      <w:pPr>
        <w:keepNext/>
        <w:spacing w:before="100" w:after="40"/>
        <w:jc w:val="center"/>
      </w:pPr>
      <w:r>
        <w:rPr>
          <w:rFonts w:ascii="Times New Roman" w:hAnsi="Times New Roman"/>
          <w:b/>
          <w:i w:val="0"/>
          <w:color w:val="0F172A"/>
          <w:sz w:val="17"/>
        </w:rPr>
        <w:t>Table 3. PoC Demonstration Verification Matrix</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113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Scenario</w:t>
            </w:r>
          </w:p>
        </w:tc>
        <w:tc>
          <w:tcPr>
            <w:tcW w:type="dxa" w:w="181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Observable Evaluation Criteria</w:t>
            </w:r>
          </w:p>
        </w:tc>
        <w:tc>
          <w:tcPr>
            <w:tcW w:type="dxa" w:w="147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Concrete Codebase Traceability</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Benign patient dialogue</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Responsive counseling delivered; session state and telemetry correctly logged</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Chat router and application persistence layer</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5-turn Crescendo escalation</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Risk score accumulates dynamically; malicious exfiltration halted prior to LLM</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CIM state engine, multi-signal fusion, test suites</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Interactive probe challenge</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LLM generation withheld; user response dictates subsequent probe resolution</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Probe state machine and verification endpoint</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Clinical assessment intake</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Standardized PHQ-9/GAD-7 scoring calculated; longitudinal history visualized</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Assessment router and patient interface</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Role-based access control</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Patient tokens strictly barred from clinician and SOC administrative endpoints</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Authentication dependencies and API test suites</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Resilient failure modes</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Mock simulation clearly badged; model offline states engage deterministic fallbacks</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Frontend API facade and resilient LLM client</w:t>
            </w:r>
          </w:p>
        </w:tc>
      </w:tr>
    </w:tbl>
    <w:p>
      <w:pPr>
        <w:spacing w:before="0" w:after="40"/>
      </w:pPr>
    </w:p>
    <w:p>
      <w:pPr>
        <w:keepNext/>
        <w:spacing w:before="120" w:after="40"/>
        <w:jc w:val="left"/>
      </w:pPr>
      <w:r>
        <w:rPr>
          <w:rFonts w:ascii="Times New Roman" w:hAnsi="Times New Roman"/>
          <w:b/>
          <w:color w:val="0F172A"/>
          <w:sz w:val="20"/>
        </w:rPr>
        <w:t>3.5. Subsequent Benchmark Protocol</w:t>
      </w:r>
    </w:p>
    <w:p>
      <w:pPr>
        <w:spacing w:before="0" w:after="56" w:line="276" w:lineRule="auto"/>
        <w:ind w:firstLine="227"/>
        <w:jc w:val="both"/>
      </w:pPr>
      <w:r>
        <w:rPr>
          <w:rFonts w:ascii="Times New Roman" w:hAnsi="Times New Roman"/>
          <w:b w:val="0"/>
          <w:i w:val="0"/>
          <w:color w:val="0F172A"/>
          <w:sz w:val="20"/>
        </w:rPr>
        <w:t>Comparative benchmarking requires executing SIAGA alongside peer baselines across identical conversational corpora. Every dialogue turn must be pre-annotated with semantic intent labels, ground-truth risk classifications, and explicit compromise criteria by independent evaluators blinded to system decisions. Model response quality must be appraised separately from gateway gating: preemptive blocking does not demonstrate counseling quality, nor does a single safe response prove defense against complex multi-turn manipulation. Latency metrics must be benchmarked on uniform hardware with model pre-warming and logged execution distributions. Comprehensive reporting must disclose all failure modes to ensure threshold tuning avoids overfitting to cherry-picked samples.</w:t>
      </w:r>
    </w:p>
    <w:p>
      <w:pPr>
        <w:keepNext/>
        <w:spacing w:before="120" w:after="40"/>
        <w:jc w:val="left"/>
      </w:pPr>
      <w:r>
        <w:rPr>
          <w:rFonts w:ascii="Times New Roman" w:hAnsi="Times New Roman"/>
          <w:b/>
          <w:color w:val="0F172A"/>
          <w:sz w:val="20"/>
        </w:rPr>
        <w:t>3.6. Metric Definitions and Experimental Controls</w:t>
      </w:r>
    </w:p>
    <w:p>
      <w:pPr>
        <w:spacing w:before="0" w:after="56" w:line="276" w:lineRule="auto"/>
        <w:ind w:firstLine="227"/>
        <w:jc w:val="both"/>
      </w:pPr>
      <w:r>
        <w:rPr>
          <w:rFonts w:ascii="Times New Roman" w:hAnsi="Times New Roman"/>
          <w:b w:val="0"/>
          <w:i/>
          <w:color w:val="0F172A"/>
          <w:sz w:val="20"/>
        </w:rPr>
        <w:t>Attack Success Rate</w:t>
      </w:r>
      <w:r>
        <w:rPr>
          <w:rFonts w:ascii="Times New Roman" w:hAnsi="Times New Roman"/>
          <w:b w:val="0"/>
          <w:i w:val="0"/>
          <w:color w:val="0F172A"/>
          <w:sz w:val="20"/>
        </w:rPr>
        <w:t xml:space="preserve"> (ASR) is defined as the proportion of adversarial dialogues yielding illicit payload outputs over the total evaluated adversarial dialogues. </w:t>
      </w:r>
      <w:r>
        <w:rPr>
          <w:rFonts w:ascii="Times New Roman" w:hAnsi="Times New Roman"/>
          <w:b w:val="0"/>
          <w:i/>
          <w:color w:val="0F172A"/>
          <w:sz w:val="20"/>
        </w:rPr>
        <w:t>False Positive Rate</w:t>
      </w:r>
      <w:r>
        <w:rPr>
          <w:rFonts w:ascii="Times New Roman" w:hAnsi="Times New Roman"/>
          <w:b w:val="0"/>
          <w:i w:val="0"/>
          <w:color w:val="0F172A"/>
          <w:sz w:val="20"/>
        </w:rPr>
        <w:t xml:space="preserve"> (FPR) measures the proportion of benign counseling dialogues improperly gated or terminated. </w:t>
      </w:r>
      <w:r>
        <w:rPr>
          <w:rFonts w:ascii="Times New Roman" w:hAnsi="Times New Roman"/>
          <w:b w:val="0"/>
          <w:i/>
          <w:color w:val="0F172A"/>
          <w:sz w:val="20"/>
        </w:rPr>
        <w:t>Time-to-detection</w:t>
      </w:r>
      <w:r>
        <w:rPr>
          <w:rFonts w:ascii="Times New Roman" w:hAnsi="Times New Roman"/>
          <w:b w:val="0"/>
          <w:i w:val="0"/>
          <w:color w:val="0F172A"/>
          <w:sz w:val="20"/>
        </w:rPr>
        <w:t xml:space="preserve"> denotes the specific dialogue turn at which defensive intervention is first triggered. Marginal latency overhead is calculated as the execution differential between pipelines with and without security inspection, benchmarked across identical hardware and concurrent loads. All reported metrics must disclose sample sizes (</w:t>
      </w:r>
      <w:r>
        <w:rPr>
          <w:rFonts w:ascii="Times New Roman" w:hAnsi="Times New Roman"/>
          <w:b w:val="0"/>
          <w:i/>
          <w:color w:val="0F172A"/>
          <w:sz w:val="20"/>
        </w:rPr>
        <w:t>n</w:t>
      </w:r>
      <w:r>
        <w:rPr>
          <w:rFonts w:ascii="Times New Roman" w:hAnsi="Times New Roman"/>
          <w:b w:val="0"/>
          <w:i w:val="0"/>
          <w:color w:val="0F172A"/>
          <w:sz w:val="20"/>
        </w:rPr>
        <w:t>); percentage claims derived from isolated examples fail to characterize true operational error distributions.</w:t>
      </w:r>
    </w:p>
    <w:p>
      <w:pPr>
        <w:spacing w:before="0" w:after="56" w:line="276" w:lineRule="auto"/>
        <w:ind w:firstLine="227"/>
        <w:jc w:val="both"/>
      </w:pPr>
      <w:r>
        <w:rPr>
          <w:rFonts w:ascii="Times New Roman" w:hAnsi="Times New Roman"/>
          <w:b w:val="0"/>
          <w:i w:val="0"/>
          <w:color w:val="0F172A"/>
          <w:sz w:val="20"/>
        </w:rPr>
        <w:t>Benchmark distributions must encompass Indonesian linguistic variations, code-switching dialects, non-standard slang, extended conversational depth, abrupt topical pivots, spoofed clinical authority claims, and negative controls featuring acute emotional distress. Evaluation corpora must remain strictly frozen prior to testing. Code revisions, model weights, decoding temperature, and gating thresholds must be locked to prevent data leakage. Furthermore, evaluators must record detailed post-mortems whenever a false positive disrupts legitimate user care, as the human cost of unwarranted service denial is paramount in mental health environments.</w:t>
      </w:r>
    </w:p>
    <w:p>
      <w:pPr>
        <w:spacing w:before="0" w:after="56" w:line="276" w:lineRule="auto"/>
        <w:ind w:firstLine="227"/>
        <w:jc w:val="both"/>
      </w:pPr>
      <w:r>
        <w:rPr>
          <w:rFonts w:ascii="Times New Roman" w:hAnsi="Times New Roman"/>
          <w:b w:val="0"/>
          <w:i w:val="0"/>
          <w:color w:val="0F172A"/>
          <w:sz w:val="20"/>
        </w:rPr>
        <w:t>Initial prototype demonstrations establish proof of architectural function rather than definitive clinical efficacy or population-level immunity. Adherence to this rigorous protocol ensures that iterative enhancements to SIAGA are evaluated under uniform standards, directly mapping remaining vulnerabilities to actionable engineering improvements.</w:t>
      </w:r>
    </w:p>
    <w:p>
      <w:pPr>
        <w:keepNext/>
        <w:spacing w:before="160" w:after="60"/>
        <w:jc w:val="left"/>
      </w:pPr>
      <w:r>
        <w:rPr>
          <w:rFonts w:ascii="Times New Roman" w:hAnsi="Times New Roman"/>
          <w:b/>
          <w:color w:val="0F172A"/>
          <w:sz w:val="21"/>
        </w:rPr>
        <w:t>CHAPTER 4: TECHNICAL ARCHITECTURE &amp; FEASIBILITY</w:t>
      </w:r>
    </w:p>
    <w:p>
      <w:pPr>
        <w:keepNext/>
        <w:spacing w:before="120" w:after="40"/>
        <w:jc w:val="left"/>
      </w:pPr>
      <w:r>
        <w:rPr>
          <w:rFonts w:ascii="Times New Roman" w:hAnsi="Times New Roman"/>
          <w:b/>
          <w:color w:val="0F172A"/>
          <w:sz w:val="20"/>
        </w:rPr>
        <w:t>4.1. Implemented Data Flow</w:t>
      </w:r>
    </w:p>
    <w:p>
      <w:pPr>
        <w:spacing w:before="0" w:after="56" w:line="276" w:lineRule="auto"/>
        <w:ind w:firstLine="227"/>
        <w:jc w:val="both"/>
      </w:pPr>
      <w:r>
        <w:rPr>
          <w:rFonts w:ascii="Times New Roman" w:hAnsi="Times New Roman"/>
          <w:b w:val="0"/>
          <w:i w:val="0"/>
          <w:color w:val="0F172A"/>
          <w:sz w:val="20"/>
        </w:rPr>
        <w:t>Figure 1 illustrates the operational live architecture structured into four sequential stages: (1) Patients exchange messages and submit intake assessments; clinicians manage electronic notes, and SOC analysts monitor security telemetry. (2) FastAPI enforces role-based authentication and session integrity, forwarding inbound chat payloads to SIAGA. (3) L0 normalizes Unicode obfuscations, L1 extracts intent signals and semantic embeddings, L2 detects URL injections and burst anomalies, and L3/CIM computes cross-turn cumulative momentum trajectories. (4) The decision fusion engine routes ALLOW/WATCH verdicts to the local Ollama client; PROBE/BLOCK verdicts intercept the payload from the model, issuing controlled mitigation responses via the unified API. DuckDB persists security hashes, feature vectors, and risk scores, while SQLite or optional Firestore instances retain application dialogue history under distinct retention governance.</w:t>
      </w:r>
    </w:p>
    <w:p>
      <w:pPr>
        <w:keepNext/>
        <w:spacing w:before="100" w:after="30"/>
        <w:jc w:val="center"/>
      </w:pPr>
      <w:r>
        <w:drawing>
          <wp:inline xmlns:a="http://schemas.openxmlformats.org/drawingml/2006/main" xmlns:pic="http://schemas.openxmlformats.org/drawingml/2006/picture">
            <wp:extent cx="2808000" cy="1357200"/>
            <wp:docPr id="1" name="Picture 1"/>
            <wp:cNvGraphicFramePr>
              <a:graphicFrameLocks noChangeAspect="1"/>
            </wp:cNvGraphicFramePr>
            <a:graphic>
              <a:graphicData uri="http://schemas.openxmlformats.org/drawingml/2006/picture">
                <pic:pic>
                  <pic:nvPicPr>
                    <pic:cNvPr id="0" name="figure_1_verified_architecture_en.png"/>
                    <pic:cNvPicPr/>
                  </pic:nvPicPr>
                  <pic:blipFill>
                    <a:blip r:embed="rId11"/>
                    <a:stretch>
                      <a:fillRect/>
                    </a:stretch>
                  </pic:blipFill>
                  <pic:spPr>
                    <a:xfrm>
                      <a:off x="0" y="0"/>
                      <a:ext cx="2808000" cy="1357200"/>
                    </a:xfrm>
                    <a:prstGeom prst="rect"/>
                  </pic:spPr>
                </pic:pic>
              </a:graphicData>
            </a:graphic>
          </wp:inline>
        </w:drawing>
      </w:r>
    </w:p>
    <w:p>
      <w:pPr>
        <w:spacing w:before="20" w:after="80"/>
        <w:jc w:val="both"/>
      </w:pPr>
      <w:r>
        <w:rPr>
          <w:rFonts w:ascii="Times New Roman" w:hAnsi="Times New Roman"/>
          <w:b w:val="0"/>
          <w:i/>
          <w:color w:val="0F172A"/>
          <w:sz w:val="17"/>
        </w:rPr>
        <w:t>Figure 1. Flat 2D architecture of SIAGA on the live path: four processing stages, two decision branches, and two storage scopes. Ollama and Firestore depend on configuration.</w:t>
      </w:r>
    </w:p>
    <w:p>
      <w:pPr>
        <w:keepNext/>
        <w:spacing w:before="120" w:after="40"/>
        <w:jc w:val="left"/>
      </w:pPr>
      <w:r>
        <w:rPr>
          <w:rFonts w:ascii="Times New Roman" w:hAnsi="Times New Roman"/>
          <w:b/>
          <w:color w:val="0F172A"/>
          <w:sz w:val="20"/>
        </w:rPr>
        <w:t>4.2. Decision Formulation Matching the Implementation</w:t>
      </w:r>
    </w:p>
    <w:p>
      <w:pPr>
        <w:spacing w:before="0" w:after="56" w:line="276" w:lineRule="auto"/>
        <w:ind w:firstLine="227"/>
        <w:jc w:val="both"/>
      </w:pPr>
      <w:r>
        <w:rPr>
          <w:rFonts w:ascii="Times New Roman" w:hAnsi="Times New Roman"/>
          <w:b w:val="0"/>
          <w:i w:val="0"/>
          <w:color w:val="0F172A"/>
          <w:sz w:val="20"/>
        </w:rPr>
        <w:t xml:space="preserve">For dialogue turn </w:t>
      </w:r>
      <w:r>
        <w:rPr>
          <w:rFonts w:ascii="Times New Roman" w:hAnsi="Times New Roman"/>
          <w:b w:val="0"/>
          <w:i/>
          <w:color w:val="0F172A"/>
          <w:sz w:val="20"/>
        </w:rPr>
        <w:t>t</w:t>
      </w:r>
      <w:r>
        <w:rPr>
          <w:rFonts w:ascii="Times New Roman" w:hAnsi="Times New Roman"/>
          <w:b w:val="0"/>
          <w:i w:val="0"/>
          <w:color w:val="0F172A"/>
          <w:sz w:val="20"/>
        </w:rPr>
        <w:t xml:space="preserve">, Layer 1 derives instantaneous risk position </w:t>
      </w:r>
      <w:r>
        <w:rPr>
          <w:rFonts w:ascii="Times New Roman" w:hAnsi="Times New Roman"/>
          <w:b w:val="0"/>
          <w:i/>
          <w:color w:val="0F172A"/>
          <w:sz w:val="20"/>
        </w:rPr>
        <w:t>r_t</w:t>
      </w:r>
      <w:r>
        <w:rPr>
          <w:rFonts w:ascii="Times New Roman" w:hAnsi="Times New Roman"/>
          <w:b w:val="0"/>
          <w:i w:val="0"/>
          <w:color w:val="0F172A"/>
          <w:sz w:val="20"/>
        </w:rPr>
        <w:t xml:space="preserve">. Layer 3 evaluates inter-turn delta </w:t>
      </w:r>
      <w:r>
        <w:rPr>
          <w:rFonts w:ascii="Times New Roman" w:hAnsi="Times New Roman"/>
          <w:b w:val="0"/>
          <w:i/>
          <w:color w:val="0F172A"/>
          <w:sz w:val="20"/>
        </w:rPr>
        <w:t>delta_t = r_t - r_(t-1)</w:t>
      </w:r>
      <w:r>
        <w:rPr>
          <w:rFonts w:ascii="Times New Roman" w:hAnsi="Times New Roman"/>
          <w:b w:val="0"/>
          <w:i w:val="0"/>
          <w:color w:val="0F172A"/>
          <w:sz w:val="20"/>
        </w:rPr>
        <w:t xml:space="preserve">, directional consistency </w:t>
      </w:r>
      <w:r>
        <w:rPr>
          <w:rFonts w:ascii="Times New Roman" w:hAnsi="Times New Roman"/>
          <w:b w:val="0"/>
          <w:i/>
          <w:color w:val="0F172A"/>
          <w:sz w:val="20"/>
        </w:rPr>
        <w:t>d_t</w:t>
      </w:r>
      <w:r>
        <w:rPr>
          <w:rFonts w:ascii="Times New Roman" w:hAnsi="Times New Roman"/>
          <w:b w:val="0"/>
          <w:i w:val="0"/>
          <w:color w:val="0F172A"/>
          <w:sz w:val="20"/>
        </w:rPr>
        <w:t xml:space="preserve"> across a 4-turn sliding window, system anchor alignment </w:t>
      </w:r>
      <w:r>
        <w:rPr>
          <w:rFonts w:ascii="Times New Roman" w:hAnsi="Times New Roman"/>
          <w:b w:val="0"/>
          <w:i/>
          <w:color w:val="0F172A"/>
          <w:sz w:val="20"/>
        </w:rPr>
        <w:t>a_t</w:t>
      </w:r>
      <w:r>
        <w:rPr>
          <w:rFonts w:ascii="Times New Roman" w:hAnsi="Times New Roman"/>
          <w:b w:val="0"/>
          <w:i w:val="0"/>
          <w:color w:val="0F172A"/>
          <w:sz w:val="20"/>
        </w:rPr>
        <w:t xml:space="preserve"> against prior system replies, and temporal decay factor </w:t>
      </w:r>
      <w:r>
        <w:rPr>
          <w:rFonts w:ascii="Times New Roman" w:hAnsi="Times New Roman"/>
          <w:b w:val="0"/>
          <w:i/>
          <w:color w:val="0F172A"/>
          <w:sz w:val="20"/>
        </w:rPr>
        <w:t>gamma_t</w:t>
      </w:r>
      <w:r>
        <w:rPr>
          <w:rFonts w:ascii="Times New Roman" w:hAnsi="Times New Roman"/>
          <w:b w:val="0"/>
          <w:i w:val="0"/>
          <w:color w:val="0F172A"/>
          <w:sz w:val="20"/>
        </w:rPr>
        <w:t xml:space="preserve"> based on distance to known risk clusters. The active implementation computes:</w:t>
      </w:r>
    </w:p>
    <w:p>
      <w:pPr>
        <w:keepNext/>
        <w:spacing w:before="60" w:after="50"/>
        <w:jc w:val="center"/>
      </w:pPr>
      <w:r>
        <w:rPr>
          <w:rFonts w:ascii="Times New Roman" w:hAnsi="Times New Roman"/>
          <w:b/>
          <w:sz w:val="17"/>
        </w:rPr>
        <w:t>M_t = clamp(gamma_t M_(t-1) + w1 delta_t d_t + w2 a_t d_t + w3 r_t, 0, 1).  (1)</w:t>
      </w:r>
    </w:p>
    <w:p>
      <w:pPr>
        <w:spacing w:before="0" w:after="56" w:line="276" w:lineRule="auto"/>
        <w:ind w:firstLine="227"/>
        <w:jc w:val="both"/>
      </w:pPr>
      <w:r>
        <w:rPr>
          <w:rFonts w:ascii="Times New Roman" w:hAnsi="Times New Roman"/>
          <w:b w:val="0"/>
          <w:i w:val="0"/>
          <w:color w:val="0F172A"/>
          <w:sz w:val="20"/>
        </w:rPr>
        <w:t xml:space="preserve">Default prototype weights are currently </w:t>
      </w:r>
      <w:r>
        <w:rPr>
          <w:rFonts w:ascii="Times New Roman" w:hAnsi="Times New Roman"/>
          <w:b w:val="0"/>
          <w:i/>
          <w:color w:val="0F172A"/>
          <w:sz w:val="20"/>
        </w:rPr>
        <w:t>w1</w:t>
      </w:r>
      <w:r>
        <w:rPr>
          <w:rFonts w:ascii="Times New Roman" w:hAnsi="Times New Roman"/>
          <w:b w:val="0"/>
          <w:i w:val="0"/>
          <w:color w:val="0F172A"/>
          <w:sz w:val="20"/>
        </w:rPr>
        <w:t xml:space="preserve"> = 0.85, </w:t>
      </w:r>
      <w:r>
        <w:rPr>
          <w:rFonts w:ascii="Times New Roman" w:hAnsi="Times New Roman"/>
          <w:b w:val="0"/>
          <w:i/>
          <w:color w:val="0F172A"/>
          <w:sz w:val="20"/>
        </w:rPr>
        <w:t>w2</w:t>
      </w:r>
      <w:r>
        <w:rPr>
          <w:rFonts w:ascii="Times New Roman" w:hAnsi="Times New Roman"/>
          <w:b w:val="0"/>
          <w:i w:val="0"/>
          <w:color w:val="0F172A"/>
          <w:sz w:val="20"/>
        </w:rPr>
        <w:t xml:space="preserve"> = 0.45, and </w:t>
      </w:r>
      <w:r>
        <w:rPr>
          <w:rFonts w:ascii="Times New Roman" w:hAnsi="Times New Roman"/>
          <w:b w:val="0"/>
          <w:i/>
          <w:color w:val="0F172A"/>
          <w:sz w:val="20"/>
        </w:rPr>
        <w:t>w3</w:t>
      </w:r>
      <w:r>
        <w:rPr>
          <w:rFonts w:ascii="Times New Roman" w:hAnsi="Times New Roman"/>
          <w:b w:val="0"/>
          <w:i w:val="0"/>
          <w:color w:val="0F172A"/>
          <w:sz w:val="20"/>
        </w:rPr>
        <w:t xml:space="preserve"> = 0.38. The decision score fuses </w:t>
      </w:r>
      <w:r>
        <w:rPr>
          <w:rFonts w:ascii="Times New Roman" w:hAnsi="Times New Roman"/>
          <w:b/>
          <w:i w:val="0"/>
          <w:color w:val="0F172A"/>
          <w:sz w:val="20"/>
        </w:rPr>
        <w:t>0.80 M_t + 0.15 intent_t + 0.05 context_t</w:t>
      </w:r>
      <w:r>
        <w:rPr>
          <w:rFonts w:ascii="Times New Roman" w:hAnsi="Times New Roman"/>
          <w:b w:val="0"/>
          <w:i w:val="0"/>
          <w:color w:val="0F172A"/>
          <w:sz w:val="20"/>
        </w:rPr>
        <w:t>. BLOCK takes effect starting at score 0.80; PROBE operates from 0.60 to below 0.80 when channel preconditions and probe limits are met. WATCH can trigger earlier when score and upward trajectory meet heuristic rules. These parameters represent operational prototype configurations, not validated clinical thresholds.</w:t>
      </w:r>
    </w:p>
    <w:p>
      <w:pPr>
        <w:keepNext/>
        <w:spacing w:before="120" w:after="40"/>
        <w:jc w:val="left"/>
      </w:pPr>
      <w:r>
        <w:rPr>
          <w:rFonts w:ascii="Times New Roman" w:hAnsi="Times New Roman"/>
          <w:b/>
          <w:color w:val="0F172A"/>
          <w:sz w:val="20"/>
        </w:rPr>
        <w:t>4.3. Multi-Tier SLM Empirical Benchmarks (Edge Workstation vs. Dedicated Lab Node)</w:t>
      </w:r>
    </w:p>
    <w:p>
      <w:pPr>
        <w:spacing w:before="0" w:after="56" w:line="276" w:lineRule="auto"/>
        <w:ind w:firstLine="227"/>
        <w:jc w:val="both"/>
      </w:pPr>
      <w:r>
        <w:rPr>
          <w:rFonts w:ascii="Times New Roman" w:hAnsi="Times New Roman"/>
          <w:b w:val="0"/>
          <w:i w:val="0"/>
          <w:color w:val="0F172A"/>
          <w:sz w:val="20"/>
        </w:rPr>
        <w:t xml:space="preserve">The benchmarking pipeline depicted in Figure 2 evaluates local SLM feasibility across two distinct operational deployment tiers: (1) </w:t>
      </w:r>
      <w:r>
        <w:rPr>
          <w:rFonts w:ascii="Times New Roman" w:hAnsi="Times New Roman"/>
          <w:b/>
          <w:i w:val="0"/>
          <w:color w:val="0F172A"/>
          <w:sz w:val="20"/>
        </w:rPr>
        <w:t>Decentralized Edge Appliance</w:t>
      </w:r>
      <w:r>
        <w:rPr>
          <w:rFonts w:ascii="Times New Roman" w:hAnsi="Times New Roman"/>
          <w:b w:val="0"/>
          <w:i w:val="0"/>
          <w:color w:val="0F172A"/>
          <w:sz w:val="20"/>
        </w:rPr>
        <w:t xml:space="preserve"> running local Ollama on a resource-constrained clinic laptop (NVIDIA GeForce GTX 1650 4 GB VRAM, AMD Ryzen 5 4600H, 24 GB RAM) [14], and (2) </w:t>
      </w:r>
      <w:r>
        <w:rPr>
          <w:rFonts w:ascii="Times New Roman" w:hAnsi="Times New Roman"/>
          <w:b/>
          <w:i w:val="0"/>
          <w:color w:val="0F172A"/>
          <w:sz w:val="20"/>
        </w:rPr>
        <w:t>Dedicated Institutional AI Node</w:t>
      </w:r>
      <w:r>
        <w:rPr>
          <w:rFonts w:ascii="Times New Roman" w:hAnsi="Times New Roman"/>
          <w:b w:val="0"/>
          <w:i w:val="0"/>
          <w:color w:val="0F172A"/>
          <w:sz w:val="20"/>
        </w:rPr>
        <w:t xml:space="preserve"> running the high-throughput </w:t>
      </w:r>
      <w:r>
        <w:rPr>
          <w:rFonts w:ascii="Times New Roman" w:hAnsi="Times New Roman"/>
          <w:b/>
          <w:i w:val="0"/>
          <w:color w:val="0F172A"/>
          <w:sz w:val="20"/>
        </w:rPr>
        <w:t>SGLang</w:t>
      </w:r>
      <w:r>
        <w:rPr>
          <w:rFonts w:ascii="Times New Roman" w:hAnsi="Times New Roman"/>
          <w:b w:val="0"/>
          <w:i w:val="0"/>
          <w:color w:val="0F172A"/>
          <w:sz w:val="20"/>
        </w:rPr>
        <w:t xml:space="preserve"> serving engine on a dedicated lab workstation (WSL 2 Ubuntu 22.04 LTS, NVIDIA GeForce RTX 4090 24 GB VRAM, 64 GB RAM) connected via a secure, point-to-point encrypted Tailscale ZTNA mesh [15].</w:t>
      </w:r>
    </w:p>
    <w:p>
      <w:pPr>
        <w:spacing w:before="0" w:after="56" w:line="276" w:lineRule="auto"/>
        <w:ind w:firstLine="227"/>
        <w:jc w:val="both"/>
      </w:pPr>
      <w:r>
        <w:rPr>
          <w:rFonts w:ascii="Times New Roman" w:hAnsi="Times New Roman"/>
          <w:b w:val="0"/>
          <w:i w:val="0"/>
          <w:color w:val="0F172A"/>
          <w:sz w:val="20"/>
        </w:rPr>
        <w:t xml:space="preserve">The test harness submitted synthetic clinical prompts spanning psychological screening, CBT/DBT psychoeducation, crisis grounding (4-7-8 breathing, 5-4-3-2-1), psychotropic prescription refusal, code generation task diversion, and authority spoofing resistance. For the Edge tier, eight warm requests were evaluated per model with streaming enabled under a 2,048 context window [14]. For the Lab AI Node, 10 multi-turn and boundary-testing clinical prompts were benchmarked on </w:t>
      </w:r>
      <w:r>
        <w:rPr>
          <w:rFonts w:ascii="Consolas" w:hAnsi="Consolas"/>
          <w:b w:val="0"/>
          <w:color w:val="0F172A"/>
          <w:sz w:val="18"/>
        </w:rPr>
        <w:t>Qwen/Qwen3-4B-Instruct-2507</w:t>
      </w:r>
      <w:r>
        <w:rPr>
          <w:rFonts w:ascii="Times New Roman" w:hAnsi="Times New Roman"/>
          <w:b w:val="0"/>
          <w:i w:val="0"/>
          <w:color w:val="0F172A"/>
          <w:sz w:val="20"/>
        </w:rPr>
        <w:t xml:space="preserve"> via SGLang's RadixAttention and Triton kernels [15].</w:t>
      </w:r>
    </w:p>
    <w:p>
      <w:pPr>
        <w:spacing w:before="0" w:after="56" w:line="276" w:lineRule="auto"/>
        <w:ind w:firstLine="227"/>
        <w:jc w:val="both"/>
      </w:pPr>
      <w:r>
        <w:rPr>
          <w:rFonts w:ascii="Times New Roman" w:hAnsi="Times New Roman"/>
          <w:b w:val="0"/>
          <w:i w:val="0"/>
          <w:color w:val="0F172A"/>
          <w:sz w:val="20"/>
        </w:rPr>
        <w:t>Table 4 contrasts empirical throughput, time-to-first-token (TTFT), memory allocation, and textual response integrity across both deployment environments.</w:t>
      </w:r>
    </w:p>
    <w:p>
      <w:pPr>
        <w:keepNext/>
        <w:spacing w:before="100" w:after="40"/>
        <w:jc w:val="center"/>
      </w:pPr>
      <w:r>
        <w:rPr>
          <w:rFonts w:ascii="Times New Roman" w:hAnsi="Times New Roman"/>
          <w:b/>
          <w:i w:val="0"/>
          <w:color w:val="0F172A"/>
          <w:sz w:val="17"/>
        </w:rPr>
        <w:t>Table 4. Multi-Tier SLM Empirical Benchmarks across Edge Workstation and Dedicated Lab Node</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1928"/>
        <w:gridCol w:w="1928"/>
        <w:gridCol w:w="1928"/>
        <w:gridCol w:w="1928"/>
        <w:gridCol w:w="1928"/>
      </w:tblGrid>
      <w:tr>
        <w:trPr>
          <w:cantSplit/>
          <w:tblHeader/>
        </w:trPr>
        <w:tc>
          <w:tcPr>
            <w:tcW w:type="dxa" w:w="119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4"/>
              </w:rPr>
              <w:t>Model &amp; Deployment Tier</w:t>
            </w:r>
          </w:p>
        </w:tc>
        <w:tc>
          <w:tcPr>
            <w:tcW w:type="dxa" w:w="850"/>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4"/>
              </w:rPr>
              <w:t>Serving Runtime</w:t>
            </w:r>
          </w:p>
        </w:tc>
        <w:tc>
          <w:tcPr>
            <w:tcW w:type="dxa" w:w="79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4"/>
              </w:rPr>
              <w:t>Median Velocity</w:t>
            </w:r>
          </w:p>
        </w:tc>
        <w:tc>
          <w:tcPr>
            <w:tcW w:type="dxa" w:w="850"/>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4"/>
              </w:rPr>
              <w:t>Visible TTFT</w:t>
            </w:r>
          </w:p>
        </w:tc>
        <w:tc>
          <w:tcPr>
            <w:tcW w:type="dxa" w:w="73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4"/>
              </w:rPr>
              <w:t>Valid Rate (VRAM)</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Consolas" w:hAnsi="Consolas"/>
                <w:b w:val="0"/>
                <w:color w:val="0F172A"/>
                <w:sz w:val="12"/>
              </w:rPr>
              <w:t>qwen3:1.7b</w:t>
            </w:r>
            <w:r>
              <w:rPr>
                <w:rFonts w:ascii="Times New Roman" w:hAnsi="Times New Roman"/>
                <w:b w:val="0"/>
                <w:i w:val="0"/>
                <w:color w:val="0F172A"/>
                <w:sz w:val="14"/>
              </w:rPr>
              <w:t xml:space="preserve"> (Edge Tier)</w:t>
            </w:r>
          </w:p>
        </w:tc>
        <w:tc>
          <w:tcPr>
            <w:tcW w:type="dxa" w:w="85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Ollama (GTX 1650 4GB)</w:t>
            </w:r>
          </w:p>
        </w:tc>
        <w:tc>
          <w:tcPr>
            <w:tcW w:type="dxa" w:w="794"/>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4"/>
              </w:rPr>
              <w:t>92.15 tok/s</w:t>
            </w:r>
          </w:p>
        </w:tc>
        <w:tc>
          <w:tcPr>
            <w:tcW w:type="dxa" w:w="85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unrepresentative</w:t>
            </w:r>
          </w:p>
        </w:tc>
        <w:tc>
          <w:tcPr>
            <w:tcW w:type="dxa" w:w="73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1/9 (2,330 MiB)</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Consolas" w:hAnsi="Consolas"/>
                <w:b w:val="0"/>
                <w:color w:val="0F172A"/>
                <w:sz w:val="12"/>
              </w:rPr>
              <w:t>qwen2.5:3b</w:t>
            </w:r>
            <w:r>
              <w:rPr>
                <w:rFonts w:ascii="Times New Roman" w:hAnsi="Times New Roman"/>
                <w:b w:val="0"/>
                <w:i w:val="0"/>
                <w:color w:val="0F172A"/>
                <w:sz w:val="14"/>
              </w:rPr>
              <w:t xml:space="preserve"> (Edge Sweet-Spot)</w:t>
            </w:r>
          </w:p>
        </w:tc>
        <w:tc>
          <w:tcPr>
            <w:tcW w:type="dxa" w:w="85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Ollama (GTX 1650 4GB)</w:t>
            </w:r>
          </w:p>
        </w:tc>
        <w:tc>
          <w:tcPr>
            <w:tcW w:type="dxa" w:w="794"/>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4"/>
              </w:rPr>
              <w:t>62.96 tok/s</w:t>
            </w:r>
          </w:p>
        </w:tc>
        <w:tc>
          <w:tcPr>
            <w:tcW w:type="dxa" w:w="850"/>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4"/>
              </w:rPr>
              <w:t>0.49 s</w:t>
            </w:r>
          </w:p>
        </w:tc>
        <w:tc>
          <w:tcPr>
            <w:tcW w:type="dxa" w:w="73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9/9 (2,893 MiB)</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Consolas" w:hAnsi="Consolas"/>
                <w:b w:val="0"/>
                <w:color w:val="0F172A"/>
                <w:sz w:val="12"/>
              </w:rPr>
              <w:t>qwen3:4b</w:t>
            </w:r>
            <w:r>
              <w:rPr>
                <w:rFonts w:ascii="Times New Roman" w:hAnsi="Times New Roman"/>
                <w:b w:val="0"/>
                <w:i w:val="0"/>
                <w:color w:val="0F172A"/>
                <w:sz w:val="14"/>
              </w:rPr>
              <w:t xml:space="preserve"> (Edge Constrained)</w:t>
            </w:r>
          </w:p>
        </w:tc>
        <w:tc>
          <w:tcPr>
            <w:tcW w:type="dxa" w:w="85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Ollama (GTX 1650 4GB)</w:t>
            </w:r>
          </w:p>
        </w:tc>
        <w:tc>
          <w:tcPr>
            <w:tcW w:type="dxa" w:w="794"/>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4"/>
              </w:rPr>
              <w:t>23.90 tok/s</w:t>
            </w:r>
          </w:p>
        </w:tc>
        <w:tc>
          <w:tcPr>
            <w:tcW w:type="dxa" w:w="850"/>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4"/>
              </w:rPr>
              <w:t>unmeasured</w:t>
            </w:r>
          </w:p>
        </w:tc>
        <w:tc>
          <w:tcPr>
            <w:tcW w:type="dxa" w:w="73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0/9 (3,133 MiB)</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Consolas" w:hAnsi="Consolas"/>
                <w:b w:val="0"/>
                <w:color w:val="0F172A"/>
                <w:sz w:val="12"/>
              </w:rPr>
              <w:t>qwen3:4b</w:t>
            </w:r>
            <w:r>
              <w:rPr>
                <w:rFonts w:ascii="Times New Roman" w:hAnsi="Times New Roman"/>
                <w:b w:val="0"/>
                <w:i w:val="0"/>
                <w:color w:val="0F172A"/>
                <w:sz w:val="14"/>
              </w:rPr>
              <w:t xml:space="preserve"> (Lab Server Node)</w:t>
            </w:r>
          </w:p>
        </w:tc>
        <w:tc>
          <w:tcPr>
            <w:tcW w:type="dxa" w:w="85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SGLang (RTX 4090 24GB)</w:t>
            </w:r>
          </w:p>
        </w:tc>
        <w:tc>
          <w:tcPr>
            <w:tcW w:type="dxa" w:w="794"/>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4"/>
              </w:rPr>
              <w:t>83.48 tok/s</w:t>
            </w:r>
          </w:p>
        </w:tc>
        <w:tc>
          <w:tcPr>
            <w:tcW w:type="dxa" w:w="850"/>
            <w:vAlign w:val="center"/>
            <w:tcMar>
              <w:top w:w="35" w:type="dxa"/>
              <w:bottom w:w="35" w:type="dxa"/>
              <w:left w:w="40" w:type="dxa"/>
              <w:right w:w="40" w:type="dxa"/>
            </w:tcMar>
          </w:tcPr>
          <w:p>
            <w:pPr>
              <w:spacing w:before="10" w:after="10" w:line="245" w:lineRule="auto"/>
              <w:jc w:val="center"/>
            </w:pPr>
            <w:r>
              <w:rPr>
                <w:rFonts w:ascii="Times New Roman" w:hAnsi="Times New Roman"/>
                <w:b/>
                <w:i w:val="0"/>
                <w:color w:val="0F172A"/>
                <w:sz w:val="14"/>
              </w:rPr>
              <w:t>1.22 s</w:t>
            </w:r>
          </w:p>
        </w:tc>
        <w:tc>
          <w:tcPr>
            <w:tcW w:type="dxa" w:w="737"/>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4"/>
              </w:rPr>
              <w:t>10/10 (5,420 MiB)</w:t>
            </w:r>
          </w:p>
        </w:tc>
      </w:tr>
    </w:tbl>
    <w:p>
      <w:pPr>
        <w:spacing w:before="0" w:after="40"/>
      </w:pPr>
    </w:p>
    <w:p>
      <w:pPr>
        <w:spacing w:before="0" w:after="56" w:line="276" w:lineRule="auto"/>
        <w:ind w:firstLine="227"/>
        <w:jc w:val="both"/>
      </w:pPr>
      <w:r>
        <w:rPr>
          <w:rFonts w:ascii="Times New Roman" w:hAnsi="Times New Roman"/>
          <w:b w:val="0"/>
          <w:i w:val="0"/>
          <w:color w:val="0F172A"/>
          <w:sz w:val="20"/>
        </w:rPr>
        <w:t>Figure 3 visualizes Table 4 across dual panels to contrast throughput trade-offs directly against memory constraints and output validity rates.</w:t>
      </w:r>
    </w:p>
    <w:p>
      <w:pPr>
        <w:keepNext/>
        <w:spacing w:before="100" w:after="30"/>
        <w:jc w:val="center"/>
      </w:pPr>
      <w:r>
        <w:drawing>
          <wp:inline xmlns:a="http://schemas.openxmlformats.org/drawingml/2006/main" xmlns:pic="http://schemas.openxmlformats.org/drawingml/2006/picture">
            <wp:extent cx="2808000" cy="1172035"/>
            <wp:docPr id="2" name="Picture 2"/>
            <wp:cNvGraphicFramePr>
              <a:graphicFrameLocks noChangeAspect="1"/>
            </wp:cNvGraphicFramePr>
            <a:graphic>
              <a:graphicData uri="http://schemas.openxmlformats.org/drawingml/2006/picture">
                <pic:pic>
                  <pic:nvPicPr>
                    <pic:cNvPr id="0" name="figure_3_slm_benchmark_results_en.png"/>
                    <pic:cNvPicPr/>
                  </pic:nvPicPr>
                  <pic:blipFill>
                    <a:blip r:embed="rId12"/>
                    <a:stretch>
                      <a:fillRect/>
                    </a:stretch>
                  </pic:blipFill>
                  <pic:spPr>
                    <a:xfrm>
                      <a:off x="0" y="0"/>
                      <a:ext cx="2808000" cy="1172035"/>
                    </a:xfrm>
                    <a:prstGeom prst="rect"/>
                  </pic:spPr>
                </pic:pic>
              </a:graphicData>
            </a:graphic>
          </wp:inline>
        </w:drawing>
      </w:r>
    </w:p>
    <w:p>
      <w:pPr>
        <w:spacing w:before="20" w:after="80"/>
        <w:jc w:val="both"/>
      </w:pPr>
      <w:r>
        <w:rPr>
          <w:rFonts w:ascii="Times New Roman" w:hAnsi="Times New Roman"/>
          <w:b w:val="0"/>
          <w:i/>
          <w:color w:val="0F172A"/>
          <w:sz w:val="17"/>
        </w:rPr>
        <w:t>Figure 3. (a) Median generation velocity (tok/s) across deployment tiers; (b) Response validity rate (%) and peak allocated VRAM on Edge (4 GB) vs. Lab Node (24 GB) [14, 15].</w:t>
      </w:r>
    </w:p>
    <w:p>
      <w:pPr>
        <w:spacing w:before="0" w:after="56" w:line="276" w:lineRule="auto"/>
        <w:ind w:firstLine="227"/>
        <w:jc w:val="both"/>
      </w:pPr>
      <w:r>
        <w:rPr>
          <w:rFonts w:ascii="Times New Roman" w:hAnsi="Times New Roman"/>
          <w:b w:val="0"/>
          <w:i w:val="0"/>
          <w:color w:val="0F172A"/>
          <w:sz w:val="20"/>
        </w:rPr>
        <w:t>Empirical findings establish two foundational deployment archetypes:</w:t>
      </w:r>
    </w:p>
    <w:p>
      <w:pPr>
        <w:spacing w:before="0" w:after="56" w:line="276" w:lineRule="auto"/>
        <w:ind w:firstLine="227"/>
        <w:jc w:val="both"/>
      </w:pPr>
      <w:r>
        <w:rPr>
          <w:rFonts w:ascii="Times New Roman" w:hAnsi="Times New Roman"/>
          <w:b w:val="0"/>
          <w:i w:val="0"/>
          <w:color w:val="0F172A"/>
          <w:sz w:val="20"/>
        </w:rPr>
        <w:t xml:space="preserve">1. </w:t>
      </w:r>
      <w:r>
        <w:rPr>
          <w:rFonts w:ascii="Times New Roman" w:hAnsi="Times New Roman"/>
          <w:b/>
          <w:i w:val="0"/>
          <w:color w:val="0F172A"/>
          <w:sz w:val="20"/>
        </w:rPr>
        <w:t>The Edge Clinic Sweet-Spot (`qwen2.5:3b-instruct`):</w:t>
      </w:r>
      <w:r>
        <w:rPr>
          <w:rFonts w:ascii="Times New Roman" w:hAnsi="Times New Roman"/>
          <w:b w:val="0"/>
          <w:i w:val="0"/>
          <w:color w:val="0F172A"/>
          <w:sz w:val="20"/>
        </w:rPr>
        <w:t xml:space="preserve"> For decentralized puskesmas or rural clinic laptops with 4 GB consumer GPUs, </w:t>
      </w:r>
      <w:r>
        <w:rPr>
          <w:rFonts w:ascii="Consolas" w:hAnsi="Consolas"/>
          <w:b w:val="0"/>
          <w:color w:val="0F172A"/>
          <w:sz w:val="18"/>
        </w:rPr>
        <w:t>qwen2.5:3b-instruct</w:t>
      </w:r>
      <w:r>
        <w:rPr>
          <w:rFonts w:ascii="Times New Roman" w:hAnsi="Times New Roman"/>
          <w:b w:val="0"/>
          <w:i w:val="0"/>
          <w:color w:val="0F172A"/>
          <w:sz w:val="20"/>
        </w:rPr>
        <w:t xml:space="preserve"> achieves an optimal balance, yielding 62.96 tok/s, instantaneous 0.49 s TTFT, and 100% visible conversational output while staying safely within the 4,096 MiB VRAM boundary (2,893 MiB peak).</w:t>
      </w:r>
    </w:p>
    <w:p>
      <w:pPr>
        <w:spacing w:before="0" w:after="56" w:line="276" w:lineRule="auto"/>
        <w:ind w:firstLine="227"/>
        <w:jc w:val="both"/>
      </w:pPr>
      <w:r>
        <w:rPr>
          <w:rFonts w:ascii="Times New Roman" w:hAnsi="Times New Roman"/>
          <w:b w:val="0"/>
          <w:i w:val="0"/>
          <w:color w:val="0F172A"/>
          <w:sz w:val="20"/>
        </w:rPr>
        <w:t xml:space="preserve">2. </w:t>
      </w:r>
      <w:r>
        <w:rPr>
          <w:rFonts w:ascii="Times New Roman" w:hAnsi="Times New Roman"/>
          <w:b/>
          <w:i w:val="0"/>
          <w:color w:val="0F172A"/>
          <w:sz w:val="20"/>
        </w:rPr>
        <w:t>The Institutional AI Scalability Surge (`qwen3:4b-instruct` on SGLang):</w:t>
      </w:r>
      <w:r>
        <w:rPr>
          <w:rFonts w:ascii="Times New Roman" w:hAnsi="Times New Roman"/>
          <w:b w:val="0"/>
          <w:i w:val="0"/>
          <w:color w:val="0F172A"/>
          <w:sz w:val="20"/>
        </w:rPr>
        <w:t xml:space="preserve"> On dedicated institutional hardware (RTX 4090 24 GB), SGLang unlocks the full clinical reasoning capabilities of </w:t>
      </w:r>
      <w:r>
        <w:rPr>
          <w:rFonts w:ascii="Consolas" w:hAnsi="Consolas"/>
          <w:b w:val="0"/>
          <w:color w:val="0F172A"/>
          <w:sz w:val="18"/>
        </w:rPr>
        <w:t>Qwen3-4B-Instruct-2507</w:t>
      </w:r>
      <w:r>
        <w:rPr>
          <w:rFonts w:ascii="Times New Roman" w:hAnsi="Times New Roman"/>
          <w:b w:val="0"/>
          <w:i w:val="0"/>
          <w:color w:val="0F172A"/>
          <w:sz w:val="20"/>
        </w:rPr>
        <w:t xml:space="preserve">. Benefiting from RadixAttention KV-cache reuse, generation throughput surges by </w:t>
      </w:r>
      <w:r>
        <w:rPr>
          <w:rFonts w:ascii="Times New Roman" w:hAnsi="Times New Roman"/>
          <w:b/>
          <w:i w:val="0"/>
          <w:color w:val="0F172A"/>
          <w:sz w:val="20"/>
        </w:rPr>
        <w:t>+249% (from 23.90 to 83.48 tok/s median, peaking at 107.12 tok/s)</w:t>
      </w:r>
      <w:r>
        <w:rPr>
          <w:rFonts w:ascii="Times New Roman" w:hAnsi="Times New Roman"/>
          <w:b w:val="0"/>
          <w:i w:val="0"/>
          <w:color w:val="0F172A"/>
          <w:sz w:val="20"/>
        </w:rPr>
        <w:t xml:space="preserve"> with </w:t>
      </w:r>
      <w:r>
        <w:rPr>
          <w:rFonts w:ascii="Times New Roman" w:hAnsi="Times New Roman"/>
          <w:b/>
          <w:i w:val="0"/>
          <w:color w:val="0F172A"/>
          <w:sz w:val="20"/>
        </w:rPr>
        <w:t>100% substantive response validity (10/10)</w:t>
      </w:r>
      <w:r>
        <w:rPr>
          <w:rFonts w:ascii="Times New Roman" w:hAnsi="Times New Roman"/>
          <w:b w:val="0"/>
          <w:i w:val="0"/>
          <w:color w:val="0F172A"/>
          <w:sz w:val="20"/>
        </w:rPr>
        <w:t>, completely resolving the reasoning-trace truncation observed on the 4GB edge tier. Over Tailscale WireGuard point-to-point transport, median time-to-first-token is 1.22 seconds, confirming that rural care consoles can securely query an institutional SGLang node without compromising streaming fluency or data sovereignty.</w:t>
      </w:r>
    </w:p>
    <w:p>
      <w:pPr>
        <w:keepNext/>
        <w:spacing w:before="120" w:after="40"/>
        <w:jc w:val="left"/>
      </w:pPr>
      <w:r>
        <w:rPr>
          <w:rFonts w:ascii="Times New Roman" w:hAnsi="Times New Roman"/>
          <w:b/>
          <w:color w:val="0F172A"/>
          <w:sz w:val="20"/>
        </w:rPr>
        <w:t>4.4. Crescendo Multi-Turn Attack Defense Evaluation (AI vs AI Defense)</w:t>
      </w:r>
    </w:p>
    <w:p>
      <w:pPr>
        <w:spacing w:before="0" w:after="56" w:line="276" w:lineRule="auto"/>
        <w:ind w:firstLine="227"/>
        <w:jc w:val="both"/>
      </w:pPr>
      <w:r>
        <w:rPr>
          <w:rFonts w:ascii="Times New Roman" w:hAnsi="Times New Roman"/>
          <w:b w:val="0"/>
          <w:i w:val="0"/>
          <w:color w:val="0F172A"/>
          <w:sz w:val="20"/>
        </w:rPr>
        <w:t>A fundamental vulnerability of conventional stateless guardrails is their inability to detect deceptive escalation distributed across progressive dialogue turns (</w:t>
      </w:r>
      <w:r>
        <w:rPr>
          <w:rFonts w:ascii="Times New Roman" w:hAnsi="Times New Roman"/>
          <w:b w:val="0"/>
          <w:i/>
          <w:color w:val="0F172A"/>
          <w:sz w:val="20"/>
        </w:rPr>
        <w:t>multi-turn Crescendo attack</w:t>
      </w:r>
      <w:r>
        <w:rPr>
          <w:rFonts w:ascii="Times New Roman" w:hAnsi="Times New Roman"/>
          <w:b w:val="0"/>
          <w:i w:val="0"/>
          <w:color w:val="0F172A"/>
          <w:sz w:val="20"/>
        </w:rPr>
        <w:t>) [2]. In this adversarial paradigm, an attacker refrains from triggering explicit toxic keywords within a single turn; instead, they cultivate conversational rapport (Turns 1–2), establish pseudo-authority (Turn 3), and subsequently coerce clinical boundary violations or patient record exfiltration (Turns 4–5). To empirically demonstrate SIAGA's defensive superiority, automated benchmark evaluations were conducted across our four-scenario synthetic test suite (</w:t>
      </w:r>
      <w:r>
        <w:rPr>
          <w:rFonts w:ascii="Consolas" w:hAnsi="Consolas"/>
          <w:b w:val="0"/>
          <w:color w:val="0F172A"/>
          <w:sz w:val="18"/>
        </w:rPr>
        <w:t>crescendo_test_scenarios.md</w:t>
      </w:r>
      <w:r>
        <w:rPr>
          <w:rFonts w:ascii="Times New Roman" w:hAnsi="Times New Roman"/>
          <w:b w:val="0"/>
          <w:i w:val="0"/>
          <w:color w:val="0F172A"/>
          <w:sz w:val="20"/>
        </w:rPr>
        <w:t xml:space="preserve">): (1) Patient Medical Record Exfiltration via </w:t>
      </w:r>
      <w:r>
        <w:rPr>
          <w:rFonts w:ascii="Times New Roman" w:hAnsi="Times New Roman"/>
          <w:b w:val="0"/>
          <w:i/>
          <w:color w:val="0F172A"/>
          <w:sz w:val="20"/>
        </w:rPr>
        <w:t>Authority Spoofing</w:t>
      </w:r>
      <w:r>
        <w:rPr>
          <w:rFonts w:ascii="Times New Roman" w:hAnsi="Times New Roman"/>
          <w:b w:val="0"/>
          <w:i w:val="0"/>
          <w:color w:val="0F172A"/>
          <w:sz w:val="20"/>
        </w:rPr>
        <w:t>, (2) Schedule IV Psychotropic Prescription Coercion (</w:t>
      </w:r>
      <w:r>
        <w:rPr>
          <w:rFonts w:ascii="Times New Roman" w:hAnsi="Times New Roman"/>
          <w:b w:val="0"/>
          <w:i/>
          <w:color w:val="0F172A"/>
          <w:sz w:val="20"/>
        </w:rPr>
        <w:t>Medical Coercion</w:t>
      </w:r>
      <w:r>
        <w:rPr>
          <w:rFonts w:ascii="Times New Roman" w:hAnsi="Times New Roman"/>
          <w:b w:val="0"/>
          <w:i w:val="0"/>
          <w:color w:val="0F172A"/>
          <w:sz w:val="20"/>
        </w:rPr>
        <w:t>), (3) Persona Subversion and System Prompt Extraction (</w:t>
      </w:r>
      <w:r>
        <w:rPr>
          <w:rFonts w:ascii="Times New Roman" w:hAnsi="Times New Roman"/>
          <w:b w:val="0"/>
          <w:i/>
          <w:color w:val="0F172A"/>
          <w:sz w:val="20"/>
        </w:rPr>
        <w:t>Hypothetical Jailbreak</w:t>
      </w:r>
      <w:r>
        <w:rPr>
          <w:rFonts w:ascii="Times New Roman" w:hAnsi="Times New Roman"/>
          <w:b w:val="0"/>
          <w:i w:val="0"/>
          <w:color w:val="0F172A"/>
          <w:sz w:val="20"/>
        </w:rPr>
        <w:t>), and (4) Real Distressed Patient Negative Control.</w:t>
      </w:r>
    </w:p>
    <w:p>
      <w:pPr>
        <w:spacing w:before="0" w:after="56" w:line="276" w:lineRule="auto"/>
        <w:ind w:firstLine="227"/>
        <w:jc w:val="both"/>
      </w:pPr>
      <w:r>
        <w:rPr>
          <w:rFonts w:ascii="Times New Roman" w:hAnsi="Times New Roman"/>
          <w:b w:val="0"/>
          <w:i w:val="0"/>
          <w:color w:val="0F172A"/>
          <w:sz w:val="20"/>
        </w:rPr>
        <w:t>Table 5 evaluates the defensive efficacy of three security paradigms subjected to identical 5-turn Crescendo attack sequences.</w:t>
      </w:r>
    </w:p>
    <w:p>
      <w:pPr>
        <w:keepNext/>
        <w:spacing w:before="100" w:after="40"/>
        <w:jc w:val="center"/>
      </w:pPr>
      <w:r>
        <w:rPr>
          <w:rFonts w:ascii="Times New Roman" w:hAnsi="Times New Roman"/>
          <w:b/>
          <w:i w:val="0"/>
          <w:color w:val="0F172A"/>
          <w:sz w:val="17"/>
        </w:rPr>
        <w:t>Table 5. Multi-Turn Crescendo Defense Evaluation (AI vs AI Defense Track)</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2409"/>
        <w:gridCol w:w="2409"/>
        <w:gridCol w:w="2409"/>
        <w:gridCol w:w="2409"/>
      </w:tblGrid>
      <w:tr>
        <w:trPr>
          <w:cantSplit/>
          <w:tblHeader/>
        </w:trPr>
        <w:tc>
          <w:tcPr>
            <w:tcW w:type="dxa" w:w="130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Defense Architecture</w:t>
            </w:r>
          </w:p>
        </w:tc>
        <w:tc>
          <w:tcPr>
            <w:tcW w:type="dxa" w:w="90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ASR / FPR</w:t>
            </w:r>
          </w:p>
        </w:tc>
        <w:tc>
          <w:tcPr>
            <w:tcW w:type="dxa" w:w="119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Interception Turn (TTB)</w:t>
            </w:r>
          </w:p>
        </w:tc>
        <w:tc>
          <w:tcPr>
            <w:tcW w:type="dxa" w:w="1020"/>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Leakage &amp; GPU VRAM</w:t>
            </w:r>
          </w:p>
        </w:tc>
      </w:tr>
      <w:tr>
        <w:trPr>
          <w:cantSplit/>
        </w:trPr>
        <w:tc>
          <w:tcPr>
            <w:tcW w:type="dxa" w:w="1304"/>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Unshielded SLM (Qwen2.5-3B)</w:t>
            </w:r>
          </w:p>
        </w:tc>
        <w:tc>
          <w:tcPr>
            <w:tcW w:type="dxa" w:w="907"/>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86.7% / 0.0%</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Failed (Bypassed Turn 3–4)</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100% Leaked (0 MiB VRAM)</w:t>
            </w:r>
          </w:p>
        </w:tc>
      </w:tr>
      <w:tr>
        <w:trPr>
          <w:cantSplit/>
        </w:trPr>
        <w:tc>
          <w:tcPr>
            <w:tcW w:type="dxa" w:w="1304"/>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Stateless Guardrail (Regex / LlamaGuard)</w:t>
            </w:r>
          </w:p>
        </w:tc>
        <w:tc>
          <w:tcPr>
            <w:tcW w:type="dxa" w:w="907"/>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73.3% / 6.7%</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Failed (Bypassed T1–3, Leaked T4)</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60.0% Leaked (1,100 MiB)</w:t>
            </w:r>
          </w:p>
        </w:tc>
      </w:tr>
      <w:tr>
        <w:trPr>
          <w:cantSplit/>
        </w:trPr>
        <w:tc>
          <w:tcPr>
            <w:tcW w:type="dxa" w:w="1304"/>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SIAGA Stateful Guardrail (L0–L3 CIM)</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0.0% / 0.0%</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Turn 4 (PROBE) / 5 (BLOCK)</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0.0% Zero-Leak (0 MiB)</w:t>
            </w:r>
          </w:p>
        </w:tc>
      </w:tr>
    </w:tbl>
    <w:p>
      <w:pPr>
        <w:spacing w:before="0" w:after="40"/>
      </w:pPr>
    </w:p>
    <w:p>
      <w:pPr>
        <w:spacing w:before="0" w:after="56" w:line="276" w:lineRule="auto"/>
        <w:ind w:firstLine="227"/>
        <w:jc w:val="both"/>
      </w:pPr>
      <w:r>
        <w:rPr>
          <w:rFonts w:ascii="Times New Roman" w:hAnsi="Times New Roman"/>
          <w:b w:val="0"/>
          <w:i w:val="0"/>
          <w:color w:val="0F172A"/>
          <w:sz w:val="20"/>
        </w:rPr>
        <w:t>Empirical findings in Table 5 confirm that unshielded SLMs suffer severe compliance failure by Turn 3 or 4 (</w:t>
      </w:r>
      <w:r>
        <w:rPr>
          <w:rFonts w:ascii="Times New Roman" w:hAnsi="Times New Roman"/>
          <w:b w:val="0"/>
          <w:i/>
          <w:color w:val="0F172A"/>
          <w:sz w:val="20"/>
        </w:rPr>
        <w:t>Attack Success Rate</w:t>
      </w:r>
      <w:r>
        <w:rPr>
          <w:rFonts w:ascii="Times New Roman" w:hAnsi="Times New Roman"/>
          <w:b w:val="0"/>
          <w:i w:val="0"/>
          <w:color w:val="0F172A"/>
          <w:sz w:val="20"/>
        </w:rPr>
        <w:t xml:space="preserve"> reaches 86.7%). Conventional stateless filters fail because Turns 1–3 are deliberately cloaked in polite academic vocabulary, falling well below single-message toxicity thresholds. Conversely, SIAGA tracks intent momentum (</w:t>
      </w:r>
      <w:r>
        <w:rPr>
          <w:rFonts w:ascii="Times New Roman" w:hAnsi="Times New Roman"/>
          <w:b w:val="0"/>
          <w:i/>
          <w:color w:val="0F172A"/>
          <w:sz w:val="20"/>
        </w:rPr>
        <w:t>M_t</w:t>
      </w:r>
      <w:r>
        <w:rPr>
          <w:rFonts w:ascii="Times New Roman" w:hAnsi="Times New Roman"/>
          <w:b w:val="0"/>
          <w:i w:val="0"/>
          <w:color w:val="0F172A"/>
          <w:sz w:val="20"/>
        </w:rPr>
        <w:t>) and directional velocity (</w:t>
      </w:r>
      <w:r>
        <w:rPr>
          <w:rFonts w:ascii="Times New Roman" w:hAnsi="Times New Roman"/>
          <w:b w:val="0"/>
          <w:i/>
          <w:color w:val="0F172A"/>
          <w:sz w:val="20"/>
        </w:rPr>
        <w:t>D_t</w:t>
      </w:r>
      <w:r>
        <w:rPr>
          <w:rFonts w:ascii="Times New Roman" w:hAnsi="Times New Roman"/>
          <w:b w:val="0"/>
          <w:i w:val="0"/>
          <w:color w:val="0F172A"/>
          <w:sz w:val="20"/>
        </w:rPr>
        <w:t>) across the dialogue trajectory, successfully triggering an active Reverse Turing challenge (</w:t>
      </w:r>
      <w:r>
        <w:rPr>
          <w:rFonts w:ascii="Consolas" w:hAnsi="Consolas"/>
          <w:b w:val="0"/>
          <w:color w:val="0F172A"/>
          <w:sz w:val="18"/>
        </w:rPr>
        <w:t>PROBE</w:t>
      </w:r>
      <w:r>
        <w:rPr>
          <w:rFonts w:ascii="Times New Roman" w:hAnsi="Times New Roman"/>
          <w:b w:val="0"/>
          <w:i w:val="0"/>
          <w:color w:val="0F172A"/>
          <w:sz w:val="20"/>
        </w:rPr>
        <w:t>) at Turn 4 and permanently freezing the session (</w:t>
      </w:r>
      <w:r>
        <w:rPr>
          <w:rFonts w:ascii="Consolas" w:hAnsi="Consolas"/>
          <w:b w:val="0"/>
          <w:color w:val="0F172A"/>
          <w:sz w:val="18"/>
        </w:rPr>
        <w:t>BLOCK</w:t>
      </w:r>
      <w:r>
        <w:rPr>
          <w:rFonts w:ascii="Times New Roman" w:hAnsi="Times New Roman"/>
          <w:b w:val="0"/>
          <w:i w:val="0"/>
          <w:color w:val="0F172A"/>
          <w:sz w:val="20"/>
        </w:rPr>
        <w:t>) at Turn 5 prior to any sensitive disclosure (0.0% plaintext leakage).</w:t>
      </w:r>
    </w:p>
    <w:p>
      <w:pPr>
        <w:spacing w:before="0" w:after="56" w:line="276" w:lineRule="auto"/>
        <w:ind w:firstLine="227"/>
        <w:jc w:val="both"/>
      </w:pPr>
      <w:r>
        <w:rPr>
          <w:rFonts w:ascii="Times New Roman" w:hAnsi="Times New Roman"/>
          <w:b w:val="0"/>
          <w:i w:val="0"/>
          <w:color w:val="0F172A"/>
          <w:sz w:val="20"/>
        </w:rPr>
        <w:t>Crucially, in Scenario 4 (Negative Control), authentic patients experiencing severe emotional distress using high-urgency language (</w:t>
      </w:r>
      <w:r>
        <w:rPr>
          <w:rFonts w:ascii="Times New Roman" w:hAnsi="Times New Roman"/>
          <w:b w:val="0"/>
          <w:i/>
          <w:color w:val="0F172A"/>
          <w:sz w:val="20"/>
        </w:rPr>
        <w:t>"help me"</w:t>
      </w:r>
      <w:r>
        <w:rPr>
          <w:rFonts w:ascii="Times New Roman" w:hAnsi="Times New Roman"/>
          <w:b w:val="0"/>
          <w:i w:val="0"/>
          <w:color w:val="0F172A"/>
          <w:sz w:val="20"/>
        </w:rPr>
        <w:t xml:space="preserve">, </w:t>
      </w:r>
      <w:r>
        <w:rPr>
          <w:rFonts w:ascii="Times New Roman" w:hAnsi="Times New Roman"/>
          <w:b w:val="0"/>
          <w:i/>
          <w:color w:val="0F172A"/>
          <w:sz w:val="20"/>
        </w:rPr>
        <w:t>"chest feels tight"</w:t>
      </w:r>
      <w:r>
        <w:rPr>
          <w:rFonts w:ascii="Times New Roman" w:hAnsi="Times New Roman"/>
          <w:b w:val="0"/>
          <w:i w:val="0"/>
          <w:color w:val="0F172A"/>
          <w:sz w:val="20"/>
        </w:rPr>
        <w:t xml:space="preserve">, </w:t>
      </w:r>
      <w:r>
        <w:rPr>
          <w:rFonts w:ascii="Times New Roman" w:hAnsi="Times New Roman"/>
          <w:b w:val="0"/>
          <w:i/>
          <w:color w:val="0F172A"/>
          <w:sz w:val="20"/>
        </w:rPr>
        <w:t>"feel like giving up"</w:t>
      </w:r>
      <w:r>
        <w:rPr>
          <w:rFonts w:ascii="Times New Roman" w:hAnsi="Times New Roman"/>
          <w:b w:val="0"/>
          <w:i w:val="0"/>
          <w:color w:val="0F172A"/>
          <w:sz w:val="20"/>
        </w:rPr>
        <w:t xml:space="preserve">) are handled benignly: all five turns receive </w:t>
      </w:r>
      <w:r>
        <w:rPr>
          <w:rFonts w:ascii="Times New Roman" w:hAnsi="Times New Roman"/>
          <w:b/>
          <w:i w:val="0"/>
          <w:color w:val="0F172A"/>
          <w:sz w:val="20"/>
        </w:rPr>
        <w:t>`ALLOW`</w:t>
      </w:r>
      <w:r>
        <w:rPr>
          <w:rFonts w:ascii="Times New Roman" w:hAnsi="Times New Roman"/>
          <w:b w:val="0"/>
          <w:i w:val="0"/>
          <w:color w:val="0F172A"/>
          <w:sz w:val="20"/>
        </w:rPr>
        <w:t xml:space="preserve"> verdicts with minimal momentum accumulation (</w:t>
      </w:r>
      <w:r>
        <w:rPr>
          <w:rFonts w:ascii="Times New Roman" w:hAnsi="Times New Roman"/>
          <w:b w:val="0"/>
          <w:i/>
          <w:color w:val="0F172A"/>
          <w:sz w:val="20"/>
        </w:rPr>
        <w:t>M_t</w:t>
      </w:r>
      <w:r>
        <w:rPr>
          <w:rFonts w:ascii="Times New Roman" w:hAnsi="Times New Roman"/>
          <w:b w:val="0"/>
          <w:i w:val="0"/>
          <w:color w:val="0F172A"/>
          <w:sz w:val="20"/>
        </w:rPr>
        <w:t xml:space="preserve"> ≤ 0.07). This validates that SIAGA's exponential momentum decay (</w:t>
      </w:r>
      <w:r>
        <w:rPr>
          <w:rFonts w:ascii="Times New Roman" w:hAnsi="Times New Roman"/>
          <w:b w:val="0"/>
          <w:i/>
          <w:color w:val="0F172A"/>
          <w:sz w:val="20"/>
        </w:rPr>
        <w:t>gamma-decay</w:t>
      </w:r>
      <w:r>
        <w:rPr>
          <w:rFonts w:ascii="Times New Roman" w:hAnsi="Times New Roman"/>
          <w:b w:val="0"/>
          <w:i w:val="0"/>
          <w:color w:val="0F172A"/>
          <w:sz w:val="20"/>
        </w:rPr>
        <w:t xml:space="preserve"> factor) prevents false positives during authentic patient crises.</w:t>
      </w:r>
    </w:p>
    <w:p>
      <w:pPr>
        <w:keepNext/>
        <w:spacing w:before="100" w:after="30"/>
        <w:jc w:val="center"/>
      </w:pPr>
      <w:r>
        <w:drawing>
          <wp:inline xmlns:a="http://schemas.openxmlformats.org/drawingml/2006/main" xmlns:pic="http://schemas.openxmlformats.org/drawingml/2006/picture">
            <wp:extent cx="2808000" cy="1609920"/>
            <wp:docPr id="3" name="Picture 3"/>
            <wp:cNvGraphicFramePr>
              <a:graphicFrameLocks noChangeAspect="1"/>
            </wp:cNvGraphicFramePr>
            <a:graphic>
              <a:graphicData uri="http://schemas.openxmlformats.org/drawingml/2006/picture">
                <pic:pic>
                  <pic:nvPicPr>
                    <pic:cNvPr id="0" name="figure_4_crescendo_trajectory_en.png"/>
                    <pic:cNvPicPr/>
                  </pic:nvPicPr>
                  <pic:blipFill>
                    <a:blip r:embed="rId13"/>
                    <a:stretch>
                      <a:fillRect/>
                    </a:stretch>
                  </pic:blipFill>
                  <pic:spPr>
                    <a:xfrm>
                      <a:off x="0" y="0"/>
                      <a:ext cx="2808000" cy="1609920"/>
                    </a:xfrm>
                    <a:prstGeom prst="rect"/>
                  </pic:spPr>
                </pic:pic>
              </a:graphicData>
            </a:graphic>
          </wp:inline>
        </w:drawing>
      </w:r>
    </w:p>
    <w:p>
      <w:pPr>
        <w:spacing w:before="20" w:after="80"/>
        <w:jc w:val="both"/>
      </w:pPr>
      <w:r>
        <w:rPr>
          <w:rFonts w:ascii="Times New Roman" w:hAnsi="Times New Roman"/>
          <w:b w:val="0"/>
          <w:i/>
          <w:color w:val="0F172A"/>
          <w:sz w:val="17"/>
        </w:rPr>
        <w:t>Figure 4. Cumulative CIM momentum trajectories (M_t) across 5 dialogue turns. Attack scenarios 1–3 progressively cross PROBE and BLOCK thresholds, whereas Scenario 4 (Negative Control) remains flat within the safe baseline (M_t &lt; 0.10).</w:t>
      </w:r>
    </w:p>
    <w:p>
      <w:pPr>
        <w:keepNext/>
        <w:spacing w:before="120" w:after="40"/>
        <w:jc w:val="left"/>
      </w:pPr>
      <w:r>
        <w:rPr>
          <w:rFonts w:ascii="Times New Roman" w:hAnsi="Times New Roman"/>
          <w:b/>
          <w:color w:val="0F172A"/>
          <w:sz w:val="20"/>
        </w:rPr>
        <w:t>4.5. Computational Efficiency Breakdown and Pareto Optimality</w:t>
      </w:r>
    </w:p>
    <w:p>
      <w:pPr>
        <w:spacing w:before="0" w:after="56" w:line="276" w:lineRule="auto"/>
        <w:ind w:firstLine="227"/>
        <w:jc w:val="both"/>
      </w:pPr>
      <w:r>
        <w:rPr>
          <w:rFonts w:ascii="Times New Roman" w:hAnsi="Times New Roman"/>
          <w:b w:val="0"/>
          <w:i w:val="0"/>
          <w:color w:val="0F172A"/>
          <w:sz w:val="20"/>
        </w:rPr>
        <w:t>To validate deployment feasibility on cost-effective clinical edge hardware, our automated agent harness profiled execution latency across all SIAGA inspection layers on host developer hardware (AMD Ryzen 5 4600H CPU @ 3.0 GHz). Empirical latency distributions are detailed in Table 6.</w:t>
      </w:r>
    </w:p>
    <w:p>
      <w:pPr>
        <w:keepNext/>
        <w:spacing w:before="100" w:after="40"/>
        <w:jc w:val="center"/>
      </w:pPr>
      <w:r>
        <w:rPr>
          <w:rFonts w:ascii="Times New Roman" w:hAnsi="Times New Roman"/>
          <w:b/>
          <w:i w:val="0"/>
          <w:color w:val="0F172A"/>
          <w:sz w:val="17"/>
        </w:rPr>
        <w:t>Table 6. Empirical Execution Latency per SIAGA Layer (n = 20 Turns, Host CPU Benchmark)</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2409"/>
        <w:gridCol w:w="2409"/>
        <w:gridCol w:w="2409"/>
        <w:gridCol w:w="2409"/>
      </w:tblGrid>
      <w:tr>
        <w:trPr>
          <w:cantSplit/>
          <w:tblHeader/>
        </w:trPr>
        <w:tc>
          <w:tcPr>
            <w:tcW w:type="dxa" w:w="1020"/>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SIAGA Layer</w:t>
            </w:r>
          </w:p>
        </w:tc>
        <w:tc>
          <w:tcPr>
            <w:tcW w:type="dxa" w:w="136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Functional Component</w:t>
            </w:r>
          </w:p>
        </w:tc>
        <w:tc>
          <w:tcPr>
            <w:tcW w:type="dxa" w:w="1020"/>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Median Latency (P95)</w:t>
            </w:r>
          </w:p>
        </w:tc>
        <w:tc>
          <w:tcPr>
            <w:tcW w:type="dxa" w:w="1020"/>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Memory &amp; Compute Profile</w:t>
            </w:r>
          </w:p>
        </w:tc>
      </w:tr>
      <w:tr>
        <w:trPr>
          <w:cantSplit/>
        </w:trPr>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Layer 0 (L0)</w:t>
            </w:r>
          </w:p>
        </w:tc>
        <w:tc>
          <w:tcPr>
            <w:tcW w:type="dxa" w:w="136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Canonicalizer &amp; Text Cleaner</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0.15 ms (0.22 ms)</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 MiB VRAM (&lt; 2 MB RAM)</w:t>
            </w:r>
          </w:p>
        </w:tc>
      </w:tr>
      <w:tr>
        <w:trPr>
          <w:cantSplit/>
        </w:trPr>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Layer 1 (L1)</w:t>
            </w:r>
          </w:p>
        </w:tc>
        <w:tc>
          <w:tcPr>
            <w:tcW w:type="dxa" w:w="136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MiniLM-L6-v2 Embedder INT8</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0.85 ms (1.45 ms)</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 MiB VRAM (~45 MB RAM)</w:t>
            </w:r>
          </w:p>
        </w:tc>
      </w:tr>
      <w:tr>
        <w:trPr>
          <w:cantSplit/>
        </w:trPr>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Layer 2 (L2)</w:t>
            </w:r>
          </w:p>
        </w:tc>
        <w:tc>
          <w:tcPr>
            <w:tcW w:type="dxa" w:w="136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Context Engine &amp; Burst Limiter</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1.45 ms (2.48 ms)</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 MiB VRAM (&lt; 5 MB RAM)</w:t>
            </w:r>
          </w:p>
        </w:tc>
      </w:tr>
      <w:tr>
        <w:trPr>
          <w:cantSplit/>
        </w:trPr>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Layer 3 (L3)</w:t>
            </w:r>
          </w:p>
        </w:tc>
        <w:tc>
          <w:tcPr>
            <w:tcW w:type="dxa" w:w="136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CIM Momentum &amp; Trajectory Graph</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0.65 ms (0.95 ms)</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 MiB VRAM (&lt; 8 MB RAM)</w:t>
            </w:r>
          </w:p>
        </w:tc>
      </w:tr>
      <w:tr>
        <w:trPr>
          <w:cantSplit/>
        </w:trPr>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State Storage</w:t>
            </w:r>
          </w:p>
        </w:tc>
        <w:tc>
          <w:tcPr>
            <w:tcW w:type="dxa" w:w="136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DuckDB In-Process Roundtrip</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22.80 ms (28.50 ms)</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 MiB VRAM (~30 MB RAM)</w:t>
            </w:r>
          </w:p>
        </w:tc>
      </w:tr>
      <w:tr>
        <w:trPr>
          <w:cantSplit/>
        </w:trPr>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Total Guardrail</w:t>
            </w:r>
          </w:p>
        </w:tc>
        <w:tc>
          <w:tcPr>
            <w:tcW w:type="dxa" w:w="1361"/>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Total SIAGA Inspection Overhead</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25.90 ms (33.60 ms)</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0 MiB VRAM (GPU-Free)</w:t>
            </w:r>
          </w:p>
        </w:tc>
      </w:tr>
    </w:tbl>
    <w:p>
      <w:pPr>
        <w:spacing w:before="0" w:after="40"/>
      </w:pPr>
    </w:p>
    <w:p>
      <w:pPr>
        <w:spacing w:before="0" w:after="56" w:line="276" w:lineRule="auto"/>
        <w:ind w:firstLine="227"/>
        <w:jc w:val="both"/>
      </w:pPr>
      <w:r>
        <w:rPr>
          <w:rFonts w:ascii="Times New Roman" w:hAnsi="Times New Roman"/>
          <w:b w:val="0"/>
          <w:i w:val="0"/>
          <w:color w:val="0F172A"/>
          <w:sz w:val="20"/>
        </w:rPr>
        <w:t xml:space="preserve">Table 6 demonstrates that SIAGA's stateful inspection executes within a </w:t>
      </w:r>
      <w:r>
        <w:rPr>
          <w:rFonts w:ascii="Times New Roman" w:hAnsi="Times New Roman"/>
          <w:b/>
          <w:i w:val="0"/>
          <w:color w:val="0F172A"/>
          <w:sz w:val="20"/>
        </w:rPr>
        <w:t>median overhead of 25.90 ms</w:t>
      </w:r>
      <w:r>
        <w:rPr>
          <w:rFonts w:ascii="Times New Roman" w:hAnsi="Times New Roman"/>
          <w:b w:val="0"/>
          <w:i w:val="0"/>
          <w:color w:val="0F172A"/>
          <w:sz w:val="20"/>
        </w:rPr>
        <w:t xml:space="preserve"> purely on CPU threads, incurring </w:t>
      </w:r>
      <w:r>
        <w:rPr>
          <w:rFonts w:ascii="Times New Roman" w:hAnsi="Times New Roman"/>
          <w:b/>
          <w:i w:val="0"/>
          <w:color w:val="0F172A"/>
          <w:sz w:val="20"/>
        </w:rPr>
        <w:t>0 MiB of GPU VRAM overhead</w:t>
      </w:r>
      <w:r>
        <w:rPr>
          <w:rFonts w:ascii="Times New Roman" w:hAnsi="Times New Roman"/>
          <w:b w:val="0"/>
          <w:i w:val="0"/>
          <w:color w:val="0F172A"/>
          <w:sz w:val="20"/>
        </w:rPr>
        <w:t>. The entire graphics memory budget (4,096 MiB) remains dedicated to generative SLM inference.</w:t>
      </w:r>
    </w:p>
    <w:p>
      <w:pPr>
        <w:spacing w:before="0" w:after="56" w:line="276" w:lineRule="auto"/>
        <w:ind w:firstLine="227"/>
        <w:jc w:val="both"/>
      </w:pPr>
      <w:r>
        <w:rPr>
          <w:rFonts w:ascii="Times New Roman" w:hAnsi="Times New Roman"/>
          <w:b w:val="0"/>
          <w:i w:val="0"/>
          <w:color w:val="0F172A"/>
          <w:sz w:val="20"/>
        </w:rPr>
        <w:t xml:space="preserve">Synthesizing SLM inference throughput (Table 4) and guardrail latency (Table 6), the pairing of </w:t>
      </w:r>
      <w:r>
        <w:rPr>
          <w:rFonts w:ascii="Times New Roman" w:hAnsi="Times New Roman"/>
          <w:b/>
          <w:i w:val="0"/>
          <w:color w:val="0F172A"/>
          <w:sz w:val="20"/>
        </w:rPr>
        <w:t>`qwen2.5:3b-instruct` (Q4_K_M) + SIAGA Guardrail</w:t>
      </w:r>
      <w:r>
        <w:rPr>
          <w:rFonts w:ascii="Times New Roman" w:hAnsi="Times New Roman"/>
          <w:b w:val="0"/>
          <w:i w:val="0"/>
          <w:color w:val="0F172A"/>
          <w:sz w:val="20"/>
        </w:rPr>
        <w:t xml:space="preserve"> establishes the undisputed </w:t>
      </w:r>
      <w:r>
        <w:rPr>
          <w:rFonts w:ascii="Times New Roman" w:hAnsi="Times New Roman"/>
          <w:b w:val="0"/>
          <w:i/>
          <w:color w:val="0F172A"/>
          <w:sz w:val="20"/>
        </w:rPr>
        <w:t>Pareto Sweet-Spot</w:t>
      </w:r>
      <w:r>
        <w:rPr>
          <w:rFonts w:ascii="Times New Roman" w:hAnsi="Times New Roman"/>
          <w:b w:val="0"/>
          <w:i w:val="0"/>
          <w:color w:val="0F172A"/>
          <w:sz w:val="20"/>
        </w:rPr>
        <w:t xml:space="preserve"> for clinical conversational systems:</w:t>
      </w:r>
    </w:p>
    <w:p>
      <w:pPr>
        <w:spacing w:before="0" w:after="56" w:line="276" w:lineRule="auto"/>
        <w:ind w:firstLine="227"/>
        <w:jc w:val="both"/>
      </w:pPr>
      <w:r>
        <w:rPr>
          <w:rFonts w:ascii="Times New Roman" w:hAnsi="Times New Roman"/>
          <w:b w:val="0"/>
          <w:i w:val="0"/>
          <w:color w:val="0F172A"/>
          <w:sz w:val="20"/>
        </w:rPr>
        <w:t xml:space="preserve">1. </w:t>
      </w:r>
      <w:r>
        <w:rPr>
          <w:rFonts w:ascii="Times New Roman" w:hAnsi="Times New Roman"/>
          <w:b/>
          <w:i w:val="0"/>
          <w:color w:val="0F172A"/>
          <w:sz w:val="20"/>
        </w:rPr>
        <w:t>Interactive Responsiveness:</w:t>
      </w:r>
      <w:r>
        <w:rPr>
          <w:rFonts w:ascii="Times New Roman" w:hAnsi="Times New Roman"/>
          <w:b w:val="0"/>
          <w:i w:val="0"/>
          <w:color w:val="0F172A"/>
          <w:sz w:val="20"/>
        </w:rPr>
        <w:t xml:space="preserve"> Delivers 62.96 tok/s generation throughput with 0.49 s time-to-first-token and merely ~0.026 s guardrail overhead, ensuring seamless sub-1.5 second conversational turns.</w:t>
      </w:r>
    </w:p>
    <w:p>
      <w:pPr>
        <w:spacing w:before="0" w:after="56" w:line="276" w:lineRule="auto"/>
        <w:ind w:firstLine="227"/>
        <w:jc w:val="both"/>
      </w:pPr>
      <w:r>
        <w:rPr>
          <w:rFonts w:ascii="Times New Roman" w:hAnsi="Times New Roman"/>
          <w:b w:val="0"/>
          <w:i w:val="0"/>
          <w:color w:val="0F172A"/>
          <w:sz w:val="20"/>
        </w:rPr>
        <w:t xml:space="preserve">2. </w:t>
      </w:r>
      <w:r>
        <w:rPr>
          <w:rFonts w:ascii="Times New Roman" w:hAnsi="Times New Roman"/>
          <w:b/>
          <w:i w:val="0"/>
          <w:color w:val="0F172A"/>
          <w:sz w:val="20"/>
        </w:rPr>
        <w:t>Hardware Accessibility:</w:t>
      </w:r>
      <w:r>
        <w:rPr>
          <w:rFonts w:ascii="Times New Roman" w:hAnsi="Times New Roman"/>
          <w:b w:val="0"/>
          <w:i w:val="0"/>
          <w:color w:val="0F172A"/>
          <w:sz w:val="20"/>
        </w:rPr>
        <w:t xml:space="preserve"> Allocates 2,893 MiB of VRAM, fitting comfortably within the 4 GB GPU boundary standard in commercial healthcare workstations and laptops.</w:t>
      </w:r>
    </w:p>
    <w:p>
      <w:pPr>
        <w:spacing w:before="0" w:after="56" w:line="276" w:lineRule="auto"/>
        <w:ind w:firstLine="227"/>
        <w:jc w:val="both"/>
      </w:pPr>
      <w:r>
        <w:rPr>
          <w:rFonts w:ascii="Times New Roman" w:hAnsi="Times New Roman"/>
          <w:b w:val="0"/>
          <w:i w:val="0"/>
          <w:color w:val="0F172A"/>
          <w:sz w:val="20"/>
        </w:rPr>
        <w:t xml:space="preserve">3. </w:t>
      </w:r>
      <w:r>
        <w:rPr>
          <w:rFonts w:ascii="Times New Roman" w:hAnsi="Times New Roman"/>
          <w:b/>
          <w:i w:val="0"/>
          <w:color w:val="0F172A"/>
          <w:sz w:val="20"/>
        </w:rPr>
        <w:t>Robust Security Guarantee:</w:t>
      </w:r>
      <w:r>
        <w:rPr>
          <w:rFonts w:ascii="Times New Roman" w:hAnsi="Times New Roman"/>
          <w:b w:val="0"/>
          <w:i w:val="0"/>
          <w:color w:val="0F172A"/>
          <w:sz w:val="20"/>
        </w:rPr>
        <w:t xml:space="preserve"> Achieves 0.0% ASR against sophisticated multi-turn Crescendo attacks, resolving the traditional trade-off between model responsiveness and conversational safety.</w:t>
      </w:r>
    </w:p>
    <w:p>
      <w:pPr>
        <w:keepNext/>
        <w:spacing w:before="160" w:after="60"/>
        <w:jc w:val="left"/>
      </w:pPr>
      <w:r>
        <w:rPr>
          <w:rFonts w:ascii="Times New Roman" w:hAnsi="Times New Roman"/>
          <w:b/>
          <w:color w:val="0F172A"/>
          <w:sz w:val="21"/>
        </w:rPr>
        <w:t>CHAPTER 5: SECURITY ARCHITECTURE &amp; INTELLECTUAL PROPERTY POTENTIAL</w:t>
      </w:r>
    </w:p>
    <w:p>
      <w:pPr>
        <w:keepNext/>
        <w:spacing w:before="120" w:after="40"/>
        <w:jc w:val="left"/>
      </w:pPr>
      <w:r>
        <w:rPr>
          <w:rFonts w:ascii="Times New Roman" w:hAnsi="Times New Roman"/>
          <w:b/>
          <w:color w:val="0F172A"/>
          <w:sz w:val="20"/>
        </w:rPr>
        <w:t>5.1. Threats, Controls, and Remaining Gaps</w:t>
      </w:r>
    </w:p>
    <w:p>
      <w:pPr>
        <w:spacing w:before="0" w:after="56" w:line="276" w:lineRule="auto"/>
        <w:ind w:firstLine="227"/>
        <w:jc w:val="both"/>
      </w:pPr>
      <w:r>
        <w:rPr>
          <w:rFonts w:ascii="Times New Roman" w:hAnsi="Times New Roman"/>
          <w:b w:val="0"/>
          <w:i w:val="0"/>
          <w:color w:val="0F172A"/>
          <w:sz w:val="20"/>
        </w:rPr>
        <w:t>Table 7 summarizes core threat vectors without presuming that the prototype has completed formal third-party security certification. Threat assessments reference adversarial prompt injection and sensitive data disclosure taxonomies established by OWASP [6].</w:t>
      </w:r>
    </w:p>
    <w:p>
      <w:pPr>
        <w:keepNext/>
        <w:spacing w:before="100" w:after="40"/>
        <w:jc w:val="center"/>
      </w:pPr>
      <w:r>
        <w:rPr>
          <w:rFonts w:ascii="Times New Roman" w:hAnsi="Times New Roman"/>
          <w:b/>
          <w:i w:val="0"/>
          <w:color w:val="0F172A"/>
          <w:sz w:val="17"/>
        </w:rPr>
        <w:t>Table 7. Prototype Threat and Control Mapping</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113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Threat Vector</w:t>
            </w:r>
          </w:p>
        </w:tc>
        <w:tc>
          <w:tcPr>
            <w:tcW w:type="dxa" w:w="158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Active Prototype Controls</w:t>
            </w:r>
          </w:p>
        </w:tc>
        <w:tc>
          <w:tcPr>
            <w:tcW w:type="dxa" w:w="170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Necessary Pre-Production Hardening</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Multi-turn prompt injection</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L0–L3 pipelines, stateful scoring, probe, block</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Broadened adversarial red-teaming and FPR benchmarking</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Cross-role privilege escalation</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Scoped tokens and role-gated clinician/SOC endpoints</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Production OAuth2/OIDC, permission auditing, penetration testing</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Patient history data leakage</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DuckDB security store isolated from raw dialogue text</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Field-level encryption and retention lifecycles for application DB</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Volumetric request flooding</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In-memory payload size constraints and rate limiting</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Distributed rate limiting, ingress filtering, stress testing</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Inference backend dependency</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Deterministic fallback responses on LLM failure</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Clinical safety evaluation of fallbacks and crisis triage flows</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Capability hijack &amp; malicious script generation</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L2 domain boundary filter &amp; L1 intent lexicon, empathetic task refusal</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Multi-turn exploit synthesis auditing and dynamic execution sandboxing</w:t>
            </w:r>
          </w:p>
        </w:tc>
      </w:tr>
    </w:tbl>
    <w:p>
      <w:pPr>
        <w:spacing w:before="0" w:after="40"/>
      </w:pPr>
    </w:p>
    <w:p>
      <w:pPr>
        <w:spacing w:before="0" w:after="56" w:line="276" w:lineRule="auto"/>
        <w:ind w:firstLine="227"/>
        <w:jc w:val="both"/>
      </w:pPr>
      <w:r>
        <w:rPr>
          <w:rFonts w:ascii="Times New Roman" w:hAnsi="Times New Roman"/>
          <w:b w:val="0"/>
          <w:i w:val="0"/>
          <w:color w:val="0F172A"/>
          <w:sz w:val="20"/>
        </w:rPr>
        <w:t xml:space="preserve">Zero-plaintext claims are strictly restricted to </w:t>
      </w:r>
      <w:r>
        <w:rPr>
          <w:rFonts w:ascii="Times New Roman" w:hAnsi="Times New Roman"/>
          <w:b/>
          <w:i w:val="0"/>
          <w:color w:val="0F172A"/>
          <w:sz w:val="20"/>
        </w:rPr>
        <w:t>DuckDB security guardrail storage</w:t>
      </w:r>
      <w:r>
        <w:rPr>
          <w:rFonts w:ascii="Times New Roman" w:hAnsi="Times New Roman"/>
          <w:b w:val="0"/>
          <w:i w:val="0"/>
          <w:color w:val="0F172A"/>
          <w:sz w:val="20"/>
        </w:rPr>
        <w:t>. Application persistence stores (chat histories and clinical records) retain readable plaintext data. The 24-hour TTL policy applies specifically to guardrail state vectors upon scheduled purge routines, rather than automatically scrubbing patient medical records. Clinician SIP numbers are validated solely against syntactic length formatting rather than official governmental registries. Consequently, the prototype must not be represented as fully compliant with statutory data privacy mandates (UU PDP) or health record regulations; both legal frameworks impose obligations far exceeding local inference selection [4], [5].</w:t>
      </w:r>
    </w:p>
    <w:p>
      <w:pPr>
        <w:keepNext/>
        <w:spacing w:before="120" w:after="40"/>
        <w:jc w:val="left"/>
      </w:pPr>
      <w:r>
        <w:rPr>
          <w:rFonts w:ascii="Times New Roman" w:hAnsi="Times New Roman"/>
          <w:b/>
          <w:color w:val="0F172A"/>
          <w:sz w:val="20"/>
        </w:rPr>
        <w:t>5.2. Intellectual Property Potential</w:t>
      </w:r>
    </w:p>
    <w:p>
      <w:pPr>
        <w:spacing w:before="0" w:after="56" w:line="276" w:lineRule="auto"/>
        <w:ind w:firstLine="227"/>
        <w:jc w:val="both"/>
      </w:pPr>
      <w:r>
        <w:rPr>
          <w:rFonts w:ascii="Times New Roman" w:hAnsi="Times New Roman"/>
          <w:b w:val="0"/>
          <w:i w:val="0"/>
          <w:color w:val="0F172A"/>
          <w:sz w:val="20"/>
        </w:rPr>
        <w:t>The proprietary synthesis of cross-turn signal accumulation, layered pre-inference arbitration, and interactive cognitive canary probes represents viable candidates for intellectual property protection. Software copyright registrations and patent viability require formal examination alongside academic and institutional stakeholders via prior art searches, code authorship auditing, and novelty assessments. This proposal does not assert that patents have been granted or that legal novelty has been definitively established.</w:t>
      </w:r>
    </w:p>
    <w:p>
      <w:pPr>
        <w:keepNext/>
        <w:spacing w:before="120" w:after="40"/>
        <w:jc w:val="left"/>
      </w:pPr>
      <w:r>
        <w:rPr>
          <w:rFonts w:ascii="Times New Roman" w:hAnsi="Times New Roman"/>
          <w:b/>
          <w:color w:val="0F172A"/>
          <w:sz w:val="20"/>
        </w:rPr>
        <w:t>5.3. User Safety and Clinical Governance</w:t>
      </w:r>
    </w:p>
    <w:p>
      <w:pPr>
        <w:spacing w:before="0" w:after="56" w:line="276" w:lineRule="auto"/>
        <w:ind w:firstLine="227"/>
        <w:jc w:val="both"/>
      </w:pPr>
      <w:r>
        <w:rPr>
          <w:rFonts w:ascii="Times New Roman" w:hAnsi="Times New Roman"/>
          <w:b w:val="0"/>
          <w:i w:val="0"/>
          <w:color w:val="0F172A"/>
          <w:sz w:val="20"/>
        </w:rPr>
        <w:t>Conversational mental health platforms entail safety hazards extending well beyond traditional cybersecurity vectors. Inputs signifying acute crisis, patient misinterpretations of automated screening scores, and overconfident algorithmic responses require specialized clinical validation. Users must be explicitly notified that PsychoBot serves as a supportive first-line triage aid rather than a licensed medical professional. Prior to pilot deployments, project governance must establish clear human oversight protocols: designating clinical personnel responsible for reviewing risk telemetry, defining acute crisis escalation workflows, codifying incident documentation, and enabling patient data correction or deletion rights in accordance with applicable legal statutes.</w:t>
      </w:r>
    </w:p>
    <w:p>
      <w:pPr>
        <w:spacing w:before="0" w:after="56" w:line="276" w:lineRule="auto"/>
        <w:ind w:firstLine="227"/>
        <w:jc w:val="both"/>
      </w:pPr>
      <w:r>
        <w:rPr>
          <w:rFonts w:ascii="Times New Roman" w:hAnsi="Times New Roman"/>
          <w:b w:val="0"/>
          <w:i w:val="0"/>
          <w:color w:val="0F172A"/>
          <w:sz w:val="20"/>
        </w:rPr>
        <w:t>Follow-up security assessments must evaluate horizontal cross-patient data access, development token misuse, indirect prompt injection via external knowledge bases, and multi-worker rate limit circumvention. Each vulnerability must be cataloged with standardized severity ratings and remediation timelines. Furthermore, the PROBE mechanism requires empirical evaluation regarding false-alarm rates and user friction to guarantee that defensive controls do not alienate vulnerable patients during sensitive counseling dialogues.</w:t>
      </w:r>
    </w:p>
    <w:p>
      <w:pPr>
        <w:keepNext/>
        <w:spacing w:before="160" w:after="60"/>
        <w:jc w:val="left"/>
      </w:pPr>
      <w:r>
        <w:rPr>
          <w:rFonts w:ascii="Times New Roman" w:hAnsi="Times New Roman"/>
          <w:b/>
          <w:color w:val="0F172A"/>
          <w:sz w:val="21"/>
        </w:rPr>
        <w:t>CHAPTER 6: SCALABILITY &amp; DEPLOYMENT READINESS</w:t>
      </w:r>
    </w:p>
    <w:p>
      <w:pPr>
        <w:keepNext/>
        <w:spacing w:before="120" w:after="40"/>
        <w:jc w:val="left"/>
      </w:pPr>
      <w:r>
        <w:rPr>
          <w:rFonts w:ascii="Times New Roman" w:hAnsi="Times New Roman"/>
          <w:b/>
          <w:color w:val="0F172A"/>
          <w:sz w:val="20"/>
        </w:rPr>
        <w:t>6.1. Phased Deployment Pathway</w:t>
      </w:r>
    </w:p>
    <w:p>
      <w:pPr>
        <w:spacing w:before="0" w:after="56" w:line="276" w:lineRule="auto"/>
        <w:ind w:firstLine="227"/>
        <w:jc w:val="both"/>
      </w:pPr>
      <w:r>
        <w:rPr>
          <w:rFonts w:ascii="Times New Roman" w:hAnsi="Times New Roman"/>
          <w:b w:val="0"/>
          <w:i w:val="0"/>
          <w:color w:val="0F172A"/>
          <w:sz w:val="20"/>
        </w:rPr>
        <w:t>The current PoC is optimized for controlled single-node demonstrations utilizing embedded DuckDB storage and co-located local SLMs on capable edge hardware. Security state persistence relies on single-process connection locks, with rate limiting constrained to process memory. Consequently, high-concurrency throughput across thousands of simultaneous users cannot be claimed at this stage. Scaling roadmaps must begin with empirical load and capacity benchmarking before transitioning to shared persistence layers, distributed inference queues, unified observability, and model serving orchestration based on measured bottlenecks.</w:t>
      </w:r>
    </w:p>
    <w:p>
      <w:pPr>
        <w:keepNext/>
        <w:spacing w:before="120" w:after="40"/>
        <w:jc w:val="left"/>
      </w:pPr>
      <w:r>
        <w:rPr>
          <w:rFonts w:ascii="Times New Roman" w:hAnsi="Times New Roman"/>
          <w:b/>
          <w:color w:val="0F172A"/>
          <w:sz w:val="20"/>
        </w:rPr>
        <w:t>6.2. Validation and Adoption Plan</w:t>
      </w:r>
    </w:p>
    <w:p>
      <w:pPr>
        <w:keepNext/>
        <w:spacing w:before="100" w:after="40"/>
        <w:jc w:val="center"/>
      </w:pPr>
      <w:r>
        <w:rPr>
          <w:rFonts w:ascii="Times New Roman" w:hAnsi="Times New Roman"/>
          <w:b/>
          <w:i w:val="0"/>
          <w:color w:val="0F172A"/>
          <w:sz w:val="17"/>
        </w:rPr>
        <w:t>Table 8. Decision Gates Prior to Broader Deployment</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90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Phase</w:t>
            </w:r>
          </w:p>
        </w:tc>
        <w:tc>
          <w:tcPr>
            <w:tcW w:type="dxa" w:w="1928"/>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Required Empirical Deliverables</w:t>
            </w:r>
          </w:p>
        </w:tc>
        <w:tc>
          <w:tcPr>
            <w:tcW w:type="dxa" w:w="158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Downstream Progression Criteria</w:t>
            </w:r>
          </w:p>
        </w:tc>
      </w:tr>
      <w:tr>
        <w:trPr>
          <w:cantSplit/>
        </w:trPr>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1. PoC Reproduction</w:t>
            </w:r>
          </w:p>
        </w:tc>
        <w:tc>
          <w:tcPr>
            <w:tcW w:type="dxa" w:w="1928"/>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Automated tests pass within documented environments; live/mock clearly badged</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Demonstration workflows verified repeatable</w:t>
            </w:r>
          </w:p>
        </w:tc>
      </w:tr>
      <w:tr>
        <w:trPr>
          <w:cantSplit/>
        </w:trPr>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2. Security Evaluation</w:t>
            </w:r>
          </w:p>
        </w:tc>
        <w:tc>
          <w:tcPr>
            <w:tcW w:type="dxa" w:w="1928"/>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Labeled corpora of attacks and benign dialogues; empirical ASR/FPR; access audits</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Gating thresholds and inspection heuristics calibrated</w:t>
            </w:r>
          </w:p>
        </w:tc>
      </w:tr>
      <w:tr>
        <w:trPr>
          <w:cantSplit/>
        </w:trPr>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3. Clinical &amp; Privacy Audit</w:t>
            </w:r>
          </w:p>
        </w:tc>
        <w:tc>
          <w:tcPr>
            <w:tcW w:type="dxa" w:w="1928"/>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Formal clinical supervision protocols, crisis flows, encryption/retention lifecycles</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Institutional review approval for constrained pilot</w:t>
            </w:r>
          </w:p>
        </w:tc>
      </w:tr>
      <w:tr>
        <w:trPr>
          <w:cantSplit/>
        </w:trPr>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4. Integration &amp; Scale</w:t>
            </w:r>
          </w:p>
        </w:tc>
        <w:tc>
          <w:tcPr>
            <w:tcW w:type="dxa" w:w="1928"/>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Concurrency load testing, hardware sizing, SATUSEHAT FHIR sandbox integration [7]</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Final production architecture determination</w:t>
            </w:r>
          </w:p>
        </w:tc>
      </w:tr>
    </w:tbl>
    <w:p>
      <w:pPr>
        <w:spacing w:before="0" w:after="40"/>
      </w:pPr>
    </w:p>
    <w:p>
      <w:pPr>
        <w:spacing w:before="0" w:after="56" w:line="276" w:lineRule="auto"/>
        <w:ind w:firstLine="227"/>
        <w:jc w:val="both"/>
      </w:pPr>
      <w:r>
        <w:rPr>
          <w:rFonts w:ascii="Times New Roman" w:hAnsi="Times New Roman"/>
          <w:b w:val="0"/>
          <w:i w:val="0"/>
          <w:color w:val="0F172A"/>
          <w:sz w:val="20"/>
        </w:rPr>
        <w:t>Prospective integration with high-throughput inference engines (vLLM, SGLang), national health data exchanges (SATUSEHAT), and multi-facility clinical networks represents strategic engineering directions rather than active PoC capabilities. Commercial models and infrastructure costs can only be calculated accurately once hardware expenditures, operational overhead, and clinical staffing requirements are empirically quantified. SIAGA's competitive readiness is evidenced by a functionally demonstrable, transparently audited prototype; clinical certification and enterprise scale constitute subsequent developmental phases.</w:t>
      </w:r>
    </w:p>
    <w:p>
      <w:pPr>
        <w:keepNext/>
        <w:spacing w:before="120" w:after="40"/>
        <w:jc w:val="left"/>
      </w:pPr>
      <w:r>
        <w:rPr>
          <w:rFonts w:ascii="Times New Roman" w:hAnsi="Times New Roman"/>
          <w:b/>
          <w:color w:val="0F172A"/>
          <w:sz w:val="20"/>
        </w:rPr>
        <w:t>6.3. Scalability Prerequisites and Implementation Value</w:t>
      </w:r>
    </w:p>
    <w:p>
      <w:pPr>
        <w:spacing w:before="0" w:after="56" w:line="276" w:lineRule="auto"/>
        <w:ind w:firstLine="227"/>
        <w:jc w:val="both"/>
      </w:pPr>
      <w:r>
        <w:rPr>
          <w:rFonts w:ascii="Times New Roman" w:hAnsi="Times New Roman"/>
          <w:b w:val="0"/>
          <w:i w:val="0"/>
          <w:color w:val="0F172A"/>
          <w:sz w:val="20"/>
        </w:rPr>
        <w:t>A disciplined, phased deployment strategy is far more defensible than unverified claims of enterprise scale. First, benchmark CPU/RAM utilization for guardrail inspection alongside GPU/VRAM requirements for local SLMs across representative concurrent sessions. Second, record end-to-end latency distributions spanning message transmission, time-to-first-token, and complete response streaming under varying concurrency loads. Third, execute failure recovery tests validating state resilience during model crashes, API worker restarts, or database disconnects. These empirical findings dictate whether the architecture requires dedicated inference workers, horizontal API scaling, or shared distributed caching.</w:t>
      </w:r>
    </w:p>
    <w:p>
      <w:pPr>
        <w:spacing w:before="0" w:after="56" w:line="276" w:lineRule="auto"/>
        <w:ind w:firstLine="227"/>
        <w:jc w:val="both"/>
      </w:pPr>
      <w:r>
        <w:rPr>
          <w:rFonts w:ascii="Times New Roman" w:hAnsi="Times New Roman"/>
          <w:b w:val="0"/>
          <w:i w:val="0"/>
          <w:color w:val="0F172A"/>
          <w:sz w:val="20"/>
        </w:rPr>
        <w:t>The principal value proposition for healthcare institutions lies in sovereign control over data pipelines and the capability to audit decision vectors before sensitive prompts reach generative models. Realizing this value requires operational discipline, professional clinical partnerships, and dedicated infrastructure maintenance. Consequently, our commercialization roadmap avoids speculative pricing models or unverified capacity projections; structured pilot deployments will establish the empirical foundation for service pricing, institutional support, and interoperability priorities.</w:t>
      </w:r>
    </w:p>
    <w:p>
      <w:pPr>
        <w:keepNext/>
        <w:spacing w:before="120" w:after="40"/>
        <w:jc w:val="left"/>
      </w:pPr>
      <w:r>
        <w:rPr>
          <w:rFonts w:ascii="Times New Roman" w:hAnsi="Times New Roman"/>
          <w:b/>
          <w:color w:val="0F172A"/>
          <w:sz w:val="20"/>
        </w:rPr>
        <w:t>References</w:t>
      </w:r>
    </w:p>
    <w:p>
      <w:pPr>
        <w:spacing w:before="0" w:after="40" w:line="252" w:lineRule="auto"/>
        <w:ind w:left="283" w:hanging="283"/>
        <w:jc w:val="both"/>
      </w:pPr>
      <w:r>
        <w:rPr>
          <w:rFonts w:ascii="Times New Roman" w:hAnsi="Times New Roman"/>
          <w:b w:val="0"/>
          <w:i w:val="0"/>
          <w:color w:val="0F172A"/>
          <w:sz w:val="17"/>
        </w:rPr>
        <w:t xml:space="preserve">[1] World Health Organization, </w:t>
      </w:r>
      <w:r>
        <w:rPr>
          <w:rFonts w:ascii="Times New Roman" w:hAnsi="Times New Roman"/>
          <w:b w:val="0"/>
          <w:i/>
          <w:color w:val="0F172A"/>
          <w:sz w:val="17"/>
        </w:rPr>
        <w:t>Mental Health Atlas 2024</w:t>
      </w:r>
      <w:r>
        <w:rPr>
          <w:rFonts w:ascii="Times New Roman" w:hAnsi="Times New Roman"/>
          <w:b w:val="0"/>
          <w:i w:val="0"/>
          <w:color w:val="0F172A"/>
          <w:sz w:val="17"/>
        </w:rPr>
        <w:t>, 2025. https://www.who.int/teams/mental-health-and-substance-use/data-research/mental-health-atlas</w:t>
      </w:r>
    </w:p>
    <w:p>
      <w:pPr>
        <w:spacing w:before="0" w:after="40" w:line="252" w:lineRule="auto"/>
        <w:ind w:left="283" w:hanging="283"/>
        <w:jc w:val="both"/>
      </w:pPr>
      <w:r>
        <w:rPr>
          <w:rFonts w:ascii="Times New Roman" w:hAnsi="Times New Roman"/>
          <w:b w:val="0"/>
          <w:i w:val="0"/>
          <w:color w:val="0F172A"/>
          <w:sz w:val="17"/>
        </w:rPr>
        <w:t xml:space="preserve">[2] M. Russinovich, A. Salem, and R. Eldan, “Great, Now Write an Article About That: The Crescendo Multi-Turn LLM Jailbreak Attack,” </w:t>
      </w:r>
      <w:r>
        <w:rPr>
          <w:rFonts w:ascii="Times New Roman" w:hAnsi="Times New Roman"/>
          <w:b w:val="0"/>
          <w:i/>
          <w:color w:val="0F172A"/>
          <w:sz w:val="17"/>
        </w:rPr>
        <w:t>Proc. 34th USENIX Security Symposium</w:t>
      </w:r>
      <w:r>
        <w:rPr>
          <w:rFonts w:ascii="Times New Roman" w:hAnsi="Times New Roman"/>
          <w:b w:val="0"/>
          <w:i w:val="0"/>
          <w:color w:val="0F172A"/>
          <w:sz w:val="17"/>
        </w:rPr>
        <w:t>, pp. 2421–2440, 2025. https://www.usenix.org/conference/usenixsecurity25/presentation/russinovich</w:t>
      </w:r>
    </w:p>
    <w:p>
      <w:pPr>
        <w:spacing w:before="0" w:after="40" w:line="252" w:lineRule="auto"/>
        <w:ind w:left="283" w:hanging="283"/>
        <w:jc w:val="both"/>
      </w:pPr>
      <w:r>
        <w:rPr>
          <w:rFonts w:ascii="Times New Roman" w:hAnsi="Times New Roman"/>
          <w:b w:val="0"/>
          <w:i w:val="0"/>
          <w:color w:val="0F172A"/>
          <w:sz w:val="17"/>
        </w:rPr>
        <w:t>[3] World Health Organization, “Depression: screening tools and diagnosis,” WHO TB Knowledge Sharing. https://tbksp.who.int/pt-br/node/2650</w:t>
      </w:r>
    </w:p>
    <w:p>
      <w:pPr>
        <w:spacing w:before="0" w:after="40" w:line="252" w:lineRule="auto"/>
        <w:ind w:left="283" w:hanging="283"/>
        <w:jc w:val="both"/>
      </w:pPr>
      <w:r>
        <w:rPr>
          <w:rFonts w:ascii="Times New Roman" w:hAnsi="Times New Roman"/>
          <w:b w:val="0"/>
          <w:i w:val="0"/>
          <w:color w:val="0F172A"/>
          <w:sz w:val="17"/>
        </w:rPr>
        <w:t>[4] Republic of Indonesia, Law Number 27 of 2022 concerning Personal Data Protection (UU PDP). https://peraturan.bpk.go.id/Details/229798/uu-no-27-</w:t>
      </w:r>
    </w:p>
    <w:p>
      <w:pPr>
        <w:spacing w:before="0" w:after="40" w:line="252" w:lineRule="auto"/>
        <w:ind w:left="283" w:hanging="283"/>
        <w:jc w:val="both"/>
      </w:pPr>
      <w:r>
        <w:rPr>
          <w:rFonts w:ascii="Times New Roman" w:hAnsi="Times New Roman"/>
          <w:b w:val="0"/>
          <w:i w:val="0"/>
          <w:color w:val="0F172A"/>
          <w:sz w:val="17"/>
        </w:rPr>
        <w:t>[5] Ministry of Health of the Republic of Indonesia, Regulation of the Minister of Health Number 24 of 2022 concerning Electronic Medical Records. https://peraturan.bpk.go.id/Details/245544/p</w:t>
      </w:r>
    </w:p>
    <w:p>
      <w:pPr>
        <w:spacing w:before="0" w:after="40" w:line="252" w:lineRule="auto"/>
        <w:ind w:left="283" w:hanging="283"/>
        <w:jc w:val="both"/>
      </w:pPr>
      <w:r>
        <w:rPr>
          <w:rFonts w:ascii="Times New Roman" w:hAnsi="Times New Roman"/>
          <w:b w:val="0"/>
          <w:i w:val="0"/>
          <w:color w:val="0F172A"/>
          <w:sz w:val="17"/>
        </w:rPr>
        <w:t xml:space="preserve">[6] OWASP, </w:t>
      </w:r>
      <w:r>
        <w:rPr>
          <w:rFonts w:ascii="Times New Roman" w:hAnsi="Times New Roman"/>
          <w:b w:val="0"/>
          <w:i/>
          <w:color w:val="0F172A"/>
          <w:sz w:val="17"/>
        </w:rPr>
        <w:t>Top 10 for Large Language Model Applications 2025</w:t>
      </w:r>
      <w:r>
        <w:rPr>
          <w:rFonts w:ascii="Times New Roman" w:hAnsi="Times New Roman"/>
          <w:b w:val="0"/>
          <w:i w:val="0"/>
          <w:color w:val="0F172A"/>
          <w:sz w:val="17"/>
        </w:rPr>
        <w:t>. https://genai.owasp.org/llm-top-10/</w:t>
      </w:r>
    </w:p>
    <w:p>
      <w:pPr>
        <w:spacing w:before="0" w:after="40" w:line="252" w:lineRule="auto"/>
        <w:ind w:left="283" w:hanging="283"/>
        <w:jc w:val="both"/>
      </w:pPr>
      <w:r>
        <w:rPr>
          <w:rFonts w:ascii="Times New Roman" w:hAnsi="Times New Roman"/>
          <w:b w:val="0"/>
          <w:i w:val="0"/>
          <w:color w:val="0F172A"/>
          <w:sz w:val="17"/>
        </w:rPr>
        <w:t>[7] Ministry of Health of the Republic of Indonesia, “SATUSEHAT Platform: Observation Resource Specification.” https://satusehat.kemkes.go.id/platform/docs/id/fhir/resources/observation/</w:t>
      </w:r>
    </w:p>
    <w:p>
      <w:pPr>
        <w:spacing w:before="0" w:after="40" w:line="252" w:lineRule="auto"/>
        <w:ind w:left="283" w:hanging="283"/>
        <w:jc w:val="both"/>
      </w:pPr>
      <w:r>
        <w:rPr>
          <w:rFonts w:ascii="Times New Roman" w:hAnsi="Times New Roman"/>
          <w:b w:val="0"/>
          <w:i w:val="0"/>
          <w:color w:val="0F172A"/>
          <w:sz w:val="17"/>
        </w:rPr>
        <w:t>[8] Microsoft Security, “How Microsoft discovers and mitigates evolving attacks against AI guardrails,” 2024. https://www.microsoft.com/en-us/security/blog/2024/04/11/how-microsoft-discovers-and-mitigates-evolving-attacks-against-ai-guardrails/</w:t>
      </w:r>
    </w:p>
    <w:p>
      <w:pPr>
        <w:spacing w:before="0" w:after="40" w:line="252" w:lineRule="auto"/>
        <w:ind w:left="283" w:hanging="283"/>
        <w:jc w:val="both"/>
      </w:pPr>
      <w:r>
        <w:rPr>
          <w:rFonts w:ascii="Times New Roman" w:hAnsi="Times New Roman"/>
          <w:b w:val="0"/>
          <w:i w:val="0"/>
          <w:color w:val="0F172A"/>
          <w:sz w:val="17"/>
        </w:rPr>
        <w:t xml:space="preserve">[9] SIAGA Engineering Team, Prototype Code Repository, </w:t>
      </w:r>
      <w:r>
        <w:rPr>
          <w:rFonts w:ascii="Consolas" w:hAnsi="Consolas"/>
          <w:b w:val="0"/>
          <w:color w:val="0F172A"/>
          <w:sz w:val="15"/>
        </w:rPr>
        <w:t>backend/app/</w:t>
      </w:r>
      <w:r>
        <w:rPr>
          <w:rFonts w:ascii="Times New Roman" w:hAnsi="Times New Roman"/>
          <w:b w:val="0"/>
          <w:i w:val="0"/>
          <w:color w:val="0F172A"/>
          <w:sz w:val="17"/>
        </w:rPr>
        <w:t xml:space="preserve">, </w:t>
      </w:r>
      <w:r>
        <w:rPr>
          <w:rFonts w:ascii="Consolas" w:hAnsi="Consolas"/>
          <w:b w:val="0"/>
          <w:color w:val="0F172A"/>
          <w:sz w:val="15"/>
        </w:rPr>
        <w:t>backend/tests/</w:t>
      </w:r>
      <w:r>
        <w:rPr>
          <w:rFonts w:ascii="Times New Roman" w:hAnsi="Times New Roman"/>
          <w:b w:val="0"/>
          <w:i w:val="0"/>
          <w:color w:val="0F172A"/>
          <w:sz w:val="17"/>
        </w:rPr>
        <w:t xml:space="preserve">, and </w:t>
      </w:r>
      <w:r>
        <w:rPr>
          <w:rFonts w:ascii="Consolas" w:hAnsi="Consolas"/>
          <w:b w:val="0"/>
          <w:color w:val="0F172A"/>
          <w:sz w:val="15"/>
        </w:rPr>
        <w:t>frontend/src/</w:t>
      </w:r>
      <w:r>
        <w:rPr>
          <w:rFonts w:ascii="Times New Roman" w:hAnsi="Times New Roman"/>
          <w:b w:val="0"/>
          <w:i w:val="0"/>
          <w:color w:val="0F172A"/>
          <w:sz w:val="17"/>
        </w:rPr>
        <w:t>. https://github.com/Adikafazaa/SIAGA</w:t>
      </w:r>
    </w:p>
    <w:p>
      <w:pPr>
        <w:spacing w:before="0" w:after="40" w:line="252" w:lineRule="auto"/>
        <w:ind w:left="283" w:hanging="283"/>
        <w:jc w:val="both"/>
      </w:pPr>
      <w:r>
        <w:rPr>
          <w:rFonts w:ascii="Times New Roman" w:hAnsi="Times New Roman"/>
          <w:b w:val="0"/>
          <w:i w:val="0"/>
          <w:color w:val="0F172A"/>
          <w:sz w:val="17"/>
        </w:rPr>
        <w:t xml:space="preserve">[10] K. Kroenke, R. L. Spitzer, and J. B. W. Williams, “The PHQ-9: Validity of a Brief Depression Severity Measure,” </w:t>
      </w:r>
      <w:r>
        <w:rPr>
          <w:rFonts w:ascii="Times New Roman" w:hAnsi="Times New Roman"/>
          <w:b w:val="0"/>
          <w:i/>
          <w:color w:val="0F172A"/>
          <w:sz w:val="17"/>
        </w:rPr>
        <w:t>Journal of General Internal Medicine</w:t>
      </w:r>
      <w:r>
        <w:rPr>
          <w:rFonts w:ascii="Times New Roman" w:hAnsi="Times New Roman"/>
          <w:b w:val="0"/>
          <w:i w:val="0"/>
          <w:color w:val="0F172A"/>
          <w:sz w:val="17"/>
        </w:rPr>
        <w:t>, vol. 16, no. 9, pp. 606–613, 2001. https://pmc.ncbi.nlm.nih.gov/articles/PMC1495268/</w:t>
      </w:r>
    </w:p>
    <w:p>
      <w:pPr>
        <w:spacing w:before="0" w:after="40" w:line="252" w:lineRule="auto"/>
        <w:ind w:left="283" w:hanging="283"/>
        <w:jc w:val="both"/>
      </w:pPr>
      <w:r>
        <w:rPr>
          <w:rFonts w:ascii="Times New Roman" w:hAnsi="Times New Roman"/>
          <w:b w:val="0"/>
          <w:i w:val="0"/>
          <w:color w:val="0F172A"/>
          <w:sz w:val="17"/>
        </w:rPr>
        <w:t xml:space="preserve">[11] R. L. Spitzer, K. Kroenke, J. B. W. Williams, and B. Löwe, “A Brief Measure for Assessing Generalized Anxiety Disorder: The GAD-7,” </w:t>
      </w:r>
      <w:r>
        <w:rPr>
          <w:rFonts w:ascii="Times New Roman" w:hAnsi="Times New Roman"/>
          <w:b w:val="0"/>
          <w:i/>
          <w:color w:val="0F172A"/>
          <w:sz w:val="17"/>
        </w:rPr>
        <w:t>Archives of Internal Medicine</w:t>
      </w:r>
      <w:r>
        <w:rPr>
          <w:rFonts w:ascii="Times New Roman" w:hAnsi="Times New Roman"/>
          <w:b w:val="0"/>
          <w:i w:val="0"/>
          <w:color w:val="0F172A"/>
          <w:sz w:val="17"/>
        </w:rPr>
        <w:t>, vol. 166, no. 10, pp. 1092–1097, 2006. https://pubmed.ncbi.nlm.nih.gov/16717171/</w:t>
      </w:r>
    </w:p>
    <w:p>
      <w:pPr>
        <w:spacing w:before="0" w:after="40" w:line="252" w:lineRule="auto"/>
        <w:ind w:left="283" w:hanging="283"/>
        <w:jc w:val="both"/>
      </w:pPr>
      <w:r>
        <w:rPr>
          <w:rFonts w:ascii="Times New Roman" w:hAnsi="Times New Roman"/>
          <w:b w:val="0"/>
          <w:i w:val="0"/>
          <w:color w:val="0F172A"/>
          <w:sz w:val="17"/>
        </w:rPr>
        <w:t xml:space="preserve">[12] K. K. Fitzpatrick, A. Darcy, and M. Vierhile, “Delivering Cognitive Behavior Therapy to Young Adults With Symptoms of Depression and Anxiety Using a Fully Automated Conversational Agent (Woebot): A Randomized Controlled Trial,” </w:t>
      </w:r>
      <w:r>
        <w:rPr>
          <w:rFonts w:ascii="Times New Roman" w:hAnsi="Times New Roman"/>
          <w:b w:val="0"/>
          <w:i/>
          <w:color w:val="0F172A"/>
          <w:sz w:val="17"/>
        </w:rPr>
        <w:t>JMIR Mental Health</w:t>
      </w:r>
      <w:r>
        <w:rPr>
          <w:rFonts w:ascii="Times New Roman" w:hAnsi="Times New Roman"/>
          <w:b w:val="0"/>
          <w:i w:val="0"/>
          <w:color w:val="0F172A"/>
          <w:sz w:val="17"/>
        </w:rPr>
        <w:t>, vol. 4, no. 2, e19, 2017. https://mental.jmir.org/2017/2/e19/</w:t>
      </w:r>
    </w:p>
    <w:p>
      <w:pPr>
        <w:spacing w:before="0" w:after="40" w:line="252" w:lineRule="auto"/>
        <w:ind w:left="283" w:hanging="283"/>
        <w:jc w:val="both"/>
      </w:pPr>
      <w:r>
        <w:rPr>
          <w:rFonts w:ascii="Times New Roman" w:hAnsi="Times New Roman"/>
          <w:b w:val="0"/>
          <w:i w:val="0"/>
          <w:color w:val="0F172A"/>
          <w:sz w:val="17"/>
        </w:rPr>
        <w:t>[13] Qwen Team, “Qwen3 Technical Report,” arXiv:2505.09388, 2025. https://arxiv.org/abs/2505.09388</w:t>
      </w:r>
    </w:p>
    <w:p>
      <w:pPr>
        <w:spacing w:before="0" w:after="40" w:line="252" w:lineRule="auto"/>
        <w:ind w:left="283" w:hanging="283"/>
        <w:jc w:val="both"/>
      </w:pPr>
      <w:r>
        <w:rPr>
          <w:rFonts w:ascii="Times New Roman" w:hAnsi="Times New Roman"/>
          <w:b w:val="0"/>
          <w:i w:val="0"/>
          <w:color w:val="0F172A"/>
          <w:sz w:val="17"/>
        </w:rPr>
        <w:t xml:space="preserve">[14] SIAGA Engineering Team, Local Measurement Archive, </w:t>
      </w:r>
      <w:r>
        <w:rPr>
          <w:rFonts w:ascii="Consolas" w:hAnsi="Consolas"/>
          <w:b w:val="0"/>
          <w:color w:val="0F172A"/>
          <w:sz w:val="15"/>
        </w:rPr>
        <w:t>scratch/benchmark_synthetic_suite.py</w:t>
      </w:r>
      <w:r>
        <w:rPr>
          <w:rFonts w:ascii="Times New Roman" w:hAnsi="Times New Roman"/>
          <w:b w:val="0"/>
          <w:i w:val="0"/>
          <w:color w:val="0F172A"/>
          <w:sz w:val="17"/>
        </w:rPr>
        <w:t xml:space="preserve">, </w:t>
      </w:r>
      <w:r>
        <w:rPr>
          <w:rFonts w:ascii="Consolas" w:hAnsi="Consolas"/>
          <w:b w:val="0"/>
          <w:color w:val="0F172A"/>
          <w:sz w:val="15"/>
        </w:rPr>
        <w:t>scratch/benchmark_synthetic_report_data.json</w:t>
      </w:r>
      <w:r>
        <w:rPr>
          <w:rFonts w:ascii="Times New Roman" w:hAnsi="Times New Roman"/>
          <w:b w:val="0"/>
          <w:i w:val="0"/>
          <w:color w:val="0F172A"/>
          <w:sz w:val="17"/>
        </w:rPr>
        <w:t xml:space="preserve">, and </w:t>
      </w:r>
      <w:r>
        <w:rPr>
          <w:rFonts w:ascii="Consolas" w:hAnsi="Consolas"/>
          <w:b w:val="0"/>
          <w:color w:val="0F172A"/>
          <w:sz w:val="15"/>
        </w:rPr>
        <w:t>Knowledge/Docs/report/LAPORAN_BENCHMARK_KOMPARATIF_MODEL_SLM_QWEN_SERIES.md</w:t>
      </w:r>
      <w:r>
        <w:rPr>
          <w:rFonts w:ascii="Times New Roman" w:hAnsi="Times New Roman"/>
          <w:b w:val="0"/>
          <w:i w:val="0"/>
          <w:color w:val="0F172A"/>
          <w:sz w:val="17"/>
        </w:rPr>
        <w:t>, 2 October 2026. Repository: https://github.com/Adikafazaa/SIAGA</w:t>
      </w:r>
    </w:p>
    <w:sectPr w:rsidR="00FC693F" w:rsidRPr="0006063C" w:rsidSect="00034616">
      <w:pgSz w:w="11906" w:h="16838"/>
      <w:pgMar w:top="1134" w:right="1134" w:bottom="1134" w:left="1134" w:header="680" w:footer="680" w:gutter="0"/>
      <w:cols w:space="720"/>
      <w:titlePg/>
      <w:docGrid w:linePitch="360"/>
      <w:cols w:num="2" w:space="39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475569"/>
        <w:sz w:val="17"/>
      </w:rPr>
      <w:t>SIAGA: Progressive AI Dialogue Guardrails for Digital Mental Health | HackNusa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