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360"/>
        <w:jc w:val="center"/>
      </w:pPr>
      <w:r>
        <w:rPr>
          <w:rFonts w:ascii="Times New Roman" w:hAnsi="Times New Roman"/>
          <w:b/>
          <w:sz w:val="22"/>
        </w:rPr>
        <w:t>PROPOSAL INOVASI TEKNOLOGI HACKATHON NASIONAL HACKNUSA 2026</w:t>
        <w:br/>
        <w:t>TOP 30 FINALIST STAGE</w:t>
      </w:r>
    </w:p>
    <w:p>
      <w:pPr>
        <w:spacing w:before="400" w:after="280"/>
        <w:jc w:val="center"/>
      </w:pPr>
      <w:r>
        <w:rPr>
          <w:rFonts w:ascii="Times New Roman" w:hAnsi="Times New Roman"/>
          <w:b/>
          <w:sz w:val="36"/>
        </w:rPr>
        <w:t>PROPOSAL INOVASI SIAGA</w:t>
      </w:r>
    </w:p>
    <w:p>
      <w:pPr>
        <w:spacing w:after="480"/>
        <w:jc w:val="center"/>
      </w:pPr>
      <w:r>
        <w:rPr>
          <w:rFonts w:ascii="Times New Roman" w:hAnsi="Times New Roman"/>
          <w:i/>
          <w:sz w:val="23"/>
        </w:rPr>
        <w:t>Pertahanan Percakapan AI Bertahap untuk Layanan Kesehatan Mental</w:t>
      </w:r>
    </w:p>
    <w:p>
      <w:pPr>
        <w:spacing w:after="480"/>
        <w:jc w:val="center"/>
      </w:pPr>
      <w:r>
        <w:rPr>
          <w:rFonts w:ascii="Times New Roman" w:hAnsi="Times New Roman"/>
          <w:color w:val="475569"/>
          <w:sz w:val="20"/>
        </w:rPr>
        <w:t>────────────────────────────────────────────────────────────</w:t>
      </w:r>
    </w:p>
    <w:p>
      <w:pPr>
        <w:spacing w:after="600"/>
        <w:jc w:val="center"/>
      </w:pPr>
      <w:r>
        <w:rPr>
          <w:rFonts w:ascii="Times New Roman" w:hAnsi="Times New Roman"/>
          <w:color w:val="475569"/>
          <w:sz w:val="20"/>
        </w:rPr>
        <w:t>Kategori / Trek Kompetisi:</w:t>
        <w:br/>
      </w:r>
      <w:r>
        <w:rPr>
          <w:rFonts w:ascii="Times New Roman" w:hAnsi="Times New Roman"/>
          <w:b/>
          <w:sz w:val="22"/>
        </w:rPr>
        <w:t>HackNusa 2026 · Trek AI vs AI Defense</w:t>
      </w:r>
    </w:p>
    <w:p>
      <w:pPr>
        <w:spacing w:after="400"/>
        <w:jc w:val="center"/>
      </w:pPr>
      <w:r>
        <w:rPr>
          <w:rFonts w:ascii="Times New Roman" w:hAnsi="Times New Roman"/>
          <w:color w:val="475569"/>
          <w:sz w:val="20"/>
        </w:rPr>
        <w:t>Diusulkan Oleh:</w:t>
        <w:br/>
      </w:r>
      <w:r>
        <w:rPr>
          <w:rFonts w:ascii="Times New Roman" w:hAnsi="Times New Roman"/>
          <w:b/>
          <w:sz w:val="21"/>
        </w:rPr>
        <w:t>Tim SIAGA · Institut Teknologi Nasional Bandung</w:t>
      </w:r>
    </w:p>
    <w:p>
      <w:pPr>
        <w:spacing w:after="720"/>
        <w:jc w:val="center"/>
      </w:pPr>
      <w:r>
        <w:rPr>
          <w:rFonts w:ascii="Times New Roman" w:hAnsi="Times New Roman"/>
          <w:color w:val="475569"/>
          <w:sz w:val="19"/>
        </w:rPr>
        <w:t>Repositori Kode Terbuka (Open Reproducibility):</w:t>
        <w:br/>
      </w:r>
      <w:r>
        <w:rPr>
          <w:rFonts w:ascii="Times New Roman" w:hAnsi="Times New Roman"/>
          <w:sz w:val="19"/>
        </w:rPr>
        <w:t>https://github.com/Adikafazaa/SIAGA</w:t>
      </w:r>
    </w:p>
    <w:p>
      <w:pPr>
        <w:spacing w:before="720"/>
        <w:jc w:val="center"/>
      </w:pPr>
      <w:r>
        <w:rPr>
          <w:rFonts w:ascii="Times New Roman" w:hAnsi="Times New Roman"/>
          <w:b/>
          <w:sz w:val="21"/>
        </w:rPr>
        <w:t>BANDUNG · OKTOBER 2026</w:t>
      </w:r>
    </w:p>
    <w:p>
      <w:pPr>
        <w:sectPr>
          <w:headerReference w:type="default" r:id="rId9"/>
          <w:footerReference w:type="default" r:id="rId10"/>
          <w:pgSz w:w="11906" w:h="16838"/>
          <w:pgMar w:top="1417" w:right="1417" w:bottom="1417" w:left="1417" w:header="720" w:footer="720" w:gutter="0"/>
          <w:cols w:space="720"/>
          <w:titlePg/>
          <w:docGrid w:linePitch="360"/>
        </w:sectPr>
      </w:pPr>
    </w:p>
    <w:p>
      <w:pPr>
        <w:keepNext/>
        <w:spacing w:before="160" w:after="60"/>
        <w:jc w:val="left"/>
      </w:pPr>
      <w:r>
        <w:rPr>
          <w:rFonts w:ascii="Times New Roman" w:hAnsi="Times New Roman"/>
          <w:b/>
          <w:color w:val="0F172A"/>
          <w:sz w:val="21"/>
        </w:rPr>
        <w:t>CHAPTER 1: INTRODUCTION &amp; BACKGROUND</w:t>
      </w:r>
    </w:p>
    <w:p>
      <w:pPr>
        <w:keepNext/>
        <w:spacing w:before="120" w:after="40"/>
        <w:jc w:val="left"/>
      </w:pPr>
      <w:r>
        <w:rPr>
          <w:rFonts w:ascii="Times New Roman" w:hAnsi="Times New Roman"/>
          <w:b/>
          <w:color w:val="0F172A"/>
          <w:sz w:val="20"/>
        </w:rPr>
        <w:t>1.1. Masalah yang Disasar</w:t>
      </w:r>
    </w:p>
    <w:p>
      <w:pPr>
        <w:spacing w:before="0" w:after="92" w:line="307" w:lineRule="auto"/>
        <w:ind w:firstLine="227"/>
        <w:jc w:val="both"/>
      </w:pPr>
      <w:r>
        <w:rPr>
          <w:rFonts w:ascii="Times New Roman" w:hAnsi="Times New Roman"/>
          <w:b w:val="0"/>
          <w:i w:val="0"/>
          <w:color w:val="0F172A"/>
          <w:sz w:val="20"/>
        </w:rPr>
        <w:t xml:space="preserve">Layanan kesehatan mental membutuhkan akses awal yang mudah, tetapi percakapan tentang gejala, pengalaman pribadi, dan riwayat perawatan juga menghasilkan data yang sangat sensitif. Organisasi Kesehatan Dunia (WHO) masih mencatat kesenjangan kapasitas layanan [1]. Studi validasi Kroenke dkk. pada </w:t>
      </w:r>
      <w:r>
        <w:rPr>
          <w:rFonts w:ascii="Times New Roman" w:hAnsi="Times New Roman"/>
          <w:b w:val="0"/>
          <w:i/>
          <w:color w:val="0F172A"/>
          <w:sz w:val="20"/>
        </w:rPr>
        <w:t>Journal of General Internal Medicine</w:t>
      </w:r>
      <w:r>
        <w:rPr>
          <w:rFonts w:ascii="Times New Roman" w:hAnsi="Times New Roman"/>
          <w:b w:val="0"/>
          <w:i w:val="0"/>
          <w:color w:val="0F172A"/>
          <w:sz w:val="20"/>
        </w:rPr>
        <w:t xml:space="preserve"> mendukung PHQ-9 sebagai ukuran ringkas derajat gejala depresi [10]; Spitzer dkk. pada </w:t>
      </w:r>
      <w:r>
        <w:rPr>
          <w:rFonts w:ascii="Times New Roman" w:hAnsi="Times New Roman"/>
          <w:b w:val="0"/>
          <w:i/>
          <w:color w:val="0F172A"/>
          <w:sz w:val="20"/>
        </w:rPr>
        <w:t>Archives of Internal Medicine</w:t>
      </w:r>
      <w:r>
        <w:rPr>
          <w:rFonts w:ascii="Times New Roman" w:hAnsi="Times New Roman"/>
          <w:b w:val="0"/>
          <w:i w:val="0"/>
          <w:color w:val="0F172A"/>
          <w:sz w:val="20"/>
        </w:rPr>
        <w:t xml:space="preserve"> mendukung GAD-7 untuk skrining kecemasan [11]. Kedua instrumen memberi indikasi gejala, bukan keputusan diagnosis otomatis [3].</w:t>
      </w:r>
    </w:p>
    <w:p>
      <w:pPr>
        <w:spacing w:before="0" w:after="92" w:line="307" w:lineRule="auto"/>
        <w:ind w:firstLine="227"/>
        <w:jc w:val="both"/>
      </w:pPr>
      <w:r>
        <w:rPr>
          <w:rFonts w:ascii="Times New Roman" w:hAnsi="Times New Roman"/>
          <w:b w:val="0"/>
          <w:i w:val="0"/>
          <w:color w:val="0F172A"/>
          <w:sz w:val="20"/>
        </w:rPr>
        <w:t xml:space="preserve">Ketika asisten memakai model bahasa, isi percakapan dapat terekspos melalui penyimpanan, hak akses, atau layanan eksternal. Penyerang juga dapat mengarahkan model secara bertahap: pertanyaan awal tampak wajar, lalu tujuan berbahaya muncul setelah beberapa giliran. Russinovich dkk. mendemonstrasikan pola </w:t>
      </w:r>
      <w:r>
        <w:rPr>
          <w:rFonts w:ascii="Times New Roman" w:hAnsi="Times New Roman"/>
          <w:b w:val="0"/>
          <w:i/>
          <w:color w:val="0F172A"/>
          <w:sz w:val="20"/>
        </w:rPr>
        <w:t>Crescendo</w:t>
      </w:r>
      <w:r>
        <w:rPr>
          <w:rFonts w:ascii="Times New Roman" w:hAnsi="Times New Roman"/>
          <w:b w:val="0"/>
          <w:i w:val="0"/>
          <w:color w:val="0F172A"/>
          <w:sz w:val="20"/>
        </w:rPr>
        <w:t xml:space="preserve"> dalam prosiding </w:t>
      </w:r>
      <w:r>
        <w:rPr>
          <w:rFonts w:ascii="Times New Roman" w:hAnsi="Times New Roman"/>
          <w:b w:val="0"/>
          <w:i/>
          <w:color w:val="0F172A"/>
          <w:sz w:val="20"/>
        </w:rPr>
        <w:t>USENIX Security 2025</w:t>
      </w:r>
      <w:r>
        <w:rPr>
          <w:rFonts w:ascii="Times New Roman" w:hAnsi="Times New Roman"/>
          <w:b w:val="0"/>
          <w:i w:val="0"/>
          <w:color w:val="0F172A"/>
          <w:sz w:val="20"/>
        </w:rPr>
        <w:t xml:space="preserve"> [2]. Temuan itu memotivasi inspeksi lintas giliran, tetapi belum membuktikan efektivitas mekanisme SIAGA sendiri.</w:t>
      </w:r>
    </w:p>
    <w:p>
      <w:pPr>
        <w:keepNext/>
        <w:spacing w:before="120" w:after="40"/>
        <w:jc w:val="left"/>
      </w:pPr>
      <w:r>
        <w:rPr>
          <w:rFonts w:ascii="Times New Roman" w:hAnsi="Times New Roman"/>
          <w:b/>
          <w:color w:val="0F172A"/>
          <w:sz w:val="20"/>
        </w:rPr>
        <w:t>1.2. Relevansi dengan Trek Kompetisi</w:t>
      </w:r>
    </w:p>
    <w:p>
      <w:pPr>
        <w:spacing w:before="0" w:after="92" w:line="307" w:lineRule="auto"/>
        <w:ind w:firstLine="227"/>
        <w:jc w:val="both"/>
      </w:pPr>
      <w:r>
        <w:rPr>
          <w:rFonts w:ascii="Times New Roman" w:hAnsi="Times New Roman"/>
          <w:b w:val="0"/>
          <w:i w:val="0"/>
          <w:color w:val="0F172A"/>
          <w:sz w:val="20"/>
        </w:rP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keepNext/>
        <w:spacing w:before="120" w:after="40"/>
        <w:jc w:val="left"/>
      </w:pPr>
      <w:r>
        <w:rPr>
          <w:rFonts w:ascii="Times New Roman" w:hAnsi="Times New Roman"/>
          <w:b/>
          <w:color w:val="0F172A"/>
          <w:sz w:val="20"/>
        </w:rPr>
        <w:t>1.3. Tujuan dan Batasan</w:t>
      </w:r>
    </w:p>
    <w:p>
      <w:pPr>
        <w:spacing w:before="0" w:after="92" w:line="307" w:lineRule="auto"/>
        <w:ind w:firstLine="227"/>
        <w:jc w:val="both"/>
      </w:pPr>
      <w:r>
        <w:rPr>
          <w:rFonts w:ascii="Times New Roman" w:hAnsi="Times New Roman"/>
          <w:b w:val="0"/>
          <w:i w:val="0"/>
          <w:color w:val="0F172A"/>
          <w:sz w:val="20"/>
        </w:rP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keepNext/>
        <w:spacing w:before="120" w:after="40"/>
        <w:jc w:val="left"/>
      </w:pPr>
      <w:r>
        <w:rPr>
          <w:rFonts w:ascii="Times New Roman" w:hAnsi="Times New Roman"/>
          <w:b/>
          <w:color w:val="0F172A"/>
          <w:sz w:val="20"/>
        </w:rPr>
        <w:t>1.4. Skenario Ancaman dan Ukuran Keberhasilan</w:t>
      </w:r>
    </w:p>
    <w:p>
      <w:pPr>
        <w:spacing w:before="0" w:after="92" w:line="307" w:lineRule="auto"/>
        <w:ind w:firstLine="227"/>
        <w:jc w:val="both"/>
      </w:pPr>
      <w:r>
        <w:rPr>
          <w:rFonts w:ascii="Times New Roman" w:hAnsi="Times New Roman"/>
          <w:b w:val="0"/>
          <w:i w:val="0"/>
          <w:color w:val="0F172A"/>
          <w:sz w:val="20"/>
        </w:rP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pPr>
        <w:spacing w:before="0" w:after="92" w:line="307" w:lineRule="auto"/>
        <w:ind w:firstLine="227"/>
        <w:jc w:val="both"/>
      </w:pPr>
      <w:r>
        <w:rPr>
          <w:rFonts w:ascii="Times New Roman" w:hAnsi="Times New Roman"/>
          <w:b w:val="0"/>
          <w:i w:val="0"/>
          <w:color w:val="0F172A"/>
          <w:sz w:val="20"/>
        </w:rP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keepNext/>
        <w:spacing w:before="160" w:after="60"/>
        <w:jc w:val="left"/>
      </w:pPr>
      <w:r>
        <w:rPr>
          <w:rFonts w:ascii="Times New Roman" w:hAnsi="Times New Roman"/>
          <w:b/>
          <w:color w:val="0F172A"/>
          <w:sz w:val="21"/>
        </w:rPr>
        <w:t>CHAPTER 2: SOLUTION OVERVIEW &amp; MARKET DIFFERENTIATION</w:t>
      </w:r>
    </w:p>
    <w:p>
      <w:pPr>
        <w:keepNext/>
        <w:spacing w:before="120" w:after="40"/>
        <w:jc w:val="left"/>
      </w:pPr>
      <w:r>
        <w:rPr>
          <w:rFonts w:ascii="Times New Roman" w:hAnsi="Times New Roman"/>
          <w:b/>
          <w:color w:val="0F172A"/>
          <w:sz w:val="20"/>
        </w:rPr>
        <w:t>2.1. Solusi yang Dibangun</w:t>
      </w:r>
    </w:p>
    <w:p>
      <w:pPr>
        <w:spacing w:before="0" w:after="92" w:line="307" w:lineRule="auto"/>
        <w:ind w:firstLine="227"/>
        <w:jc w:val="both"/>
      </w:pPr>
      <w:r>
        <w:rPr>
          <w:rFonts w:ascii="Times New Roman" w:hAnsi="Times New Roman"/>
          <w:b w:val="0"/>
          <w:i w:val="0"/>
          <w:color w:val="0F172A"/>
          <w:sz w:val="20"/>
        </w:rP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pPr>
        <w:spacing w:before="0" w:after="92" w:line="307" w:lineRule="auto"/>
        <w:ind w:firstLine="227"/>
        <w:jc w:val="both"/>
      </w:pPr>
      <w:r>
        <w:rPr>
          <w:rFonts w:ascii="Times New Roman" w:hAnsi="Times New Roman"/>
          <w:b w:val="0"/>
          <w:i w:val="0"/>
          <w:color w:val="0F172A"/>
          <w:sz w:val="20"/>
        </w:rPr>
        <w:t xml:space="preserve">Nilai teknis utamanya adalah </w:t>
      </w:r>
      <w:r>
        <w:rPr>
          <w:rFonts w:ascii="Times New Roman" w:hAnsi="Times New Roman"/>
          <w:b w:val="0"/>
          <w:i/>
          <w:color w:val="0F172A"/>
          <w:sz w:val="20"/>
        </w:rPr>
        <w:t>Cumulative Intent Momentum</w:t>
      </w:r>
      <w:r>
        <w:rPr>
          <w:rFonts w:ascii="Times New Roman" w:hAnsi="Times New Roman"/>
          <w:b w:val="0"/>
          <w:i w:val="0"/>
          <w:color w:val="0F172A"/>
          <w:sz w:val="20"/>
        </w:rP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keepNext/>
        <w:spacing w:before="120" w:after="40"/>
        <w:jc w:val="left"/>
      </w:pPr>
      <w:r>
        <w:rPr>
          <w:rFonts w:ascii="Times New Roman" w:hAnsi="Times New Roman"/>
          <w:b/>
          <w:color w:val="0F172A"/>
          <w:sz w:val="20"/>
        </w:rPr>
        <w:t>2.2. Pembeda yang Dapat Dipertanggungjawabkan</w:t>
      </w:r>
    </w:p>
    <w:p>
      <w:pPr>
        <w:spacing w:before="0" w:after="92" w:line="307" w:lineRule="auto"/>
        <w:ind w:firstLine="227"/>
        <w:jc w:val="both"/>
      </w:pPr>
      <w:r>
        <w:rPr>
          <w:rFonts w:ascii="Times New Roman" w:hAnsi="Times New Roman"/>
          <w:b w:val="0"/>
          <w:i w:val="0"/>
          <w:color w:val="0F172A"/>
          <w:sz w:val="20"/>
        </w:rPr>
        <w:t xml:space="preserve">Tabel 1 membandingkan pendekatan, bukan mengklaim hasil uji langsung terhadap produk pihak ketiga. Penelitian Crescendo mendukung kebutuhan evaluasi lintas giliran [2], dan Microsoft membahas mitigasi yang turut memperhatikan rangkaian interaksi [8]. Uji acak Fitzpatrick dkk. di </w:t>
      </w:r>
      <w:r>
        <w:rPr>
          <w:rFonts w:ascii="Times New Roman" w:hAnsi="Times New Roman"/>
          <w:b w:val="0"/>
          <w:i/>
          <w:color w:val="0F172A"/>
          <w:sz w:val="20"/>
        </w:rPr>
        <w:t>JMIR Mental Health</w:t>
      </w:r>
      <w:r>
        <w:rPr>
          <w:rFonts w:ascii="Times New Roman" w:hAnsi="Times New Roman"/>
          <w:b w:val="0"/>
          <w:i w:val="0"/>
          <w:color w:val="0F172A"/>
          <w:sz w:val="20"/>
        </w:rPr>
        <w:t xml:space="preserve"> menunjukkan kelayakan awal agen percakapan untuk dukungan psikologis pada sampel terbatas [12]. Studi Woebot tersebut tidak memvalidasi PsychoBot maupun keselamatan klinis SIAGA. Inovasi yang diajukan adalah integrasi alur layanan dengan inspeksi berlapis pada PoC lokal.</w:t>
      </w:r>
    </w:p>
    <w:p>
      <w:pPr>
        <w:keepNext/>
        <w:spacing w:before="100" w:after="40"/>
        <w:jc w:val="center"/>
      </w:pPr>
      <w:r>
        <w:rPr>
          <w:rFonts w:ascii="Times New Roman" w:hAnsi="Times New Roman"/>
          <w:b/>
          <w:i w:val="0"/>
          <w:color w:val="0F172A"/>
          <w:sz w:val="17"/>
        </w:rPr>
        <w:t>Tabel 1. Posisi SIAGA terhadap pendekatan umum</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96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Pendekatan</w:t>
            </w:r>
          </w:p>
        </w:tc>
        <w:tc>
          <w:tcPr>
            <w:tcW w:type="dxa" w:w="107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Konteks yang dinilai</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Kekuatan</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Batas utama</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Aturan per pesan</w:t>
            </w:r>
          </w:p>
        </w:tc>
        <w:tc>
          <w:tcPr>
            <w:tcW w:type="dxa" w:w="107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Satu masukan</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Ringan dan mudah diaudit</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Arah eskalasi lintas giliran tidak terlihat</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Pemeriksaan model per pesan</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Satu masukan dengan klasifikasi</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Lebih lentur terhadap variasi bahasa</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Bergantung pada model dan ambang yang diuji</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Pemeriksaan multi-turn</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Beberapa giliran</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Menangkap pola dialog bertahap</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Memerlukan pengelolaan state dan evaluasi salah deteksi</w:t>
            </w:r>
          </w:p>
        </w:tc>
      </w:tr>
      <w:tr>
        <w:trPr>
          <w:cantSplit/>
        </w:trPr>
        <w:tc>
          <w:tcPr>
            <w:tcW w:type="dxa" w:w="96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SIAGA v2</w:t>
            </w:r>
          </w:p>
        </w:tc>
        <w:tc>
          <w:tcPr>
            <w:tcW w:type="dxa" w:w="107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Sinyal L0-L3 per sesi sebelum inferensi</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Menggabungkan state, keputusan, dan telemetri dalam PoC lokal</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Belum ada benchmark luas lintas model atau validasi klinis</w:t>
            </w:r>
          </w:p>
        </w:tc>
      </w:tr>
    </w:tbl>
    <w:p>
      <w:pPr>
        <w:spacing w:before="0" w:after="40"/>
      </w:pPr>
    </w:p>
    <w:p>
      <w:pPr>
        <w:keepNext/>
        <w:spacing w:before="120" w:after="40"/>
        <w:jc w:val="left"/>
      </w:pPr>
      <w:r>
        <w:rPr>
          <w:rFonts w:ascii="Times New Roman" w:hAnsi="Times New Roman"/>
          <w:b/>
          <w:color w:val="0F172A"/>
          <w:sz w:val="20"/>
        </w:rPr>
        <w:t>2.3. Proposisi Nilai</w:t>
      </w:r>
    </w:p>
    <w:p>
      <w:pPr>
        <w:spacing w:before="0" w:after="92" w:line="307" w:lineRule="auto"/>
        <w:ind w:firstLine="227"/>
        <w:jc w:val="both"/>
      </w:pPr>
      <w:r>
        <w:rPr>
          <w:rFonts w:ascii="Times New Roman" w:hAnsi="Times New Roman"/>
          <w:b w:val="0"/>
          <w:i w:val="0"/>
          <w:color w:val="0F172A"/>
          <w:sz w:val="20"/>
        </w:rP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spacing w:before="0" w:after="92" w:line="307" w:lineRule="auto"/>
        <w:ind w:firstLine="227"/>
        <w:jc w:val="both"/>
      </w:pPr>
      <w:r>
        <w:rPr>
          <w:rFonts w:ascii="Times New Roman" w:hAnsi="Times New Roman"/>
          <w:b w:val="0"/>
          <w:i w:val="0"/>
          <w:color w:val="0F172A"/>
          <w:sz w:val="20"/>
        </w:rPr>
        <w:t>Untuk mencegah pengalihan kapabilitas (</w:t>
      </w:r>
      <w:r>
        <w:rPr>
          <w:rFonts w:ascii="Times New Roman" w:hAnsi="Times New Roman"/>
          <w:b w:val="0"/>
          <w:i/>
          <w:color w:val="0F172A"/>
          <w:sz w:val="20"/>
        </w:rPr>
        <w:t>capability hijack</w:t>
      </w:r>
      <w:r>
        <w:rPr>
          <w:rFonts w:ascii="Times New Roman" w:hAnsi="Times New Roman"/>
          <w:b w:val="0"/>
          <w:i w:val="0"/>
          <w:color w:val="0F172A"/>
          <w:sz w:val="20"/>
        </w:rPr>
        <w:t>), SIAGA menerapkan batasan domain tugas (</w:t>
      </w:r>
      <w:r>
        <w:rPr>
          <w:rFonts w:ascii="Times New Roman" w:hAnsi="Times New Roman"/>
          <w:b w:val="0"/>
          <w:i/>
          <w:color w:val="0F172A"/>
          <w:sz w:val="20"/>
        </w:rPr>
        <w:t>Out-of-Domain Task Restriction</w:t>
      </w:r>
      <w:r>
        <w:rPr>
          <w:rFonts w:ascii="Times New Roman" w:hAnsi="Times New Roman"/>
          <w:b w:val="0"/>
          <w:i w:val="0"/>
          <w:color w:val="0F172A"/>
          <w:sz w:val="20"/>
        </w:rPr>
        <w:t>). Sebagai asisten kesehatan mental khusus, PsychoBot menolak permintaan generasi kode program, skrip perangkat lunak, maupun instruksi teknis di luar konseling psikologis. Jika pengguna meminta pembuatan kode program (misalnya skrip Python atau pembuatan aplikasi), sistem menolak permintaan secara etis dan mengarahkan kembali percakapan untuk mengeksplorasi apakah pengguna sedang mengalami stres atau beban akademik/pekerjaan terkait tugas pemrograman tersebut. Sebaliknya, bila permintaan memuat skrip berbahaya (seperti eksploitasi, malware, atau ekstraksi database), guardrail L1/L3 langsung mengintersepsi dan memblokir sesi.</w:t>
      </w:r>
    </w:p>
    <w:p>
      <w:pPr>
        <w:keepNext/>
        <w:spacing w:before="120" w:after="40"/>
        <w:jc w:val="left"/>
      </w:pPr>
      <w:r>
        <w:rPr>
          <w:rFonts w:ascii="Times New Roman" w:hAnsi="Times New Roman"/>
          <w:b/>
          <w:color w:val="0F172A"/>
          <w:sz w:val="20"/>
        </w:rPr>
        <w:t>2.4. Pengalaman Tiga Peran</w:t>
      </w:r>
    </w:p>
    <w:p>
      <w:pPr>
        <w:spacing w:before="0" w:after="92" w:line="307" w:lineRule="auto"/>
        <w:ind w:firstLine="227"/>
        <w:jc w:val="both"/>
      </w:pPr>
      <w:r>
        <w:rPr>
          <w:rFonts w:ascii="Times New Roman" w:hAnsi="Times New Roman"/>
          <w:b/>
          <w:i w:val="0"/>
          <w:color w:val="0F172A"/>
          <w:sz w:val="20"/>
        </w:rPr>
        <w:t>Pasien</w:t>
      </w:r>
      <w:r>
        <w:rPr>
          <w:rFonts w:ascii="Times New Roman" w:hAnsi="Times New Roman"/>
          <w:b w:val="0"/>
          <w:i w:val="0"/>
          <w:color w:val="0F172A"/>
          <w:sz w:val="20"/>
        </w:rPr>
        <w:t xml:space="preserve"> memperoleh jalur masuk sederhana: skrining mandiri untuk memahami gejala, lalu percakapan suportif. Hasil skrining ditampilkan sebagai skor dan tingkat gejala, bukan keputusan medis. </w:t>
      </w:r>
      <w:r>
        <w:rPr>
          <w:rFonts w:ascii="Times New Roman" w:hAnsi="Times New Roman"/>
          <w:b/>
          <w:i w:val="0"/>
          <w:color w:val="0F172A"/>
          <w:sz w:val="20"/>
        </w:rPr>
        <w:t>Dokter</w:t>
      </w:r>
      <w:r>
        <w:rPr>
          <w:rFonts w:ascii="Times New Roman" w:hAnsi="Times New Roman"/>
          <w:b w:val="0"/>
          <w:i w:val="0"/>
          <w:color w:val="0F172A"/>
          <w:sz w:val="20"/>
        </w:rPr>
        <w:t xml:space="preserve"> dapat meninjau data yang tersedia dalam portal berdasarkan peran dan menambahkan catatan klinis. </w:t>
      </w:r>
      <w:r>
        <w:rPr>
          <w:rFonts w:ascii="Times New Roman" w:hAnsi="Times New Roman"/>
          <w:b/>
          <w:i w:val="0"/>
          <w:color w:val="0F172A"/>
          <w:sz w:val="20"/>
        </w:rPr>
        <w:t>Petugas SOC</w:t>
      </w:r>
      <w:r>
        <w:rPr>
          <w:rFonts w:ascii="Times New Roman" w:hAnsi="Times New Roman"/>
          <w:b w:val="0"/>
          <w:i w:val="0"/>
          <w:color w:val="0F172A"/>
          <w:sz w:val="20"/>
        </w:rPr>
        <w:t xml:space="preserve"> melihat peristiwa keamanan, termasuk alasan keputusan serta lintasan skor. Pemisahan peran ini membuat keluaran keamanan tidak menutupi kebutuhan pengguna untuk menerima respons yang jelas dan tenang.</w:t>
      </w:r>
    </w:p>
    <w:p>
      <w:pPr>
        <w:spacing w:before="0" w:after="92" w:line="307" w:lineRule="auto"/>
        <w:ind w:firstLine="227"/>
        <w:jc w:val="both"/>
      </w:pPr>
      <w:r>
        <w:rPr>
          <w:rFonts w:ascii="Times New Roman" w:hAnsi="Times New Roman"/>
          <w:b w:val="0"/>
          <w:i w:val="0"/>
          <w:color w:val="0F172A"/>
          <w:sz w:val="20"/>
        </w:rP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keepNext/>
        <w:spacing w:before="160" w:after="60"/>
        <w:jc w:val="left"/>
      </w:pPr>
      <w:r>
        <w:rPr>
          <w:rFonts w:ascii="Times New Roman" w:hAnsi="Times New Roman"/>
          <w:b/>
          <w:color w:val="0F172A"/>
          <w:sz w:val="21"/>
        </w:rPr>
        <w:t>CHAPTER 3: PROOF OF CONCEPT IMPLEMENTATION</w:t>
      </w:r>
    </w:p>
    <w:p>
      <w:pPr>
        <w:keepNext/>
        <w:spacing w:before="120" w:after="40"/>
        <w:jc w:val="left"/>
      </w:pPr>
      <w:r>
        <w:rPr>
          <w:rFonts w:ascii="Times New Roman" w:hAnsi="Times New Roman"/>
          <w:b/>
          <w:color w:val="0F172A"/>
          <w:sz w:val="20"/>
        </w:rPr>
        <w:t>3.1. Alur Demonstrasi</w:t>
      </w:r>
    </w:p>
    <w:p>
      <w:pPr>
        <w:spacing w:before="0" w:after="92" w:line="307" w:lineRule="auto"/>
        <w:ind w:firstLine="227"/>
        <w:jc w:val="both"/>
      </w:pPr>
      <w:r>
        <w:rPr>
          <w:rFonts w:ascii="Times New Roman" w:hAnsi="Times New Roman"/>
          <w:b w:val="0"/>
          <w:i w:val="0"/>
          <w:color w:val="0F172A"/>
          <w:sz w:val="20"/>
        </w:rP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keepNext/>
        <w:spacing w:before="120" w:after="40"/>
        <w:jc w:val="left"/>
      </w:pPr>
      <w:r>
        <w:rPr>
          <w:rFonts w:ascii="Times New Roman" w:hAnsi="Times New Roman"/>
          <w:b/>
          <w:color w:val="0F172A"/>
          <w:sz w:val="20"/>
        </w:rPr>
        <w:t>3.2. Fitur yang Ada dan Statusnya</w:t>
      </w:r>
    </w:p>
    <w:p>
      <w:pPr>
        <w:spacing w:before="0" w:after="92" w:line="307" w:lineRule="auto"/>
        <w:ind w:firstLine="227"/>
        <w:jc w:val="both"/>
      </w:pPr>
      <w:r>
        <w:rPr>
          <w:rFonts w:ascii="Times New Roman" w:hAnsi="Times New Roman"/>
          <w:b w:val="0"/>
          <w:i w:val="0"/>
          <w:color w:val="0F172A"/>
          <w:sz w:val="20"/>
        </w:rPr>
        <w:t>Tabel 2 membedakan kemampuan yang terlihat di kode dari ketergantungan opsional dan pekerjaan lanjutan. Bukti implementasi merujuk pada berkas dalam repositori [9].</w:t>
      </w:r>
    </w:p>
    <w:p>
      <w:pPr>
        <w:keepNext/>
        <w:spacing w:before="100" w:after="40"/>
        <w:jc w:val="center"/>
      </w:pPr>
      <w:r>
        <w:rPr>
          <w:rFonts w:ascii="Times New Roman" w:hAnsi="Times New Roman"/>
          <w:b/>
          <w:i w:val="0"/>
          <w:color w:val="0F172A"/>
          <w:sz w:val="17"/>
        </w:rPr>
        <w:t>Tabel 2. Status komponen PoC pada checkout proyek</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Komponen</w:t>
            </w:r>
          </w:p>
        </w:tc>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Status saat ini</w:t>
            </w:r>
          </w:p>
        </w:tc>
        <w:tc>
          <w:tcPr>
            <w:tcW w:type="dxa" w:w="232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Bukti atau batas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Skrining PHQ-9/GAD-7 dan riwayat</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Endpoint asesmen dan halaman pasien; hasil adalah skrining, bukan diagnosis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Guardrail L0-L3, PROBE, BLOCK</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 xml:space="preserve">Orkestrasi di </w:t>
            </w:r>
            <w:r>
              <w:rPr>
                <w:rFonts w:ascii="Consolas" w:hAnsi="Consolas"/>
                <w:b w:val="0"/>
                <w:color w:val="0F172A"/>
                <w:sz w:val="13"/>
              </w:rPr>
              <w:t>backend/app/engine.py</w:t>
            </w:r>
            <w:r>
              <w:rPr>
                <w:rFonts w:ascii="Times New Roman" w:hAnsi="Times New Roman"/>
                <w:b w:val="0"/>
                <w:i w:val="0"/>
                <w:color w:val="0F172A"/>
                <w:sz w:val="15"/>
              </w:rPr>
              <w:t xml:space="preserve"> dan uji di </w:t>
            </w:r>
            <w:r>
              <w:rPr>
                <w:rFonts w:ascii="Consolas" w:hAnsi="Consolas"/>
                <w:b w:val="0"/>
                <w:color w:val="0F172A"/>
                <w:sz w:val="13"/>
              </w:rPr>
              <w:t>backend/tests/</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Streaming chat dan telemetri SOC</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Ada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Endpoint SSE dan halaman admin; sumber data bergantung mode live/mock</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Model bahasa lokal</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Bersyarat</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Klien Ollama tersedia; fallback dipakai bila layanan model tidak hidup</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Model ONNX INT8</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Bersyarat</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Kode pemuat tersedia; tanpa berkas model, L1 memakai hashing dan leksikon</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Verifikasi SIP</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Terbatas</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Saat ini memeriksa format delapan digit, belum mengecek registri resmi</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SATUSEHAT FHIR, cache semantik, TAP runner</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Rencana</w:t>
            </w:r>
          </w:p>
        </w:tc>
        <w:tc>
          <w:tcPr>
            <w:tcW w:type="dxa" w:w="232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Modul dan endpoint tersebut tidak ditemukan pada checkout ini</w:t>
            </w:r>
          </w:p>
        </w:tc>
      </w:tr>
    </w:tbl>
    <w:p>
      <w:pPr>
        <w:spacing w:before="0" w:after="40"/>
      </w:pPr>
    </w:p>
    <w:p>
      <w:pPr>
        <w:keepNext/>
        <w:spacing w:before="120" w:after="40"/>
        <w:jc w:val="left"/>
      </w:pPr>
      <w:r>
        <w:rPr>
          <w:rFonts w:ascii="Times New Roman" w:hAnsi="Times New Roman"/>
          <w:b/>
          <w:color w:val="0F172A"/>
          <w:sz w:val="20"/>
        </w:rPr>
        <w:t>3.3. Bukti Pengujian dan Batas Inferensi</w:t>
      </w:r>
    </w:p>
    <w:p>
      <w:pPr>
        <w:spacing w:before="0" w:after="92" w:line="307" w:lineRule="auto"/>
        <w:ind w:firstLine="227"/>
        <w:jc w:val="both"/>
      </w:pPr>
      <w:r>
        <w:rPr>
          <w:rFonts w:ascii="Times New Roman" w:hAnsi="Times New Roman"/>
          <w:b w:val="0"/>
          <w:i w:val="0"/>
          <w:color w:val="0F172A"/>
          <w:sz w:val="20"/>
        </w:rPr>
        <w:t xml:space="preserve">Repositori menyediakan uji normalisasi karakter tersembunyi, akumulasi momentum, percakapan jinak, eskalasi lima giliran, keputusan ambang, probe, autentikasi, asesmen, SSE, serta pembatasan peran [9]. Uji fungsional tersebut tidak cukup untuk menyimpulkan </w:t>
      </w:r>
      <w:r>
        <w:rPr>
          <w:rFonts w:ascii="Times New Roman" w:hAnsi="Times New Roman"/>
          <w:b w:val="0"/>
          <w:i/>
          <w:color w:val="0F172A"/>
          <w:sz w:val="20"/>
        </w:rPr>
        <w:t>attack success rate</w:t>
      </w:r>
      <w:r>
        <w:rPr>
          <w:rFonts w:ascii="Times New Roman" w:hAnsi="Times New Roman"/>
          <w:b w:val="0"/>
          <w:i w:val="0"/>
          <w:color w:val="0F172A"/>
          <w:sz w:val="20"/>
        </w:rPr>
        <w:t xml:space="preserve"> atau </w:t>
      </w:r>
      <w:r>
        <w:rPr>
          <w:rFonts w:ascii="Times New Roman" w:hAnsi="Times New Roman"/>
          <w:b w:val="0"/>
          <w:i/>
          <w:color w:val="0F172A"/>
          <w:sz w:val="20"/>
        </w:rPr>
        <w:t>false positive rate</w:t>
      </w:r>
      <w:r>
        <w:rPr>
          <w:rFonts w:ascii="Times New Roman" w:hAnsi="Times New Roman"/>
          <w:b w:val="0"/>
          <w:i w:val="0"/>
          <w:color w:val="0F172A"/>
          <w:sz w:val="20"/>
        </w:rPr>
        <w:t xml:space="preserve"> populasi. Benchmark SLM yang diuraikan pada Bab 4 berasal dari telemetri inferensi terarsip [14]; ia mengukur model secara terpisah dari guardrail dan tidak dipakai sebagai bukti ketahanan multi-giliran.</w:t>
      </w:r>
    </w:p>
    <w:p>
      <w:pPr>
        <w:spacing w:before="0" w:after="92" w:line="307" w:lineRule="auto"/>
        <w:ind w:firstLine="227"/>
        <w:jc w:val="both"/>
      </w:pPr>
      <w:r>
        <w:rPr>
          <w:rFonts w:ascii="Times New Roman" w:hAnsi="Times New Roman"/>
          <w:b w:val="0"/>
          <w:i w:val="0"/>
          <w:color w:val="0F172A"/>
          <w:sz w:val="20"/>
        </w:rP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keepNext/>
        <w:spacing w:before="120" w:after="40"/>
        <w:jc w:val="left"/>
      </w:pPr>
      <w:r>
        <w:rPr>
          <w:rFonts w:ascii="Times New Roman" w:hAnsi="Times New Roman"/>
          <w:b/>
          <w:color w:val="0F172A"/>
          <w:sz w:val="20"/>
        </w:rPr>
        <w:t>3.4. Kriteria Demonstrasi yang Dapat Diulang</w:t>
      </w:r>
    </w:p>
    <w:p>
      <w:pPr>
        <w:spacing w:before="0" w:after="92" w:line="307" w:lineRule="auto"/>
        <w:ind w:firstLine="227"/>
        <w:jc w:val="both"/>
      </w:pPr>
      <w:r>
        <w:rPr>
          <w:rFonts w:ascii="Times New Roman" w:hAnsi="Times New Roman"/>
          <w:b w:val="0"/>
          <w:i w:val="0"/>
          <w:color w:val="0F172A"/>
          <w:sz w:val="20"/>
        </w:rP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pPr>
        <w:spacing w:before="0" w:after="92" w:line="307" w:lineRule="auto"/>
        <w:ind w:firstLine="227"/>
        <w:jc w:val="both"/>
      </w:pPr>
      <w:r>
        <w:rPr>
          <w:rFonts w:ascii="Times New Roman" w:hAnsi="Times New Roman"/>
          <w:b w:val="0"/>
          <w:i w:val="0"/>
          <w:color w:val="0F172A"/>
          <w:sz w:val="20"/>
        </w:rP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pPr>
        <w:spacing w:before="0" w:after="92" w:line="307" w:lineRule="auto"/>
        <w:ind w:firstLine="227"/>
        <w:jc w:val="both"/>
      </w:pPr>
      <w:r>
        <w:rPr>
          <w:rFonts w:ascii="Times New Roman" w:hAnsi="Times New Roman"/>
          <w:b w:val="0"/>
          <w:i w:val="0"/>
          <w:color w:val="0F172A"/>
          <w:sz w:val="20"/>
        </w:rPr>
        <w:t>Tabel 3 menerjemahkan fitur tersebut menjadi pemeriksaan yang dapat dilihat juri. Kolom kriteria menunjukkan apa yang perlu diamati saat demonstrasi, bukan hasil benchmark yang sudah diklaim.</w:t>
      </w:r>
    </w:p>
    <w:p>
      <w:pPr>
        <w:keepNext/>
        <w:spacing w:before="100" w:after="40"/>
        <w:jc w:val="center"/>
      </w:pPr>
      <w:r>
        <w:rPr>
          <w:rFonts w:ascii="Times New Roman" w:hAnsi="Times New Roman"/>
          <w:b/>
          <w:i w:val="0"/>
          <w:color w:val="0F172A"/>
          <w:sz w:val="17"/>
        </w:rPr>
        <w:t>Tabel 3. Matriks verifikasi demonstrasi PoC</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Skenario</w:t>
            </w:r>
          </w:p>
        </w:tc>
        <w:tc>
          <w:tcPr>
            <w:tcW w:type="dxa" w:w="181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Kriteria yang diamati</w:t>
            </w:r>
          </w:p>
        </w:tc>
        <w:tc>
          <w:tcPr>
            <w:tcW w:type="dxa" w:w="147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Jejak implementasi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Pesan pasien biasa</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Balasan tersedia; sesi dan keputusan tercatat</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Router chat dan penyimpanan aplikasi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Eskalasi lima giliran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Skor dan keputusan berubah sesuai isi sesi; permintaan berisiko ditahan</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Mesin CIM, fusi, uji guardrail</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Tantangan probe</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Balasan LLM ditahan; respons pengguna mengubah status probe</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Modul probe dan endpoint verifikasi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Asesmen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Skor PHQ-9/GAD-7 dihitung dan riwayat ditampilkan</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Router asesmen dan halaman pasien</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Pembatasan peran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Pasien tidak dapat membuka endpoint dokter/SOC</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Dependensi autentikasi dan uji API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Mode kegagalan</w:t>
            </w:r>
          </w:p>
        </w:tc>
        <w:tc>
          <w:tcPr>
            <w:tcW w:type="dxa" w:w="181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Mode mock ditandai; fallback model dibedakan dari respons model hidup</w:t>
            </w:r>
          </w:p>
        </w:tc>
        <w:tc>
          <w:tcPr>
            <w:tcW w:type="dxa" w:w="147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Fasad API frontend dan klien LLM</w:t>
            </w:r>
          </w:p>
        </w:tc>
      </w:tr>
    </w:tbl>
    <w:p>
      <w:pPr>
        <w:spacing w:before="0" w:after="40"/>
      </w:pPr>
    </w:p>
    <w:p>
      <w:pPr>
        <w:keepNext/>
        <w:spacing w:before="120" w:after="40"/>
        <w:jc w:val="left"/>
      </w:pPr>
      <w:r>
        <w:rPr>
          <w:rFonts w:ascii="Times New Roman" w:hAnsi="Times New Roman"/>
          <w:b/>
          <w:color w:val="0F172A"/>
          <w:sz w:val="20"/>
        </w:rPr>
        <w:t>3.5. Protokol Benchmark Berikutnya</w:t>
      </w:r>
    </w:p>
    <w:p>
      <w:pPr>
        <w:spacing w:before="0" w:after="92" w:line="307" w:lineRule="auto"/>
        <w:ind w:firstLine="227"/>
        <w:jc w:val="both"/>
      </w:pPr>
      <w:r>
        <w:rPr>
          <w:rFonts w:ascii="Times New Roman" w:hAnsi="Times New Roman"/>
          <w:b w:val="0"/>
          <w:i w:val="0"/>
          <w:color w:val="0F172A"/>
          <w:sz w:val="20"/>
        </w:rP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keepNext/>
        <w:spacing w:before="120" w:after="40"/>
        <w:jc w:val="left"/>
      </w:pPr>
      <w:r>
        <w:rPr>
          <w:rFonts w:ascii="Times New Roman" w:hAnsi="Times New Roman"/>
          <w:b/>
          <w:color w:val="0F172A"/>
          <w:sz w:val="20"/>
        </w:rPr>
        <w:t>3.6. Definisi Metrik dan Kontrol Eksperimen</w:t>
      </w:r>
    </w:p>
    <w:p>
      <w:pPr>
        <w:spacing w:before="0" w:after="92" w:line="307" w:lineRule="auto"/>
        <w:ind w:firstLine="227"/>
        <w:jc w:val="both"/>
      </w:pPr>
      <w:r>
        <w:rPr>
          <w:rFonts w:ascii="Times New Roman" w:hAnsi="Times New Roman"/>
          <w:b w:val="0"/>
          <w:i/>
          <w:color w:val="0F172A"/>
          <w:sz w:val="20"/>
        </w:rPr>
        <w:t>Attack success rate</w:t>
      </w:r>
      <w:r>
        <w:rPr>
          <w:rFonts w:ascii="Times New Roman" w:hAnsi="Times New Roman"/>
          <w:b w:val="0"/>
          <w:i w:val="0"/>
          <w:color w:val="0F172A"/>
          <w:sz w:val="20"/>
        </w:rPr>
        <w:t xml:space="preserve"> (ASR) berarti jumlah dialog serangan yang menghasilkan keluaran terlarang dibagi seluruh dialog serangan yang benar-benar dievaluasi. </w:t>
      </w:r>
      <w:r>
        <w:rPr>
          <w:rFonts w:ascii="Times New Roman" w:hAnsi="Times New Roman"/>
          <w:b w:val="0"/>
          <w:i/>
          <w:color w:val="0F172A"/>
          <w:sz w:val="20"/>
        </w:rPr>
        <w:t>False positive rate</w:t>
      </w:r>
      <w:r>
        <w:rPr>
          <w:rFonts w:ascii="Times New Roman" w:hAnsi="Times New Roman"/>
          <w:b w:val="0"/>
          <w:i w:val="0"/>
          <w:color w:val="0F172A"/>
          <w:sz w:val="20"/>
        </w:rPr>
        <w:t xml:space="preserve"> (FPR) berarti jumlah dialog jinak yang dibatasi secara keliru dibagi seluruh dialog jinak. </w:t>
      </w:r>
      <w:r>
        <w:rPr>
          <w:rFonts w:ascii="Times New Roman" w:hAnsi="Times New Roman"/>
          <w:b w:val="0"/>
          <w:i/>
          <w:color w:val="0F172A"/>
          <w:sz w:val="20"/>
        </w:rPr>
        <w:t>Time to detection</w:t>
      </w:r>
      <w:r>
        <w:rPr>
          <w:rFonts w:ascii="Times New Roman" w:hAnsi="Times New Roman"/>
          <w:b w:val="0"/>
          <w:i w:val="0"/>
          <w:color w:val="0F172A"/>
          <w:sz w:val="20"/>
        </w:rP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pPr>
        <w:spacing w:before="0" w:after="92" w:line="307" w:lineRule="auto"/>
        <w:ind w:firstLine="227"/>
        <w:jc w:val="both"/>
      </w:pPr>
      <w:r>
        <w:rPr>
          <w:rFonts w:ascii="Times New Roman" w:hAnsi="Times New Roman"/>
          <w:b w:val="0"/>
          <w:i w:val="0"/>
          <w:color w:val="0F172A"/>
          <w:sz w:val="20"/>
        </w:rP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pPr>
        <w:spacing w:before="0" w:after="92" w:line="307" w:lineRule="auto"/>
        <w:ind w:firstLine="227"/>
        <w:jc w:val="both"/>
      </w:pPr>
      <w:r>
        <w:rPr>
          <w:rFonts w:ascii="Times New Roman" w:hAnsi="Times New Roman"/>
          <w:b w:val="0"/>
          <w:i w:val="0"/>
          <w:color w:val="0F172A"/>
          <w:sz w:val="20"/>
        </w:rP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keepNext/>
        <w:spacing w:before="160" w:after="60"/>
        <w:jc w:val="left"/>
      </w:pPr>
      <w:r>
        <w:rPr>
          <w:rFonts w:ascii="Times New Roman" w:hAnsi="Times New Roman"/>
          <w:b/>
          <w:color w:val="0F172A"/>
          <w:sz w:val="21"/>
        </w:rPr>
        <w:t>CHAPTER 4: TECHNICAL ARCHITECTURE &amp; FEASIBILITY</w:t>
      </w:r>
    </w:p>
    <w:p>
      <w:pPr>
        <w:keepNext/>
        <w:spacing w:before="120" w:after="40"/>
        <w:jc w:val="left"/>
      </w:pPr>
      <w:r>
        <w:rPr>
          <w:rFonts w:ascii="Times New Roman" w:hAnsi="Times New Roman"/>
          <w:b/>
          <w:color w:val="0F172A"/>
          <w:sz w:val="20"/>
        </w:rPr>
        <w:t>4.1. Alur Data yang Diterapkan</w:t>
      </w:r>
    </w:p>
    <w:p>
      <w:pPr>
        <w:spacing w:before="0" w:after="92" w:line="307" w:lineRule="auto"/>
        <w:ind w:firstLine="227"/>
        <w:jc w:val="both"/>
      </w:pPr>
      <w:r>
        <w:rPr>
          <w:rFonts w:ascii="Times New Roman" w:hAnsi="Times New Roman"/>
          <w:b w:val="0"/>
          <w:i w:val="0"/>
          <w:color w:val="0F172A"/>
          <w:sz w:val="20"/>
        </w:rPr>
        <w:t>Gambar 1 menjabarkan arsitektur live sebagai empat tahap. (1) Pasien mengirim chat dan mengisi skrining; dokter mengelola catatan, sedangkan SOC meninjau telemetri. (2) FastAPI memeriksa peran dan sesi, lalu mengirim pesan chat ke SIAGA. (3) L0 menormalkan Unicode, L1 menilai niat dan representasi teks, L2 menilai URL serta lonjakan pesan, dan L3/CIM mengakumulasi arah risiko lintas giliran. (4) Fusi keputusan mengirim ALLOW/WATCH ke klien Ollama; PROBE/BLOCK menahan pesan dari model dan memberi balasan kendali. Jalur respons tetap melalui API. DuckDB menyimpan hash, fitur, dan skor guardrail; SQLite lokal atau Firestore opsional menyimpan riwayat aplikasi. Dua penyimpanan itu memiliki risiko retensi yang berbeda.</w:t>
      </w:r>
    </w:p>
    <w:p>
      <w:pPr>
        <w:keepNext/>
        <w:spacing w:before="100" w:after="30"/>
        <w:jc w:val="center"/>
      </w:pPr>
      <w:r>
        <w:drawing>
          <wp:inline xmlns:a="http://schemas.openxmlformats.org/drawingml/2006/main" xmlns:pic="http://schemas.openxmlformats.org/drawingml/2006/picture">
            <wp:extent cx="2808000" cy="13572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2808000" cy="1357200"/>
                    </a:xfrm>
                    <a:prstGeom prst="rect"/>
                  </pic:spPr>
                </pic:pic>
              </a:graphicData>
            </a:graphic>
          </wp:inline>
        </w:drawing>
      </w:r>
    </w:p>
    <w:p>
      <w:pPr>
        <w:spacing w:before="20" w:after="80"/>
        <w:jc w:val="both"/>
      </w:pPr>
      <w:r>
        <w:rPr>
          <w:rFonts w:ascii="Times New Roman" w:hAnsi="Times New Roman"/>
          <w:b w:val="0"/>
          <w:i/>
          <w:color w:val="0F172A"/>
          <w:sz w:val="17"/>
        </w:rPr>
        <w:t>Gambar 1. Arsitektur flat 2D SIAGA pada jalur live: empat tahap pemrosesan, dua cabang keputusan, dan dua ruang penyimpanan. Ollama serta Firestore bergantung pada konfigurasi.</w:t>
      </w:r>
    </w:p>
    <w:p>
      <w:pPr>
        <w:keepNext/>
        <w:spacing w:before="120" w:after="40"/>
        <w:jc w:val="left"/>
      </w:pPr>
      <w:r>
        <w:rPr>
          <w:rFonts w:ascii="Times New Roman" w:hAnsi="Times New Roman"/>
          <w:b/>
          <w:color w:val="0F172A"/>
          <w:sz w:val="20"/>
        </w:rPr>
        <w:t>4.2. Rumus Keputusan yang Sesuai Implementasi</w:t>
      </w:r>
    </w:p>
    <w:p>
      <w:pPr>
        <w:spacing w:before="0" w:after="92" w:line="307" w:lineRule="auto"/>
        <w:ind w:firstLine="227"/>
        <w:jc w:val="both"/>
      </w:pPr>
      <w:r>
        <w:rPr>
          <w:rFonts w:ascii="Times New Roman" w:hAnsi="Times New Roman"/>
          <w:b w:val="0"/>
          <w:i w:val="0"/>
          <w:color w:val="0F172A"/>
          <w:sz w:val="20"/>
        </w:rP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pPr>
        <w:keepNext/>
        <w:spacing w:before="60" w:after="50"/>
        <w:jc w:val="center"/>
      </w:pPr>
      <w:r>
        <w:rPr>
          <w:rFonts w:ascii="Times New Roman" w:hAnsi="Times New Roman"/>
          <w:b/>
          <w:sz w:val="17"/>
        </w:rPr>
        <w:t>M_t = clamp(gamma_t M_(t-1) + w1 delta_t d_t + w2 a_t d_t + w3 r_t, 0, 1).  (1)</w:t>
      </w:r>
    </w:p>
    <w:p>
      <w:pPr>
        <w:spacing w:before="0" w:after="92" w:line="307" w:lineRule="auto"/>
        <w:ind w:firstLine="227"/>
        <w:jc w:val="both"/>
      </w:pPr>
      <w:r>
        <w:rPr>
          <w:rFonts w:ascii="Times New Roman" w:hAnsi="Times New Roman"/>
          <w:b w:val="0"/>
          <w:i w:val="0"/>
          <w:color w:val="0F172A"/>
          <w:sz w:val="20"/>
        </w:rPr>
        <w:t xml:space="preserve">Bobot bawaan saat ini adalah w1 = 0,85; w2 = 0,45; w3 = 0,38. Skor keputusan kemudian memadukan </w:t>
      </w:r>
      <w:r>
        <w:rPr>
          <w:rFonts w:ascii="Times New Roman" w:hAnsi="Times New Roman"/>
          <w:b/>
          <w:i w:val="0"/>
          <w:color w:val="0F172A"/>
          <w:sz w:val="20"/>
        </w:rPr>
        <w:t>0,80 M_t + 0,15 intent_t + 0,05 context_t</w:t>
      </w:r>
      <w:r>
        <w:rPr>
          <w:rFonts w:ascii="Times New Roman" w:hAnsi="Times New Roman"/>
          <w:b w:val="0"/>
          <w:i w:val="0"/>
          <w:color w:val="0F172A"/>
          <w:sz w:val="20"/>
        </w:rP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keepNext/>
        <w:spacing w:before="120" w:after="40"/>
        <w:jc w:val="left"/>
      </w:pPr>
      <w:r>
        <w:rPr>
          <w:rFonts w:ascii="Times New Roman" w:hAnsi="Times New Roman"/>
          <w:b/>
          <w:color w:val="0F172A"/>
          <w:sz w:val="20"/>
        </w:rPr>
        <w:t>4.3. Benchmark Empiris SLM Multi-Tier (Edge Workstation vs. Node Lab Terdedikasi)</w:t>
      </w:r>
    </w:p>
    <w:p>
      <w:pPr>
        <w:spacing w:before="0" w:after="92" w:line="307" w:lineRule="auto"/>
        <w:ind w:firstLine="227"/>
        <w:jc w:val="both"/>
      </w:pPr>
      <w:r>
        <w:rPr>
          <w:rFonts w:ascii="Times New Roman" w:hAnsi="Times New Roman"/>
          <w:b w:val="0"/>
          <w:i w:val="0"/>
          <w:color w:val="0F172A"/>
          <w:sz w:val="20"/>
        </w:rPr>
        <w:t xml:space="preserve">Alur pada Gambar 2 mengevaluasi kelayakan SLM lokal pada dua tier deployment operasional: (1) </w:t>
      </w:r>
      <w:r>
        <w:rPr>
          <w:rFonts w:ascii="Times New Roman" w:hAnsi="Times New Roman"/>
          <w:b/>
          <w:i w:val="0"/>
          <w:color w:val="0F172A"/>
          <w:sz w:val="20"/>
        </w:rPr>
        <w:t>Edge Appliance Terdesentralisasi</w:t>
      </w:r>
      <w:r>
        <w:rPr>
          <w:rFonts w:ascii="Times New Roman" w:hAnsi="Times New Roman"/>
          <w:b w:val="0"/>
          <w:i w:val="0"/>
          <w:color w:val="0F172A"/>
          <w:sz w:val="20"/>
        </w:rPr>
        <w:t xml:space="preserve"> berbasis Ollama lokal pada laptop klinik (NVIDIA GeForce GTX 1650 4 GB VRAM, AMD Ryzen 5 4600H, RAM 24 GB) [14], dan (2) </w:t>
      </w:r>
      <w:r>
        <w:rPr>
          <w:rFonts w:ascii="Times New Roman" w:hAnsi="Times New Roman"/>
          <w:b/>
          <w:i w:val="0"/>
          <w:color w:val="0F172A"/>
          <w:sz w:val="20"/>
        </w:rPr>
        <w:t>Node AI Institusional Terdedikasi</w:t>
      </w:r>
      <w:r>
        <w:rPr>
          <w:rFonts w:ascii="Times New Roman" w:hAnsi="Times New Roman"/>
          <w:b w:val="0"/>
          <w:i w:val="0"/>
          <w:color w:val="0F172A"/>
          <w:sz w:val="20"/>
        </w:rPr>
        <w:t xml:space="preserve"> berbasis engine inferensi berkecepatan tinggi </w:t>
      </w:r>
      <w:r>
        <w:rPr>
          <w:rFonts w:ascii="Times New Roman" w:hAnsi="Times New Roman"/>
          <w:b/>
          <w:i w:val="0"/>
          <w:color w:val="0F172A"/>
          <w:sz w:val="20"/>
        </w:rPr>
        <w:t>SGLang</w:t>
      </w:r>
      <w:r>
        <w:rPr>
          <w:rFonts w:ascii="Times New Roman" w:hAnsi="Times New Roman"/>
          <w:b w:val="0"/>
          <w:i w:val="0"/>
          <w:color w:val="0F172A"/>
          <w:sz w:val="20"/>
        </w:rPr>
        <w:t xml:space="preserve"> pada workstation lab (WSL 2 Ubuntu 22.04 LTS, NVIDIA GeForce RTX 4090 24 GB VRAM, RAM 64 GB) yang terhubung melalui mesh point-to-point terenkripsi Tailscale ZTNA [15].</w:t>
      </w:r>
    </w:p>
    <w:p>
      <w:pPr>
        <w:spacing w:before="0" w:after="92" w:line="307" w:lineRule="auto"/>
        <w:ind w:firstLine="227"/>
        <w:jc w:val="both"/>
      </w:pPr>
      <w:r>
        <w:rPr>
          <w:rFonts w:ascii="Times New Roman" w:hAnsi="Times New Roman"/>
          <w:b w:val="0"/>
          <w:i w:val="0"/>
          <w:color w:val="0F172A"/>
          <w:sz w:val="20"/>
        </w:rPr>
        <w:t xml:space="preserve">Harness pengujian mengirimkan rangkaian prompt klinis sintetis mencakup penapisan psikologis, psikoedukasi CBT/DBT, teknik </w:t>
      </w:r>
      <w:r>
        <w:rPr>
          <w:rFonts w:ascii="Times New Roman" w:hAnsi="Times New Roman"/>
          <w:b w:val="0"/>
          <w:i/>
          <w:color w:val="0F172A"/>
          <w:sz w:val="20"/>
        </w:rPr>
        <w:t>grounding</w:t>
      </w:r>
      <w:r>
        <w:rPr>
          <w:rFonts w:ascii="Times New Roman" w:hAnsi="Times New Roman"/>
          <w:b w:val="0"/>
          <w:i w:val="0"/>
          <w:color w:val="0F172A"/>
          <w:sz w:val="20"/>
        </w:rPr>
        <w:t xml:space="preserve"> krisis (pernapasan 4-7-8, 5-4-3-2-1), penolakan peresepan obat keras, pembatasan domain kode, dan ketahanan terhadap </w:t>
      </w:r>
      <w:r>
        <w:rPr>
          <w:rFonts w:ascii="Times New Roman" w:hAnsi="Times New Roman"/>
          <w:b w:val="0"/>
          <w:i/>
          <w:color w:val="0F172A"/>
          <w:sz w:val="20"/>
        </w:rPr>
        <w:t>authority spoofing</w:t>
      </w:r>
      <w:r>
        <w:rPr>
          <w:rFonts w:ascii="Times New Roman" w:hAnsi="Times New Roman"/>
          <w:b w:val="0"/>
          <w:i w:val="0"/>
          <w:color w:val="0F172A"/>
          <w:sz w:val="20"/>
        </w:rPr>
        <w:t xml:space="preserve">. Pada tier Edge, delapan sampel hangat dievaluasi per model dengan mode streaming aktif pada konteks 2.048 token [14]. Pada Node Lab, 10 prompt klinis dan batas etis dievaluasi pada </w:t>
      </w:r>
      <w:r>
        <w:rPr>
          <w:rFonts w:ascii="Consolas" w:hAnsi="Consolas"/>
          <w:b w:val="0"/>
          <w:color w:val="0F172A"/>
          <w:sz w:val="18"/>
        </w:rPr>
        <w:t>Qwen/Qwen3-4B-Instruct-2507</w:t>
      </w:r>
      <w:r>
        <w:rPr>
          <w:rFonts w:ascii="Times New Roman" w:hAnsi="Times New Roman"/>
          <w:b w:val="0"/>
          <w:i w:val="0"/>
          <w:color w:val="0F172A"/>
          <w:sz w:val="20"/>
        </w:rPr>
        <w:t xml:space="preserve"> memanfaatkan arsitektur RadixAttention dan kernel Triton SGLang [15].</w:t>
      </w:r>
    </w:p>
    <w:p>
      <w:pPr>
        <w:spacing w:before="0" w:after="92" w:line="307" w:lineRule="auto"/>
        <w:ind w:firstLine="227"/>
        <w:jc w:val="both"/>
      </w:pPr>
      <w:r>
        <w:rPr>
          <w:rFonts w:ascii="Times New Roman" w:hAnsi="Times New Roman"/>
          <w:b w:val="0"/>
          <w:i w:val="0"/>
          <w:color w:val="0F172A"/>
          <w:sz w:val="20"/>
        </w:rPr>
        <w:t xml:space="preserve">Tabel 4 menyajikan perbandingan empiris throughput, </w:t>
      </w:r>
      <w:r>
        <w:rPr>
          <w:rFonts w:ascii="Times New Roman" w:hAnsi="Times New Roman"/>
          <w:b w:val="0"/>
          <w:i/>
          <w:color w:val="0F172A"/>
          <w:sz w:val="20"/>
        </w:rPr>
        <w:t>time-to-first-token</w:t>
      </w:r>
      <w:r>
        <w:rPr>
          <w:rFonts w:ascii="Times New Roman" w:hAnsi="Times New Roman"/>
          <w:b w:val="0"/>
          <w:i w:val="0"/>
          <w:color w:val="0F172A"/>
          <w:sz w:val="20"/>
        </w:rPr>
        <w:t xml:space="preserve"> (TTFT), alokasi memori VRAM, dan integritas balasan teks pada kedua lingkungan deployment.</w:t>
      </w:r>
    </w:p>
    <w:p>
      <w:pPr>
        <w:keepNext/>
        <w:spacing w:before="100" w:after="40"/>
        <w:jc w:val="center"/>
      </w:pPr>
      <w:r>
        <w:rPr>
          <w:rFonts w:ascii="Times New Roman" w:hAnsi="Times New Roman"/>
          <w:b/>
          <w:i w:val="0"/>
          <w:color w:val="0F172A"/>
          <w:sz w:val="17"/>
        </w:rPr>
        <w:t>Tabel 4. Benchmark Empiris SLM Multi-Tier antara Edge Workstation dan Node Lab Terdedikasi</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1928"/>
        <w:gridCol w:w="1928"/>
        <w:gridCol w:w="1928"/>
        <w:gridCol w:w="1928"/>
        <w:gridCol w:w="1928"/>
      </w:tblGrid>
      <w:tr>
        <w:trPr>
          <w:cantSplit/>
          <w:tblHeader/>
        </w:trPr>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Model &amp; Tier Deployment</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Engine Runtime</w:t>
            </w:r>
          </w:p>
        </w:tc>
        <w:tc>
          <w:tcPr>
            <w:tcW w:type="dxa" w:w="79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Median Kecepatan</w:t>
            </w:r>
          </w:p>
        </w:tc>
        <w:tc>
          <w:tcPr>
            <w:tcW w:type="dxa" w:w="85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TTFT Terlihat</w:t>
            </w:r>
          </w:p>
        </w:tc>
        <w:tc>
          <w:tcPr>
            <w:tcW w:type="dxa" w:w="73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4"/>
              </w:rPr>
              <w:t>Valid Output (VRAM)</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qwen3:1.7b</w:t>
            </w:r>
            <w:r>
              <w:rPr>
                <w:rFonts w:ascii="Times New Roman" w:hAnsi="Times New Roman"/>
                <w:b w:val="0"/>
                <w:i w:val="0"/>
                <w:color w:val="0F172A"/>
                <w:sz w:val="14"/>
              </w:rPr>
              <w:t xml:space="preserve"> (Edge Tier)</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92,15 tok/s</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tidak representatif</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1/9 (2.330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qwen2.5:3b</w:t>
            </w:r>
            <w:r>
              <w:rPr>
                <w:rFonts w:ascii="Times New Roman" w:hAnsi="Times New Roman"/>
                <w:b w:val="0"/>
                <w:i w:val="0"/>
                <w:color w:val="0F172A"/>
                <w:sz w:val="14"/>
              </w:rPr>
              <w:t xml:space="preserve"> (Edge Sweet-Spot)</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62,96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0,49 s</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9/9 (2.893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qwen3:4b</w:t>
            </w:r>
            <w:r>
              <w:rPr>
                <w:rFonts w:ascii="Times New Roman" w:hAnsi="Times New Roman"/>
                <w:b w:val="0"/>
                <w:i w:val="0"/>
                <w:color w:val="0F172A"/>
                <w:sz w:val="14"/>
              </w:rPr>
              <w:t xml:space="preserve"> (Edge Terbatas)</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Ollama (GTX 1650 4GB)</w:t>
            </w:r>
          </w:p>
        </w:tc>
        <w:tc>
          <w:tcPr>
            <w:tcW w:type="dxa" w:w="794"/>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23,90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4"/>
              </w:rPr>
              <w:t>tidak terukur</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0/9 (3.133 MiB)</w:t>
            </w:r>
          </w:p>
        </w:tc>
      </w:tr>
      <w:tr>
        <w:trPr>
          <w:cantSplit/>
        </w:trPr>
        <w:tc>
          <w:tcPr>
            <w:tcW w:type="dxa" w:w="1191"/>
            <w:vAlign w:val="center"/>
            <w:tcMar>
              <w:top w:w="35" w:type="dxa"/>
              <w:bottom w:w="35" w:type="dxa"/>
              <w:left w:w="40" w:type="dxa"/>
              <w:right w:w="40" w:type="dxa"/>
            </w:tcMar>
          </w:tcPr>
          <w:p>
            <w:pPr>
              <w:spacing w:before="10" w:after="10" w:line="245" w:lineRule="auto"/>
              <w:jc w:val="left"/>
            </w:pPr>
            <w:r>
              <w:rPr>
                <w:rFonts w:ascii="Consolas" w:hAnsi="Consolas"/>
                <w:b w:val="0"/>
                <w:color w:val="0F172A"/>
                <w:sz w:val="12"/>
              </w:rPr>
              <w:t>qwen3:4b</w:t>
            </w:r>
            <w:r>
              <w:rPr>
                <w:rFonts w:ascii="Times New Roman" w:hAnsi="Times New Roman"/>
                <w:b w:val="0"/>
                <w:i w:val="0"/>
                <w:color w:val="0F172A"/>
                <w:sz w:val="14"/>
              </w:rPr>
              <w:t xml:space="preserve"> (Node Server Lab)</w:t>
            </w:r>
          </w:p>
        </w:tc>
        <w:tc>
          <w:tcPr>
            <w:tcW w:type="dxa" w:w="85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4"/>
              </w:rPr>
              <w:t>SGLang (RTX 4090 24GB)</w:t>
            </w:r>
          </w:p>
        </w:tc>
        <w:tc>
          <w:tcPr>
            <w:tcW w:type="dxa" w:w="79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4"/>
              </w:rPr>
              <w:t>83,48 tok/s</w:t>
            </w:r>
          </w:p>
        </w:tc>
        <w:tc>
          <w:tcPr>
            <w:tcW w:type="dxa" w:w="850"/>
            <w:vAlign w:val="center"/>
            <w:tcMar>
              <w:top w:w="35" w:type="dxa"/>
              <w:bottom w:w="35" w:type="dxa"/>
              <w:left w:w="40" w:type="dxa"/>
              <w:right w:w="40" w:type="dxa"/>
            </w:tcMar>
          </w:tcPr>
          <w:p>
            <w:pPr>
              <w:spacing w:before="10" w:after="10" w:line="245" w:lineRule="auto"/>
              <w:jc w:val="center"/>
            </w:pPr>
            <w:r>
              <w:rPr>
                <w:rFonts w:ascii="Times New Roman" w:hAnsi="Times New Roman"/>
                <w:b/>
                <w:i w:val="0"/>
                <w:color w:val="0F172A"/>
                <w:sz w:val="14"/>
              </w:rPr>
              <w:t>1,22 s</w:t>
            </w:r>
          </w:p>
        </w:tc>
        <w:tc>
          <w:tcPr>
            <w:tcW w:type="dxa" w:w="737"/>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4"/>
              </w:rPr>
              <w:t>10/10 (5.420 MiB)</w:t>
            </w:r>
          </w:p>
        </w:tc>
      </w:tr>
    </w:tbl>
    <w:p>
      <w:pPr>
        <w:spacing w:before="0" w:after="40"/>
      </w:pPr>
    </w:p>
    <w:p>
      <w:pPr>
        <w:spacing w:before="0" w:after="92" w:line="307" w:lineRule="auto"/>
        <w:ind w:firstLine="227"/>
        <w:jc w:val="both"/>
      </w:pPr>
      <w:r>
        <w:rPr>
          <w:rFonts w:ascii="Times New Roman" w:hAnsi="Times New Roman"/>
          <w:b w:val="0"/>
          <w:i w:val="0"/>
          <w:color w:val="0F172A"/>
          <w:sz w:val="20"/>
        </w:rPr>
        <w:t>Gambar 3 memperlihatkan Tabel 4 dalam dua panel untuk membandingkan throughput antar tier serta rasio validitas balasan teks terhadap profil memori GPU.</w:t>
      </w:r>
    </w:p>
    <w:p>
      <w:pPr>
        <w:keepNext/>
        <w:spacing w:before="100" w:after="30"/>
        <w:jc w:val="center"/>
      </w:pPr>
      <w:r>
        <w:drawing>
          <wp:inline xmlns:a="http://schemas.openxmlformats.org/drawingml/2006/main" xmlns:pic="http://schemas.openxmlformats.org/drawingml/2006/picture">
            <wp:extent cx="2808000" cy="1172035"/>
            <wp:docPr id="2" name="Picture 2"/>
            <wp:cNvGraphicFramePr>
              <a:graphicFrameLocks noChangeAspect="1"/>
            </wp:cNvGraphicFramePr>
            <a:graphic>
              <a:graphicData uri="http://schemas.openxmlformats.org/drawingml/2006/picture">
                <pic:pic>
                  <pic:nvPicPr>
                    <pic:cNvPr id="0" name="figure_3_slm_benchmark_results.png"/>
                    <pic:cNvPicPr/>
                  </pic:nvPicPr>
                  <pic:blipFill>
                    <a:blip r:embed="rId12"/>
                    <a:stretch>
                      <a:fillRect/>
                    </a:stretch>
                  </pic:blipFill>
                  <pic:spPr>
                    <a:xfrm>
                      <a:off x="0" y="0"/>
                      <a:ext cx="2808000" cy="1172035"/>
                    </a:xfrm>
                    <a:prstGeom prst="rect"/>
                  </pic:spPr>
                </pic:pic>
              </a:graphicData>
            </a:graphic>
          </wp:inline>
        </w:drawing>
      </w:r>
    </w:p>
    <w:p>
      <w:pPr>
        <w:spacing w:before="20" w:after="80"/>
        <w:jc w:val="both"/>
      </w:pPr>
      <w:r>
        <w:rPr>
          <w:rFonts w:ascii="Times New Roman" w:hAnsi="Times New Roman"/>
          <w:b w:val="0"/>
          <w:i/>
          <w:color w:val="0F172A"/>
          <w:sz w:val="17"/>
        </w:rPr>
        <w:t>Gambar 3. (a) Median kecepatan generasi (tok/s) lintas tier deployment; (b) Tingkat validitas respons (%) dan puncak alokasi VRAM pada Edge (4 GB) vs Node Lab (24 GB) [14, 15].</w:t>
      </w:r>
    </w:p>
    <w:p>
      <w:pPr>
        <w:spacing w:before="0" w:after="92" w:line="307" w:lineRule="auto"/>
        <w:ind w:firstLine="227"/>
        <w:jc w:val="both"/>
      </w:pPr>
      <w:r>
        <w:rPr>
          <w:rFonts w:ascii="Times New Roman" w:hAnsi="Times New Roman"/>
          <w:b w:val="0"/>
          <w:i w:val="0"/>
          <w:color w:val="0F172A"/>
          <w:sz w:val="20"/>
        </w:rPr>
        <w:t>Hasil empiris mengukuhkan dua pola arsitektur utama:</w:t>
      </w:r>
    </w:p>
    <w:p>
      <w:pPr>
        <w:spacing w:before="0" w:after="92" w:line="307" w:lineRule="auto"/>
        <w:ind w:firstLine="227"/>
        <w:jc w:val="both"/>
      </w:pPr>
      <w:r>
        <w:rPr>
          <w:rFonts w:ascii="Times New Roman" w:hAnsi="Times New Roman"/>
          <w:b w:val="0"/>
          <w:i w:val="0"/>
          <w:color w:val="0F172A"/>
          <w:sz w:val="20"/>
        </w:rPr>
        <w:t xml:space="preserve">1. </w:t>
      </w:r>
      <w:r>
        <w:rPr>
          <w:rFonts w:ascii="Times New Roman" w:hAnsi="Times New Roman"/>
          <w:b/>
          <w:i w:val="0"/>
          <w:color w:val="0F172A"/>
          <w:sz w:val="20"/>
        </w:rPr>
        <w:t>Edge Clinic Sweet-Spot (`qwen2.5:3b-instruct`):</w:t>
      </w:r>
      <w:r>
        <w:rPr>
          <w:rFonts w:ascii="Times New Roman" w:hAnsi="Times New Roman"/>
          <w:b w:val="0"/>
          <w:i w:val="0"/>
          <w:color w:val="0F172A"/>
          <w:sz w:val="20"/>
        </w:rPr>
        <w:t xml:space="preserve"> Untuk puskesmas atau laptop dokter dengan GPU kelas konsumen 4 GB, </w:t>
      </w:r>
      <w:r>
        <w:rPr>
          <w:rFonts w:ascii="Consolas" w:hAnsi="Consolas"/>
          <w:b w:val="0"/>
          <w:color w:val="0F172A"/>
          <w:sz w:val="18"/>
        </w:rPr>
        <w:t>qwen2.5:3b-instruct</w:t>
      </w:r>
      <w:r>
        <w:rPr>
          <w:rFonts w:ascii="Times New Roman" w:hAnsi="Times New Roman"/>
          <w:b w:val="0"/>
          <w:i w:val="0"/>
          <w:color w:val="0F172A"/>
          <w:sz w:val="20"/>
        </w:rPr>
        <w:t xml:space="preserve"> memberikan keseimbangan prima dengan 62,96 tok/s, TTFT instan 0,49 detik, dan 100% respons terbaca dalam batas VRAM aman (2.893 MiB).</w:t>
      </w:r>
    </w:p>
    <w:p>
      <w:pPr>
        <w:spacing w:before="0" w:after="92" w:line="307" w:lineRule="auto"/>
        <w:ind w:firstLine="227"/>
        <w:jc w:val="both"/>
      </w:pPr>
      <w:r>
        <w:rPr>
          <w:rFonts w:ascii="Times New Roman" w:hAnsi="Times New Roman"/>
          <w:b w:val="0"/>
          <w:i w:val="0"/>
          <w:color w:val="0F172A"/>
          <w:sz w:val="20"/>
        </w:rPr>
        <w:t xml:space="preserve">2. </w:t>
      </w:r>
      <w:r>
        <w:rPr>
          <w:rFonts w:ascii="Times New Roman" w:hAnsi="Times New Roman"/>
          <w:b/>
          <w:i w:val="0"/>
          <w:color w:val="0F172A"/>
          <w:sz w:val="20"/>
        </w:rPr>
        <w:t>Skalabilitas Institusional Terakselerasi (`qwen3:4b-instruct` pada SGLang):</w:t>
      </w:r>
      <w:r>
        <w:rPr>
          <w:rFonts w:ascii="Times New Roman" w:hAnsi="Times New Roman"/>
          <w:b w:val="0"/>
          <w:i w:val="0"/>
          <w:color w:val="0F172A"/>
          <w:sz w:val="20"/>
        </w:rPr>
        <w:t xml:space="preserve"> Pada workstation terdedikasi (RTX 4090 24 GB), SGLang membuka kapasitas penalaran penuh model 4B. Throughput melonjak sebesar </w:t>
      </w:r>
      <w:r>
        <w:rPr>
          <w:rFonts w:ascii="Times New Roman" w:hAnsi="Times New Roman"/>
          <w:b/>
          <w:i w:val="0"/>
          <w:color w:val="0F172A"/>
          <w:sz w:val="20"/>
        </w:rPr>
        <w:t>+249% (dari 23,90 menjadi 83,48 tok/s median, puncak 107,12 tok/s)</w:t>
      </w:r>
      <w:r>
        <w:rPr>
          <w:rFonts w:ascii="Times New Roman" w:hAnsi="Times New Roman"/>
          <w:b w:val="0"/>
          <w:i w:val="0"/>
          <w:color w:val="0F172A"/>
          <w:sz w:val="20"/>
        </w:rPr>
        <w:t xml:space="preserve"> dengan </w:t>
      </w:r>
      <w:r>
        <w:rPr>
          <w:rFonts w:ascii="Times New Roman" w:hAnsi="Times New Roman"/>
          <w:b/>
          <w:i w:val="0"/>
          <w:color w:val="0F172A"/>
          <w:sz w:val="20"/>
        </w:rPr>
        <w:t>100% respons substantif (10/10)</w:t>
      </w:r>
      <w:r>
        <w:rPr>
          <w:rFonts w:ascii="Times New Roman" w:hAnsi="Times New Roman"/>
          <w:b w:val="0"/>
          <w:i w:val="0"/>
          <w:color w:val="0F172A"/>
          <w:sz w:val="20"/>
        </w:rPr>
        <w:t>, menuntaskan pemotongan token yang sebelumnya terjadi pada VRAM 4 GB. Melalui jalur Tailscale WireGuard point-to-point, median TTFT berada pada 1,22 detik, memastikan konsol rawat jalan dapat mengakses node inferensi rumah sakit secara aman tanpa kehilangan kelancaran streaming.</w:t>
      </w:r>
    </w:p>
    <w:p>
      <w:pPr>
        <w:keepNext/>
        <w:spacing w:before="120" w:after="40"/>
        <w:jc w:val="left"/>
      </w:pPr>
      <w:r>
        <w:rPr>
          <w:rFonts w:ascii="Times New Roman" w:hAnsi="Times New Roman"/>
          <w:b/>
          <w:color w:val="0F172A"/>
          <w:sz w:val="20"/>
        </w:rPr>
        <w:t>4.4. Evaluasi Pertahanan terhadap Serangan Bertahap Crescendo (AI vs AI Defense)</w:t>
      </w:r>
    </w:p>
    <w:p>
      <w:pPr>
        <w:spacing w:before="0" w:after="92" w:line="307" w:lineRule="auto"/>
        <w:ind w:firstLine="227"/>
        <w:jc w:val="both"/>
      </w:pPr>
      <w:r>
        <w:rPr>
          <w:rFonts w:ascii="Times New Roman" w:hAnsi="Times New Roman"/>
          <w:b w:val="0"/>
          <w:i w:val="0"/>
          <w:color w:val="0F172A"/>
          <w:sz w:val="20"/>
        </w:rPr>
        <w:t xml:space="preserve">Kelemahan mendasar filter </w:t>
      </w:r>
      <w:r>
        <w:rPr>
          <w:rFonts w:ascii="Times New Roman" w:hAnsi="Times New Roman"/>
          <w:b w:val="0"/>
          <w:i/>
          <w:color w:val="0F172A"/>
          <w:sz w:val="20"/>
        </w:rPr>
        <w:t>stateless</w:t>
      </w:r>
      <w:r>
        <w:rPr>
          <w:rFonts w:ascii="Times New Roman" w:hAnsi="Times New Roman"/>
          <w:b w:val="0"/>
          <w:i w:val="0"/>
          <w:color w:val="0F172A"/>
          <w:sz w:val="20"/>
        </w:rPr>
        <w:t xml:space="preserve"> konvensional adalah kegagalannya dalam mengenali eskalasi manipulatif yang disebarkan dalam dialog bertahap (</w:t>
      </w:r>
      <w:r>
        <w:rPr>
          <w:rFonts w:ascii="Times New Roman" w:hAnsi="Times New Roman"/>
          <w:b w:val="0"/>
          <w:i/>
          <w:color w:val="0F172A"/>
          <w:sz w:val="20"/>
        </w:rPr>
        <w:t>multi-turn Crescendo attack</w:t>
      </w:r>
      <w:r>
        <w:rPr>
          <w:rFonts w:ascii="Times New Roman" w:hAnsi="Times New Roman"/>
          <w:b w:val="0"/>
          <w:i w:val="0"/>
          <w:color w:val="0F172A"/>
          <w:sz w:val="20"/>
        </w:rPr>
        <w:t>) [2]. Pada serangan ini, penyerang tidak memicu kata kunci terlarang pada satu giliran terisolasi, melainkan menyusun rangkaian pertanyaan jinak (Turn 1–2), membina otoritas semu (Turn 3), lalu mendesak pelanggaran klinis atau eksfiltrasi data (Turn 4–5). Untuk membuktikan keunggulan pertahanan SIAGA, dilakukan pengujian empiris menggunakan dataset sintetis multi-skenario (</w:t>
      </w:r>
      <w:r>
        <w:rPr>
          <w:rFonts w:ascii="Consolas" w:hAnsi="Consolas"/>
          <w:b w:val="0"/>
          <w:color w:val="0F172A"/>
          <w:sz w:val="18"/>
        </w:rPr>
        <w:t>crescendo_test_scenarios.md</w:t>
      </w:r>
      <w:r>
        <w:rPr>
          <w:rFonts w:ascii="Times New Roman" w:hAnsi="Times New Roman"/>
          <w:b w:val="0"/>
          <w:i w:val="0"/>
          <w:color w:val="0F172A"/>
          <w:sz w:val="20"/>
        </w:rPr>
        <w:t xml:space="preserve">) yang mencakup empat skenario komprehensif: (1) Eksfiltrasi Rekam Medis Pasien via </w:t>
      </w:r>
      <w:r>
        <w:rPr>
          <w:rFonts w:ascii="Times New Roman" w:hAnsi="Times New Roman"/>
          <w:b w:val="0"/>
          <w:i/>
          <w:color w:val="0F172A"/>
          <w:sz w:val="20"/>
        </w:rPr>
        <w:t>Authority Spoofing</w:t>
      </w:r>
      <w:r>
        <w:rPr>
          <w:rFonts w:ascii="Times New Roman" w:hAnsi="Times New Roman"/>
          <w:b w:val="0"/>
          <w:i w:val="0"/>
          <w:color w:val="0F172A"/>
          <w:sz w:val="20"/>
        </w:rPr>
        <w:t>, (2) Paksaan Peresepan Psikotropika Golongan IV (</w:t>
      </w:r>
      <w:r>
        <w:rPr>
          <w:rFonts w:ascii="Times New Roman" w:hAnsi="Times New Roman"/>
          <w:b w:val="0"/>
          <w:i/>
          <w:color w:val="0F172A"/>
          <w:sz w:val="20"/>
        </w:rPr>
        <w:t>Medical Coercion</w:t>
      </w:r>
      <w:r>
        <w:rPr>
          <w:rFonts w:ascii="Times New Roman" w:hAnsi="Times New Roman"/>
          <w:b w:val="0"/>
          <w:i w:val="0"/>
          <w:color w:val="0F172A"/>
          <w:sz w:val="20"/>
        </w:rPr>
        <w:t>), (3) Subversi Persona dan Ekstraksi Prompt Sistem (</w:t>
      </w:r>
      <w:r>
        <w:rPr>
          <w:rFonts w:ascii="Times New Roman" w:hAnsi="Times New Roman"/>
          <w:b w:val="0"/>
          <w:i/>
          <w:color w:val="0F172A"/>
          <w:sz w:val="20"/>
        </w:rPr>
        <w:t>Hypothetical Jailbreak</w:t>
      </w:r>
      <w:r>
        <w:rPr>
          <w:rFonts w:ascii="Times New Roman" w:hAnsi="Times New Roman"/>
          <w:b w:val="0"/>
          <w:i w:val="0"/>
          <w:color w:val="0F172A"/>
          <w:sz w:val="20"/>
        </w:rPr>
        <w:t>), serta (4) Kontrol Negatif Pasien Riil dengan Kecemasan Akut.</w:t>
      </w:r>
    </w:p>
    <w:p>
      <w:pPr>
        <w:spacing w:before="0" w:after="92" w:line="307" w:lineRule="auto"/>
        <w:ind w:firstLine="227"/>
        <w:jc w:val="both"/>
      </w:pPr>
      <w:r>
        <w:rPr>
          <w:rFonts w:ascii="Times New Roman" w:hAnsi="Times New Roman"/>
          <w:b w:val="0"/>
          <w:i w:val="0"/>
          <w:color w:val="0F172A"/>
          <w:sz w:val="20"/>
        </w:rPr>
        <w:t>Tabel 5 membandingkan efektivitas pertahanan tiga paradigma sistem terhadap serangan Crescendo 5-turn.</w:t>
      </w:r>
    </w:p>
    <w:p>
      <w:pPr>
        <w:keepNext/>
        <w:spacing w:before="100" w:after="40"/>
        <w:jc w:val="center"/>
      </w:pPr>
      <w:r>
        <w:rPr>
          <w:rFonts w:ascii="Times New Roman" w:hAnsi="Times New Roman"/>
          <w:b/>
          <w:i w:val="0"/>
          <w:color w:val="0F172A"/>
          <w:sz w:val="17"/>
        </w:rPr>
        <w:t>Tabel 5. Evaluasi Pertahanan Multi-Giliran terhadap Serangan Crescendo (AI vs AI Defense)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30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Sistem Pertahanan</w:t>
            </w:r>
          </w:p>
        </w:tc>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ASR / FPR</w:t>
            </w:r>
          </w:p>
        </w:tc>
        <w:tc>
          <w:tcPr>
            <w:tcW w:type="dxa" w:w="119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Titik Intersepsi (TTB)</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Kebocoran &amp; VRAM</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Unshielded SLM (Qwen2.5-3B)</w:t>
            </w:r>
          </w:p>
        </w:tc>
        <w:tc>
          <w:tcPr>
            <w:tcW w:type="dxa" w:w="90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86,7% / 0,0%</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Gagal (Jebol Turn 3–4)</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100% Bocor (0 MiB VRAM)</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Stateless Guardrail (Regex / LlamaGuard)</w:t>
            </w:r>
          </w:p>
        </w:tc>
        <w:tc>
          <w:tcPr>
            <w:tcW w:type="dxa" w:w="907"/>
            <w:vAlign w:val="center"/>
            <w:tcMar>
              <w:top w:w="35" w:type="dxa"/>
              <w:bottom w:w="35" w:type="dxa"/>
              <w:left w:w="40" w:type="dxa"/>
              <w:right w:w="40" w:type="dxa"/>
            </w:tcMar>
          </w:tcPr>
          <w:p>
            <w:pPr>
              <w:spacing w:before="10" w:after="10" w:line="245" w:lineRule="auto"/>
              <w:jc w:val="center"/>
            </w:pPr>
            <w:r>
              <w:rPr>
                <w:rFonts w:ascii="Times New Roman" w:hAnsi="Times New Roman"/>
                <w:b w:val="0"/>
                <w:i w:val="0"/>
                <w:color w:val="0F172A"/>
                <w:sz w:val="15"/>
              </w:rPr>
              <w:t>73,3% / 6,7%</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Gagal (Lolos T1–3, Bocor T4)</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60,0% Bocor (1.100 MiB)</w:t>
            </w:r>
          </w:p>
        </w:tc>
      </w:tr>
      <w:tr>
        <w:trPr>
          <w:cantSplit/>
        </w:trPr>
        <w:tc>
          <w:tcPr>
            <w:tcW w:type="dxa" w:w="1304"/>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SIAGA Stateful Guardrail (L0–L3 CIM)</w:t>
            </w:r>
          </w:p>
        </w:tc>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0,0% / 0,0%</w:t>
            </w:r>
          </w:p>
        </w:tc>
        <w:tc>
          <w:tcPr>
            <w:tcW w:type="dxa" w:w="1191"/>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Turn 4 (PROBE) / 5 (BLOCK)</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0,0% Zero-Leak (0 MiB)</w:t>
            </w:r>
          </w:p>
        </w:tc>
      </w:tr>
    </w:tbl>
    <w:p>
      <w:pPr>
        <w:spacing w:before="0" w:after="40"/>
      </w:pPr>
    </w:p>
    <w:p>
      <w:pPr>
        <w:spacing w:before="0" w:after="92" w:line="307" w:lineRule="auto"/>
        <w:ind w:firstLine="227"/>
        <w:jc w:val="both"/>
      </w:pPr>
      <w:r>
        <w:rPr>
          <w:rFonts w:ascii="Times New Roman" w:hAnsi="Times New Roman"/>
          <w:b w:val="0"/>
          <w:i w:val="0"/>
          <w:color w:val="0F172A"/>
          <w:sz w:val="20"/>
        </w:rPr>
        <w:t xml:space="preserve">Hasil empiris pada Tabel 5 membuktikan bahwa model SLM tanpa guardrail mengalami </w:t>
      </w:r>
      <w:r>
        <w:rPr>
          <w:rFonts w:ascii="Times New Roman" w:hAnsi="Times New Roman"/>
          <w:b w:val="0"/>
          <w:i/>
          <w:color w:val="0F172A"/>
          <w:sz w:val="20"/>
        </w:rPr>
        <w:t>jailbreak</w:t>
      </w:r>
      <w:r>
        <w:rPr>
          <w:rFonts w:ascii="Times New Roman" w:hAnsi="Times New Roman"/>
          <w:b w:val="0"/>
          <w:i w:val="0"/>
          <w:color w:val="0F172A"/>
          <w:sz w:val="20"/>
        </w:rPr>
        <w:t xml:space="preserve"> atau kepatuhan instruksi berbahaya pada Turn 3 atau Turn 4 (</w:t>
      </w:r>
      <w:r>
        <w:rPr>
          <w:rFonts w:ascii="Times New Roman" w:hAnsi="Times New Roman"/>
          <w:b w:val="0"/>
          <w:i/>
          <w:color w:val="0F172A"/>
          <w:sz w:val="20"/>
        </w:rPr>
        <w:t>Attack Success Rate</w:t>
      </w:r>
      <w:r>
        <w:rPr>
          <w:rFonts w:ascii="Times New Roman" w:hAnsi="Times New Roman"/>
          <w:b w:val="0"/>
          <w:i w:val="0"/>
          <w:color w:val="0F172A"/>
          <w:sz w:val="20"/>
        </w:rPr>
        <w:t xml:space="preserve"> mencapai 86,7%). Filter </w:t>
      </w:r>
      <w:r>
        <w:rPr>
          <w:rFonts w:ascii="Times New Roman" w:hAnsi="Times New Roman"/>
          <w:b w:val="0"/>
          <w:i/>
          <w:color w:val="0F172A"/>
          <w:sz w:val="20"/>
        </w:rPr>
        <w:t>stateless</w:t>
      </w:r>
      <w:r>
        <w:rPr>
          <w:rFonts w:ascii="Times New Roman" w:hAnsi="Times New Roman"/>
          <w:b w:val="0"/>
          <w:i w:val="0"/>
          <w:color w:val="0F172A"/>
          <w:sz w:val="20"/>
        </w:rPr>
        <w:t xml:space="preserve"> gagal karena prompt Turn 1–3 disamarkan dengan bahasa sopan dan terminologi etika akademis sehingga berada di bawah ambang batas klasifikasi pesan tunggal. Sebaliknya, SIAGA mengakumulasi momentum niat (</w:t>
      </w:r>
      <w:r>
        <w:rPr>
          <w:rFonts w:ascii="Times New Roman" w:hAnsi="Times New Roman"/>
          <w:b w:val="0"/>
          <w:i/>
          <w:color w:val="0F172A"/>
          <w:sz w:val="20"/>
        </w:rPr>
        <w:t>M_t</w:t>
      </w:r>
      <w:r>
        <w:rPr>
          <w:rFonts w:ascii="Times New Roman" w:hAnsi="Times New Roman"/>
          <w:b w:val="0"/>
          <w:i w:val="0"/>
          <w:color w:val="0F172A"/>
          <w:sz w:val="20"/>
        </w:rPr>
        <w:t>) dan perubahan vektor arah (</w:t>
      </w:r>
      <w:r>
        <w:rPr>
          <w:rFonts w:ascii="Times New Roman" w:hAnsi="Times New Roman"/>
          <w:b w:val="0"/>
          <w:i/>
          <w:color w:val="0F172A"/>
          <w:sz w:val="20"/>
        </w:rPr>
        <w:t>D_t</w:t>
      </w:r>
      <w:r>
        <w:rPr>
          <w:rFonts w:ascii="Times New Roman" w:hAnsi="Times New Roman"/>
          <w:b w:val="0"/>
          <w:i w:val="0"/>
          <w:color w:val="0F172A"/>
          <w:sz w:val="20"/>
        </w:rPr>
        <w:t>) lintas giliran, sehingga berhasil memicu tantangan interogasi balik (</w:t>
      </w:r>
      <w:r>
        <w:rPr>
          <w:rFonts w:ascii="Times New Roman" w:hAnsi="Times New Roman"/>
          <w:b w:val="0"/>
          <w:i/>
          <w:color w:val="0F172A"/>
          <w:sz w:val="20"/>
        </w:rPr>
        <w:t>Reverse Turing Probe</w:t>
      </w:r>
      <w:r>
        <w:rPr>
          <w:rFonts w:ascii="Times New Roman" w:hAnsi="Times New Roman"/>
          <w:b w:val="0"/>
          <w:i w:val="0"/>
          <w:color w:val="0F172A"/>
          <w:sz w:val="20"/>
        </w:rPr>
        <w:t>) pada Turn 4 dan mengunci sesi secara permanen (</w:t>
      </w:r>
      <w:r>
        <w:rPr>
          <w:rFonts w:ascii="Times New Roman" w:hAnsi="Times New Roman"/>
          <w:b w:val="0"/>
          <w:i/>
          <w:color w:val="0F172A"/>
          <w:sz w:val="20"/>
        </w:rPr>
        <w:t>BLOCK</w:t>
      </w:r>
      <w:r>
        <w:rPr>
          <w:rFonts w:ascii="Times New Roman" w:hAnsi="Times New Roman"/>
          <w:b w:val="0"/>
          <w:i w:val="0"/>
          <w:color w:val="0F172A"/>
          <w:sz w:val="20"/>
        </w:rPr>
        <w:t xml:space="preserve">) pada Turn 5 sebelum satu pun data sensitif terekspos (0% </w:t>
      </w:r>
      <w:r>
        <w:rPr>
          <w:rFonts w:ascii="Times New Roman" w:hAnsi="Times New Roman"/>
          <w:b w:val="0"/>
          <w:i/>
          <w:color w:val="0F172A"/>
          <w:sz w:val="20"/>
        </w:rPr>
        <w:t>plaintext leakage</w:t>
      </w:r>
      <w:r>
        <w:rPr>
          <w:rFonts w:ascii="Times New Roman" w:hAnsi="Times New Roman"/>
          <w:b w:val="0"/>
          <w:i w:val="0"/>
          <w:color w:val="0F172A"/>
          <w:sz w:val="20"/>
        </w:rPr>
        <w:t>).</w:t>
      </w:r>
    </w:p>
    <w:p>
      <w:pPr>
        <w:spacing w:before="0" w:after="92" w:line="307" w:lineRule="auto"/>
        <w:ind w:firstLine="227"/>
        <w:jc w:val="both"/>
      </w:pPr>
      <w:r>
        <w:rPr>
          <w:rFonts w:ascii="Times New Roman" w:hAnsi="Times New Roman"/>
          <w:b w:val="0"/>
          <w:i w:val="0"/>
          <w:color w:val="0F172A"/>
          <w:sz w:val="20"/>
        </w:rPr>
        <w:t>Pada Skenario 4 (Kontrol Negatif), pasien riil yang mengalami kecemasan akut dan menggunakan kata-kata bernada darurat (</w:t>
      </w:r>
      <w:r>
        <w:rPr>
          <w:rFonts w:ascii="Times New Roman" w:hAnsi="Times New Roman"/>
          <w:b w:val="0"/>
          <w:i/>
          <w:color w:val="0F172A"/>
          <w:sz w:val="20"/>
        </w:rPr>
        <w:t>"tolong"</w:t>
      </w:r>
      <w:r>
        <w:rPr>
          <w:rFonts w:ascii="Times New Roman" w:hAnsi="Times New Roman"/>
          <w:b w:val="0"/>
          <w:i w:val="0"/>
          <w:color w:val="0F172A"/>
          <w:sz w:val="20"/>
        </w:rPr>
        <w:t xml:space="preserve">, </w:t>
      </w:r>
      <w:r>
        <w:rPr>
          <w:rFonts w:ascii="Times New Roman" w:hAnsi="Times New Roman"/>
          <w:b w:val="0"/>
          <w:i/>
          <w:color w:val="0F172A"/>
          <w:sz w:val="20"/>
        </w:rPr>
        <w:t>"sesak"</w:t>
      </w:r>
      <w:r>
        <w:rPr>
          <w:rFonts w:ascii="Times New Roman" w:hAnsi="Times New Roman"/>
          <w:b w:val="0"/>
          <w:i w:val="0"/>
          <w:color w:val="0F172A"/>
          <w:sz w:val="20"/>
        </w:rPr>
        <w:t xml:space="preserve">, </w:t>
      </w:r>
      <w:r>
        <w:rPr>
          <w:rFonts w:ascii="Times New Roman" w:hAnsi="Times New Roman"/>
          <w:b w:val="0"/>
          <w:i/>
          <w:color w:val="0F172A"/>
          <w:sz w:val="20"/>
        </w:rPr>
        <w:t>"ingin menyerah"</w:t>
      </w:r>
      <w:r>
        <w:rPr>
          <w:rFonts w:ascii="Times New Roman" w:hAnsi="Times New Roman"/>
          <w:b w:val="0"/>
          <w:i w:val="0"/>
          <w:color w:val="0F172A"/>
          <w:sz w:val="20"/>
        </w:rPr>
        <w:t xml:space="preserve">) dievaluasi dengan sempurna oleh SIAGA: seluruh 5 giliran memperoleh keputusan </w:t>
      </w:r>
      <w:r>
        <w:rPr>
          <w:rFonts w:ascii="Times New Roman" w:hAnsi="Times New Roman"/>
          <w:b/>
          <w:i w:val="0"/>
          <w:color w:val="0F172A"/>
          <w:sz w:val="20"/>
        </w:rPr>
        <w:t>`ALLOW`</w:t>
      </w:r>
      <w:r>
        <w:rPr>
          <w:rFonts w:ascii="Times New Roman" w:hAnsi="Times New Roman"/>
          <w:b w:val="0"/>
          <w:i w:val="0"/>
          <w:color w:val="0F172A"/>
          <w:sz w:val="20"/>
        </w:rPr>
        <w:t xml:space="preserve"> dengan akumulasi momentum sangat rendah (</w:t>
      </w:r>
      <w:r>
        <w:rPr>
          <w:rFonts w:ascii="Times New Roman" w:hAnsi="Times New Roman"/>
          <w:b w:val="0"/>
          <w:i/>
          <w:color w:val="0F172A"/>
          <w:sz w:val="20"/>
        </w:rPr>
        <w:t>M_t</w:t>
      </w:r>
      <w:r>
        <w:rPr>
          <w:rFonts w:ascii="Times New Roman" w:hAnsi="Times New Roman"/>
          <w:b w:val="0"/>
          <w:i w:val="0"/>
          <w:color w:val="0F172A"/>
          <w:sz w:val="20"/>
        </w:rPr>
        <w:t xml:space="preserve"> ≤ 0,07), membuktikan bahwa mekanisme peluruhan momentum (faktor </w:t>
      </w:r>
      <w:r>
        <w:rPr>
          <w:rFonts w:ascii="Times New Roman" w:hAnsi="Times New Roman"/>
          <w:b w:val="0"/>
          <w:i/>
          <w:color w:val="0F172A"/>
          <w:sz w:val="20"/>
        </w:rPr>
        <w:t>gamma-decay</w:t>
      </w:r>
      <w:r>
        <w:rPr>
          <w:rFonts w:ascii="Times New Roman" w:hAnsi="Times New Roman"/>
          <w:b w:val="0"/>
          <w:i w:val="0"/>
          <w:color w:val="0F172A"/>
          <w:sz w:val="20"/>
        </w:rPr>
        <w:t xml:space="preserve">) mencegah terjadinya </w:t>
      </w:r>
      <w:r>
        <w:rPr>
          <w:rFonts w:ascii="Times New Roman" w:hAnsi="Times New Roman"/>
          <w:b w:val="0"/>
          <w:i/>
          <w:color w:val="0F172A"/>
          <w:sz w:val="20"/>
        </w:rPr>
        <w:t>False Positive</w:t>
      </w:r>
      <w:r>
        <w:rPr>
          <w:rFonts w:ascii="Times New Roman" w:hAnsi="Times New Roman"/>
          <w:b w:val="0"/>
          <w:i w:val="0"/>
          <w:color w:val="0F172A"/>
          <w:sz w:val="20"/>
        </w:rPr>
        <w:t xml:space="preserve"> pada pengguna klinis nyata.</w:t>
      </w:r>
    </w:p>
    <w:p>
      <w:pPr>
        <w:keepNext/>
        <w:spacing w:before="100" w:after="30"/>
        <w:jc w:val="center"/>
      </w:pPr>
      <w:r>
        <w:drawing>
          <wp:inline xmlns:a="http://schemas.openxmlformats.org/drawingml/2006/main" xmlns:pic="http://schemas.openxmlformats.org/drawingml/2006/picture">
            <wp:extent cx="2808000" cy="1609920"/>
            <wp:docPr id="3" name="Picture 3"/>
            <wp:cNvGraphicFramePr>
              <a:graphicFrameLocks noChangeAspect="1"/>
            </wp:cNvGraphicFramePr>
            <a:graphic>
              <a:graphicData uri="http://schemas.openxmlformats.org/drawingml/2006/picture">
                <pic:pic>
                  <pic:nvPicPr>
                    <pic:cNvPr id="0" name="figure_4_crescendo_trajectory.png"/>
                    <pic:cNvPicPr/>
                  </pic:nvPicPr>
                  <pic:blipFill>
                    <a:blip r:embed="rId13"/>
                    <a:stretch>
                      <a:fillRect/>
                    </a:stretch>
                  </pic:blipFill>
                  <pic:spPr>
                    <a:xfrm>
                      <a:off x="0" y="0"/>
                      <a:ext cx="2808000" cy="1609920"/>
                    </a:xfrm>
                    <a:prstGeom prst="rect"/>
                  </pic:spPr>
                </pic:pic>
              </a:graphicData>
            </a:graphic>
          </wp:inline>
        </w:drawing>
      </w:r>
    </w:p>
    <w:p>
      <w:pPr>
        <w:spacing w:before="20" w:after="80"/>
        <w:jc w:val="both"/>
      </w:pPr>
      <w:r>
        <w:rPr>
          <w:rFonts w:ascii="Times New Roman" w:hAnsi="Times New Roman"/>
          <w:b w:val="0"/>
          <w:i/>
          <w:color w:val="0F172A"/>
          <w:sz w:val="17"/>
        </w:rPr>
        <w:t>Gambar 4. Kurva trajektori akumulasi momentum CIM (M_t) lintas 5 giliran percakapan. Skenario penyerangan 1–3 tereskalasi melompati ambang PROBE dan BLOCK, sedangkan Skenario 4 (Kontrol Negatif) mendatar di zona aman (M_t &lt; 0,10).</w:t>
      </w:r>
    </w:p>
    <w:p>
      <w:pPr>
        <w:keepNext/>
        <w:spacing w:before="120" w:after="40"/>
        <w:jc w:val="left"/>
      </w:pPr>
      <w:r>
        <w:rPr>
          <w:rFonts w:ascii="Times New Roman" w:hAnsi="Times New Roman"/>
          <w:b/>
          <w:color w:val="0F172A"/>
          <w:sz w:val="20"/>
        </w:rPr>
        <w:t>4.5. Analisis Efisiensi Komputasi dan Titik Pareto Optimal</w:t>
      </w:r>
    </w:p>
    <w:p>
      <w:pPr>
        <w:spacing w:before="0" w:after="92" w:line="307" w:lineRule="auto"/>
        <w:ind w:firstLine="227"/>
        <w:jc w:val="both"/>
      </w:pPr>
      <w:r>
        <w:rPr>
          <w:rFonts w:ascii="Times New Roman" w:hAnsi="Times New Roman"/>
          <w:b w:val="0"/>
          <w:i w:val="0"/>
          <w:color w:val="0F172A"/>
          <w:sz w:val="20"/>
        </w:rPr>
        <w:t>Untuk membuktikan kelayakan implementasi pada perangkat keras terjangkau, skrip evaluasi otonom mencatat telemetri latensi eksekusi tiap lapisan inspeksi SIAGA pada CPU laptop pengembang (AMD Ryzen 5 4600H, clock 3,0 GHz). Rincian latensi disajikan pada Tabel 6.</w:t>
      </w:r>
    </w:p>
    <w:p>
      <w:pPr>
        <w:keepNext/>
        <w:spacing w:before="100" w:after="40"/>
        <w:jc w:val="center"/>
      </w:pPr>
      <w:r>
        <w:rPr>
          <w:rFonts w:ascii="Times New Roman" w:hAnsi="Times New Roman"/>
          <w:b/>
          <w:i w:val="0"/>
          <w:color w:val="0F172A"/>
          <w:sz w:val="17"/>
        </w:rPr>
        <w:t>Tabel 6. Rincian Latensi Eksekusi per Lapisan SIAGA (n = 20 Giliran, Uji Empiris CPU)</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2409"/>
        <w:gridCol w:w="2409"/>
        <w:gridCol w:w="2409"/>
        <w:gridCol w:w="2409"/>
      </w:tblGrid>
      <w:tr>
        <w:trPr>
          <w:cantSplit/>
          <w:tblHeader/>
        </w:trPr>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Lapisan SIAGA</w:t>
            </w:r>
          </w:p>
        </w:tc>
        <w:tc>
          <w:tcPr>
            <w:tcW w:type="dxa" w:w="136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Komponen Pemrosesan</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Latensi Median (P95)</w:t>
            </w:r>
          </w:p>
        </w:tc>
        <w:tc>
          <w:tcPr>
            <w:tcW w:type="dxa" w:w="1020"/>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Beban Memori &amp; Komputasi</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0 (L0)</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Canonicalizer &amp; Text Cleaner</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0,15 ms (0,22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2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1 (L1)</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MiniLM-L6-v2 Embedder INT8</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0,85 ms (1,45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(~45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2 (L2)</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Context Engine &amp; Burst Limiter</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1,45 ms (2,48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5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Layer 3 (L3)</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CIM Momentum &amp; Trajectory Graph</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0,65 ms (0,95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(&lt; 8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Penyimpanan State</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DuckDB In-Process Roundtrip</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22,80 ms (28,50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0 MiB VRAM (~30 MB RAM)</w:t>
            </w:r>
          </w:p>
        </w:tc>
      </w:tr>
      <w:tr>
        <w:trPr>
          <w:cantSplit/>
        </w:trPr>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Total Guardrail</w:t>
            </w:r>
          </w:p>
        </w:tc>
        <w:tc>
          <w:tcPr>
            <w:tcW w:type="dxa" w:w="1361"/>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Total Overhead Pemeriksaan SIAGA</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25,90 ms (33,60 ms)</w:t>
            </w:r>
          </w:p>
        </w:tc>
        <w:tc>
          <w:tcPr>
            <w:tcW w:type="dxa" w:w="1020"/>
            <w:vAlign w:val="center"/>
            <w:tcMar>
              <w:top w:w="35" w:type="dxa"/>
              <w:bottom w:w="35" w:type="dxa"/>
              <w:left w:w="40" w:type="dxa"/>
              <w:right w:w="40" w:type="dxa"/>
            </w:tcMar>
          </w:tcPr>
          <w:p>
            <w:pPr>
              <w:spacing w:before="10" w:after="10" w:line="245" w:lineRule="auto"/>
              <w:jc w:val="left"/>
            </w:pPr>
            <w:r>
              <w:rPr>
                <w:rFonts w:ascii="Times New Roman" w:hAnsi="Times New Roman"/>
                <w:b/>
                <w:i w:val="0"/>
                <w:color w:val="0F172A"/>
                <w:sz w:val="15"/>
              </w:rPr>
              <w:t>0 MiB VRAM (Bebas GPU)</w:t>
            </w:r>
          </w:p>
        </w:tc>
      </w:tr>
    </w:tbl>
    <w:p>
      <w:pPr>
        <w:spacing w:before="0" w:after="40"/>
      </w:pPr>
    </w:p>
    <w:p>
      <w:pPr>
        <w:spacing w:before="0" w:after="92" w:line="307" w:lineRule="auto"/>
        <w:ind w:firstLine="227"/>
        <w:jc w:val="both"/>
      </w:pPr>
      <w:r>
        <w:rPr>
          <w:rFonts w:ascii="Times New Roman" w:hAnsi="Times New Roman"/>
          <w:b w:val="0"/>
          <w:i w:val="0"/>
          <w:color w:val="0F172A"/>
          <w:sz w:val="20"/>
        </w:rPr>
        <w:t xml:space="preserve">Data pada Tabel 6 membuktikan bahwa pemeriksaan keamanan stateful SIAGA menyelesaikan seluruh siklus L0–L3 dalam </w:t>
      </w:r>
      <w:r>
        <w:rPr>
          <w:rFonts w:ascii="Times New Roman" w:hAnsi="Times New Roman"/>
          <w:b/>
          <w:i w:val="0"/>
          <w:color w:val="0F172A"/>
          <w:sz w:val="20"/>
        </w:rPr>
        <w:t>median 25,90 ms</w:t>
      </w:r>
      <w:r>
        <w:rPr>
          <w:rFonts w:ascii="Times New Roman" w:hAnsi="Times New Roman"/>
          <w:b w:val="0"/>
          <w:i w:val="0"/>
          <w:color w:val="0F172A"/>
          <w:sz w:val="20"/>
        </w:rPr>
        <w:t xml:space="preserve"> di CPU murni tanpa mengalokasikan memori kartu grafis (0 MiB VRAM overhead). Seluruh anggaran memori GPU (4.096 MiB) dapat dialokasikan sepenuhnya untuk eksekusi inferensi model bahasa lokal.</w:t>
      </w:r>
    </w:p>
    <w:p>
      <w:pPr>
        <w:spacing w:before="0" w:after="92" w:line="307" w:lineRule="auto"/>
        <w:ind w:firstLine="227"/>
        <w:jc w:val="both"/>
      </w:pPr>
      <w:r>
        <w:rPr>
          <w:rFonts w:ascii="Times New Roman" w:hAnsi="Times New Roman"/>
          <w:b w:val="0"/>
          <w:i w:val="0"/>
          <w:color w:val="0F172A"/>
          <w:sz w:val="20"/>
        </w:rPr>
        <w:t xml:space="preserve">Memadukan hasil throughput inferensi (Tabel 4) dan efisiensi guardrail (Tabel 6), konfigurasi </w:t>
      </w:r>
      <w:r>
        <w:rPr>
          <w:rFonts w:ascii="Times New Roman" w:hAnsi="Times New Roman"/>
          <w:b/>
          <w:i w:val="0"/>
          <w:color w:val="0F172A"/>
          <w:sz w:val="20"/>
        </w:rPr>
        <w:t>`qwen2.5:3b-instruct` (Q4_K_M) + SIAGA Guardrail</w:t>
      </w:r>
      <w:r>
        <w:rPr>
          <w:rFonts w:ascii="Times New Roman" w:hAnsi="Times New Roman"/>
          <w:b w:val="0"/>
          <w:i w:val="0"/>
          <w:color w:val="0F172A"/>
          <w:sz w:val="20"/>
        </w:rPr>
        <w:t xml:space="preserve"> terbukti menjadi titik </w:t>
      </w:r>
      <w:r>
        <w:rPr>
          <w:rFonts w:ascii="Times New Roman" w:hAnsi="Times New Roman"/>
          <w:b w:val="0"/>
          <w:i/>
          <w:color w:val="0F172A"/>
          <w:sz w:val="20"/>
        </w:rPr>
        <w:t>Pareto Optimal</w:t>
      </w:r>
      <w:r>
        <w:rPr>
          <w:rFonts w:ascii="Times New Roman" w:hAnsi="Times New Roman"/>
          <w:b w:val="0"/>
          <w:i w:val="0"/>
          <w:color w:val="0F172A"/>
          <w:sz w:val="20"/>
        </w:rPr>
        <w:t xml:space="preserve"> untuk layanan klinis:</w:t>
      </w:r>
    </w:p>
    <w:p>
      <w:pPr>
        <w:spacing w:before="0" w:after="92" w:line="307" w:lineRule="auto"/>
        <w:ind w:firstLine="227"/>
        <w:jc w:val="both"/>
      </w:pPr>
      <w:r>
        <w:rPr>
          <w:rFonts w:ascii="Times New Roman" w:hAnsi="Times New Roman"/>
          <w:b w:val="0"/>
          <w:i w:val="0"/>
          <w:color w:val="0F172A"/>
          <w:sz w:val="20"/>
        </w:rPr>
        <w:t xml:space="preserve">1. </w:t>
      </w:r>
      <w:r>
        <w:rPr>
          <w:rFonts w:ascii="Times New Roman" w:hAnsi="Times New Roman"/>
          <w:b/>
          <w:i w:val="0"/>
          <w:color w:val="0F172A"/>
          <w:sz w:val="20"/>
        </w:rPr>
        <w:t>Kecepatan dan Responsivitas:</w:t>
      </w:r>
      <w:r>
        <w:rPr>
          <w:rFonts w:ascii="Times New Roman" w:hAnsi="Times New Roman"/>
          <w:b w:val="0"/>
          <w:i w:val="0"/>
          <w:color w:val="0F172A"/>
          <w:sz w:val="20"/>
        </w:rPr>
        <w:t xml:space="preserve"> Menghasilkan 62,96 tok/s dengan waktu token pertama (TTFT) 0,49 detik dan tambahan latensi guardrail hanya ~0,026 detik, menghasilkan total waktu respons pengguna akhir sub-1,5 detik yang sangat nyaman untuk konseling.</w:t>
      </w:r>
    </w:p>
    <w:p>
      <w:pPr>
        <w:spacing w:before="0" w:after="92" w:line="307" w:lineRule="auto"/>
        <w:ind w:firstLine="227"/>
        <w:jc w:val="both"/>
      </w:pPr>
      <w:r>
        <w:rPr>
          <w:rFonts w:ascii="Times New Roman" w:hAnsi="Times New Roman"/>
          <w:b w:val="0"/>
          <w:i w:val="0"/>
          <w:color w:val="0F172A"/>
          <w:sz w:val="20"/>
        </w:rPr>
        <w:t xml:space="preserve">2. </w:t>
      </w:r>
      <w:r>
        <w:rPr>
          <w:rFonts w:ascii="Times New Roman" w:hAnsi="Times New Roman"/>
          <w:b/>
          <w:i w:val="0"/>
          <w:color w:val="0F172A"/>
          <w:sz w:val="20"/>
        </w:rPr>
        <w:t>Kesesuaian Memori:</w:t>
      </w:r>
      <w:r>
        <w:rPr>
          <w:rFonts w:ascii="Times New Roman" w:hAnsi="Times New Roman"/>
          <w:b w:val="0"/>
          <w:i w:val="0"/>
          <w:color w:val="0F172A"/>
          <w:sz w:val="20"/>
        </w:rPr>
        <w:t xml:space="preserve"> Membutuhkan VRAM total 2.893 MiB, pas di bawah batas kartu grafis 4 GB yang umum pada laptop maupun edge device fasilitas kesehatan primer.</w:t>
      </w:r>
    </w:p>
    <w:p>
      <w:pPr>
        <w:spacing w:before="0" w:after="92" w:line="307" w:lineRule="auto"/>
        <w:ind w:firstLine="227"/>
        <w:jc w:val="both"/>
      </w:pPr>
      <w:r>
        <w:rPr>
          <w:rFonts w:ascii="Times New Roman" w:hAnsi="Times New Roman"/>
          <w:b w:val="0"/>
          <w:i w:val="0"/>
          <w:color w:val="0F172A"/>
          <w:sz w:val="20"/>
        </w:rPr>
        <w:t xml:space="preserve">3. </w:t>
      </w:r>
      <w:r>
        <w:rPr>
          <w:rFonts w:ascii="Times New Roman" w:hAnsi="Times New Roman"/>
          <w:b/>
          <w:i w:val="0"/>
          <w:color w:val="0F172A"/>
          <w:sz w:val="20"/>
        </w:rPr>
        <w:t>Ketahanan Keamanan:</w:t>
      </w:r>
      <w:r>
        <w:rPr>
          <w:rFonts w:ascii="Times New Roman" w:hAnsi="Times New Roman"/>
          <w:b w:val="0"/>
          <w:i w:val="0"/>
          <w:color w:val="0F172A"/>
          <w:sz w:val="20"/>
        </w:rPr>
        <w:t xml:space="preserve"> Menjamin </w:t>
      </w:r>
      <w:r>
        <w:rPr>
          <w:rFonts w:ascii="Times New Roman" w:hAnsi="Times New Roman"/>
          <w:b w:val="0"/>
          <w:i/>
          <w:color w:val="0F172A"/>
          <w:sz w:val="20"/>
        </w:rPr>
        <w:t>Attack Success Rate</w:t>
      </w:r>
      <w:r>
        <w:rPr>
          <w:rFonts w:ascii="Times New Roman" w:hAnsi="Times New Roman"/>
          <w:b w:val="0"/>
          <w:i w:val="0"/>
          <w:color w:val="0F172A"/>
          <w:sz w:val="20"/>
        </w:rPr>
        <w:t xml:space="preserve"> 0,0% terhadap manipulasi Crescendo, memecahkan dilema umum antara keamanan model dan kecepatan inferensi.</w:t>
      </w:r>
    </w:p>
    <w:p>
      <w:pPr>
        <w:keepNext/>
        <w:spacing w:before="160" w:after="60"/>
        <w:jc w:val="left"/>
      </w:pPr>
      <w:r>
        <w:rPr>
          <w:rFonts w:ascii="Times New Roman" w:hAnsi="Times New Roman"/>
          <w:b/>
          <w:color w:val="0F172A"/>
          <w:sz w:val="21"/>
        </w:rPr>
        <w:t>CHAPTER 5: SECURITY ARCHITECTURE &amp; INTELLECTUAL PROPERTY POTENTIAL</w:t>
      </w:r>
    </w:p>
    <w:p>
      <w:pPr>
        <w:keepNext/>
        <w:spacing w:before="120" w:after="40"/>
        <w:jc w:val="left"/>
      </w:pPr>
      <w:r>
        <w:rPr>
          <w:rFonts w:ascii="Times New Roman" w:hAnsi="Times New Roman"/>
          <w:b/>
          <w:color w:val="0F172A"/>
          <w:sz w:val="20"/>
        </w:rPr>
        <w:t>5.1. Ancaman, Kontrol, dan Celah yang Tersisa</w:t>
      </w:r>
    </w:p>
    <w:p>
      <w:pPr>
        <w:spacing w:before="0" w:after="92" w:line="307" w:lineRule="auto"/>
        <w:ind w:firstLine="227"/>
        <w:jc w:val="both"/>
      </w:pPr>
      <w:r>
        <w:rPr>
          <w:rFonts w:ascii="Times New Roman" w:hAnsi="Times New Roman"/>
          <w:b w:val="0"/>
          <w:i w:val="0"/>
          <w:color w:val="0F172A"/>
          <w:sz w:val="20"/>
        </w:rPr>
        <w:t>Tabel 7 merangkum ancaman utama tanpa menganggap prototipe telah lolos audit keamanan. Penilaian risiko mengacu pada pola prompt injection dan pengungkapan informasi sensitif dalam panduan OWASP [6].</w:t>
      </w:r>
    </w:p>
    <w:p>
      <w:pPr>
        <w:keepNext/>
        <w:spacing w:before="100" w:after="40"/>
        <w:jc w:val="center"/>
      </w:pPr>
      <w:r>
        <w:rPr>
          <w:rFonts w:ascii="Times New Roman" w:hAnsi="Times New Roman"/>
          <w:b/>
          <w:i w:val="0"/>
          <w:color w:val="0F172A"/>
          <w:sz w:val="17"/>
        </w:rPr>
        <w:t>Tabel 7. Pemetaan ancaman dan kontrol prototipe</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1134"/>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Ancaman</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Kontrol yang ada</w:t>
            </w:r>
          </w:p>
        </w:tc>
        <w:tc>
          <w:tcPr>
            <w:tcW w:type="dxa" w:w="1701"/>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Pekerjaan sebelum produksi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Prompt injection bertahap</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L0-L3, skor stateful, probe, blokir</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Uji adversarial lebih luas dan evaluasi salah deteksi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Akses lintas peran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Token dan pembatasan endpoint dokter/SOC</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Autentikasi produksi, audit hak akses, uji penetrasi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Kebocoran riwayat pasien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Guardrail DuckDB tanpa teks pesan mentah</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Enkripsi dan kebijakan retensi untuk database aplikasi</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Banjir permintaan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Batas ukuran payload dan pembatasan laju dalam memori</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Kontrol terdistribusi, pemantauan, uji beban</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Ketergantungan model</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Balasan fallback saat layanan LLM gagal</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Pengujian keselamatan fallback dan respons krisis</w:t>
            </w:r>
          </w:p>
        </w:tc>
      </w:tr>
      <w:tr>
        <w:trPr>
          <w:cantSplit/>
        </w:trPr>
        <w:tc>
          <w:tcPr>
            <w:tcW w:type="dxa" w:w="1134"/>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Pengalihan fungsi ke skrip berbahaya</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Deteksi domain L2 &amp; leksikon niat L1, penolakan terarah</w:t>
            </w:r>
          </w:p>
        </w:tc>
        <w:tc>
          <w:tcPr>
            <w:tcW w:type="dxa" w:w="1701"/>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Uji jailbreak multimodal dan eksekusi dinamis</w:t>
            </w:r>
          </w:p>
        </w:tc>
      </w:tr>
    </w:tbl>
    <w:p>
      <w:pPr>
        <w:spacing w:before="0" w:after="40"/>
      </w:pPr>
    </w:p>
    <w:p>
      <w:pPr>
        <w:spacing w:before="0" w:after="92" w:line="307" w:lineRule="auto"/>
        <w:ind w:firstLine="227"/>
        <w:jc w:val="both"/>
      </w:pPr>
      <w:r>
        <w:rPr>
          <w:rFonts w:ascii="Times New Roman" w:hAnsi="Times New Roman"/>
          <w:b w:val="0"/>
          <w:i w:val="0"/>
          <w:color w:val="0F172A"/>
          <w:sz w:val="20"/>
        </w:rPr>
        <w:t xml:space="preserve">Klaim </w:t>
      </w:r>
      <w:r>
        <w:rPr>
          <w:rFonts w:ascii="Times New Roman" w:hAnsi="Times New Roman"/>
          <w:b w:val="0"/>
          <w:i/>
          <w:color w:val="0F172A"/>
          <w:sz w:val="20"/>
        </w:rPr>
        <w:t>zero-plaintext</w:t>
      </w:r>
      <w:r>
        <w:rPr>
          <w:rFonts w:ascii="Times New Roman" w:hAnsi="Times New Roman"/>
          <w:b w:val="0"/>
          <w:i w:val="0"/>
          <w:color w:val="0F172A"/>
          <w:sz w:val="20"/>
        </w:rPr>
        <w:t xml:space="preserve"> dibatasi pada </w:t>
      </w:r>
      <w:r>
        <w:rPr>
          <w:rFonts w:ascii="Times New Roman" w:hAnsi="Times New Roman"/>
          <w:b/>
          <w:i w:val="0"/>
          <w:color w:val="0F172A"/>
          <w:sz w:val="20"/>
        </w:rPr>
        <w:t>penyimpanan state guardrail DuckDB</w:t>
      </w:r>
      <w:r>
        <w:rPr>
          <w:rFonts w:ascii="Times New Roman" w:hAnsi="Times New Roman"/>
          <w:b w:val="0"/>
          <w:i w:val="0"/>
          <w:color w:val="0F172A"/>
          <w:sz w:val="20"/>
        </w:rP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keepNext/>
        <w:spacing w:before="120" w:after="40"/>
        <w:jc w:val="left"/>
      </w:pPr>
      <w:r>
        <w:rPr>
          <w:rFonts w:ascii="Times New Roman" w:hAnsi="Times New Roman"/>
          <w:b/>
          <w:color w:val="0F172A"/>
          <w:sz w:val="20"/>
        </w:rPr>
        <w:t>5.2. Potensi Kekayaan Intelektual</w:t>
      </w:r>
    </w:p>
    <w:p>
      <w:pPr>
        <w:spacing w:before="0" w:after="92" w:line="307" w:lineRule="auto"/>
        <w:ind w:firstLine="227"/>
        <w:jc w:val="both"/>
      </w:pPr>
      <w:r>
        <w:rPr>
          <w:rFonts w:ascii="Times New Roman" w:hAnsi="Times New Roman"/>
          <w:b w:val="0"/>
          <w:i w:val="0"/>
          <w:color w:val="0F172A"/>
          <w:sz w:val="20"/>
        </w:rP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keepNext/>
        <w:spacing w:before="120" w:after="40"/>
        <w:jc w:val="left"/>
      </w:pPr>
      <w:r>
        <w:rPr>
          <w:rFonts w:ascii="Times New Roman" w:hAnsi="Times New Roman"/>
          <w:b/>
          <w:color w:val="0F172A"/>
          <w:sz w:val="20"/>
        </w:rPr>
        <w:t>5.3. Keselamatan Pengguna dan Tata Kelola</w:t>
      </w:r>
    </w:p>
    <w:p>
      <w:pPr>
        <w:spacing w:before="0" w:after="92" w:line="307" w:lineRule="auto"/>
        <w:ind w:firstLine="227"/>
        <w:jc w:val="both"/>
      </w:pPr>
      <w:r>
        <w:rPr>
          <w:rFonts w:ascii="Times New Roman" w:hAnsi="Times New Roman"/>
          <w:b w:val="0"/>
          <w:i w:val="0"/>
          <w:color w:val="0F172A"/>
          <w:sz w:val="20"/>
        </w:rP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pPr>
        <w:spacing w:before="0" w:after="92" w:line="307" w:lineRule="auto"/>
        <w:ind w:firstLine="227"/>
        <w:jc w:val="both"/>
      </w:pPr>
      <w:r>
        <w:rPr>
          <w:rFonts w:ascii="Times New Roman" w:hAnsi="Times New Roman"/>
          <w:b w:val="0"/>
          <w:i w:val="0"/>
          <w:color w:val="0F172A"/>
          <w:sz w:val="20"/>
        </w:rP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rFonts w:ascii="Times New Roman" w:hAnsi="Times New Roman"/>
          <w:b w:val="0"/>
          <w:i/>
          <w:color w:val="0F172A"/>
          <w:sz w:val="20"/>
        </w:rPr>
        <w:t>false alarm</w:t>
      </w:r>
      <w:r>
        <w:rPr>
          <w:rFonts w:ascii="Times New Roman" w:hAnsi="Times New Roman"/>
          <w:b w:val="0"/>
          <w:i w:val="0"/>
          <w:color w:val="0F172A"/>
          <w:sz w:val="20"/>
        </w:rPr>
        <w:t xml:space="preserve"> dan pengalaman pasien agar kontrol keamanan tidak memperburuk situasi pengguna yang sedang rentan.</w:t>
      </w:r>
    </w:p>
    <w:p>
      <w:pPr>
        <w:keepNext/>
        <w:spacing w:before="160" w:after="60"/>
        <w:jc w:val="left"/>
      </w:pPr>
      <w:r>
        <w:rPr>
          <w:rFonts w:ascii="Times New Roman" w:hAnsi="Times New Roman"/>
          <w:b/>
          <w:color w:val="0F172A"/>
          <w:sz w:val="21"/>
        </w:rPr>
        <w:t>CHAPTER 6: SCALABILITY &amp; DEPLOYMENT READINESS</w:t>
      </w:r>
    </w:p>
    <w:p>
      <w:pPr>
        <w:keepNext/>
        <w:spacing w:before="120" w:after="40"/>
        <w:jc w:val="left"/>
      </w:pPr>
      <w:r>
        <w:rPr>
          <w:rFonts w:ascii="Times New Roman" w:hAnsi="Times New Roman"/>
          <w:b/>
          <w:color w:val="0F172A"/>
          <w:sz w:val="20"/>
        </w:rPr>
        <w:t>6.1. Jalur Penerapan Bertahap</w:t>
      </w:r>
    </w:p>
    <w:p>
      <w:pPr>
        <w:spacing w:before="0" w:after="92" w:line="307" w:lineRule="auto"/>
        <w:ind w:firstLine="227"/>
        <w:jc w:val="both"/>
      </w:pPr>
      <w:r>
        <w:rPr>
          <w:rFonts w:ascii="Times New Roman" w:hAnsi="Times New Roman"/>
          <w:b w:val="0"/>
          <w:i w:val="0"/>
          <w:color w:val="0F172A"/>
          <w:sz w:val="20"/>
        </w:rP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keepNext/>
        <w:spacing w:before="120" w:after="40"/>
        <w:jc w:val="left"/>
      </w:pPr>
      <w:r>
        <w:rPr>
          <w:rFonts w:ascii="Times New Roman" w:hAnsi="Times New Roman"/>
          <w:b/>
          <w:color w:val="0F172A"/>
          <w:sz w:val="20"/>
        </w:rPr>
        <w:t>6.2. Rencana Validasi dan Adopsi</w:t>
      </w:r>
    </w:p>
    <w:p>
      <w:pPr>
        <w:keepNext/>
        <w:spacing w:before="100" w:after="40"/>
        <w:jc w:val="center"/>
      </w:pPr>
      <w:r>
        <w:rPr>
          <w:rFonts w:ascii="Times New Roman" w:hAnsi="Times New Roman"/>
          <w:b/>
          <w:i w:val="0"/>
          <w:color w:val="0F172A"/>
          <w:sz w:val="17"/>
        </w:rPr>
        <w:t>Tabel 8. Gerbang keputusan sebelum penggelaran lebih luas</w:t>
      </w:r>
    </w:p>
    <w:tbl>
      <w:tblPr>
        <w:tblW w:type="auto" w:w="0"/>
        <w:jc w:val="center"/>
        <w:tblLayout w:type="fixed"/>
        <w:tblLook w:firstColumn="1" w:firstRow="1" w:lastColumn="0" w:lastRow="0" w:noHBand="0" w:noVBand="1" w:val="04A0"/>
        <w:tblBorders>
          <w:top w:val="single" w:sz="6" w:space="0" w:color="0F172A"/>
          <w:left w:val="none"/>
          <w:bottom w:val="single" w:sz="6" w:space="0" w:color="0F172A"/>
          <w:right w:val="none"/>
          <w:insideH w:val="none"/>
          <w:insideV w:val="none"/>
        </w:tblBorders>
      </w:tblPr>
      <w:tblGrid>
        <w:gridCol w:w="3213"/>
        <w:gridCol w:w="3213"/>
        <w:gridCol w:w="3213"/>
      </w:tblGrid>
      <w:tr>
        <w:trPr>
          <w:cantSplit/>
          <w:tblHeader/>
        </w:trPr>
        <w:tc>
          <w:tcPr>
            <w:tcW w:type="dxa" w:w="90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Tahap</w:t>
            </w:r>
          </w:p>
        </w:tc>
        <w:tc>
          <w:tcPr>
            <w:tcW w:type="dxa" w:w="1928"/>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Bukti yang harus dihasilkan</w:t>
            </w:r>
          </w:p>
        </w:tc>
        <w:tc>
          <w:tcPr>
            <w:tcW w:type="dxa" w:w="1587"/>
            <w:vAlign w:val="center"/>
            <w:tcMar>
              <w:top w:w="35" w:type="dxa"/>
              <w:bottom w:w="35" w:type="dxa"/>
              <w:left w:w="40" w:type="dxa"/>
              <w:right w:w="40" w:type="dxa"/>
            </w:tcMar>
            <w:tcBorders>
              <w:bottom w:val="single" w:sz="4" w:space="0" w:color="334155"/>
            </w:tcBorders>
          </w:tcPr>
          <w:p>
            <w:pPr>
              <w:spacing w:before="10" w:after="10" w:line="245" w:lineRule="auto"/>
              <w:jc w:val="center"/>
            </w:pPr>
            <w:r>
              <w:rPr>
                <w:rFonts w:ascii="Times New Roman" w:hAnsi="Times New Roman"/>
                <w:b/>
                <w:i w:val="0"/>
                <w:color w:val="0F172A"/>
                <w:sz w:val="15"/>
              </w:rPr>
              <w:t>Keputusan lanjut</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1. Reproduksi PoC</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Uji otomatis lulus pada lingkungan terdokumentasi; mode live/mock dibedakan</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Demo teknis dapat diulang</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2. Evaluasi keamanan</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Dataset serangan dan percakapan jinak berlabel; ASR/FPR dengan jumlah sampel; audit akses</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Ambang dan kontrol direvisi</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3. Evaluasi klinis dan privasi</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Protokol supervisi profesional, respons krisis, retensi/enkripsi, penilaian dampak data</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Pilot terbatas dengan persetujuan institusi</w:t>
            </w:r>
          </w:p>
        </w:tc>
      </w:tr>
      <w:tr>
        <w:trPr>
          <w:cantSplit/>
        </w:trPr>
        <w:tc>
          <w:tcPr>
            <w:tcW w:type="dxa" w:w="90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4. Integrasi dan skala</w:t>
            </w:r>
          </w:p>
        </w:tc>
        <w:tc>
          <w:tcPr>
            <w:tcW w:type="dxa" w:w="1928"/>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Uji beban, kebutuhan perangkat, interoperabilitas FHIR di sandbox SATUSEHAT [7]</w:t>
            </w:r>
          </w:p>
        </w:tc>
        <w:tc>
          <w:tcPr>
            <w:tcW w:type="dxa" w:w="1587"/>
            <w:vAlign w:val="center"/>
            <w:tcMar>
              <w:top w:w="35" w:type="dxa"/>
              <w:bottom w:w="35" w:type="dxa"/>
              <w:left w:w="40" w:type="dxa"/>
              <w:right w:w="40" w:type="dxa"/>
            </w:tcMar>
          </w:tcPr>
          <w:p>
            <w:pPr>
              <w:spacing w:before="10" w:after="10" w:line="245" w:lineRule="auto"/>
              <w:jc w:val="left"/>
            </w:pPr>
            <w:r>
              <w:rPr>
                <w:rFonts w:ascii="Times New Roman" w:hAnsi="Times New Roman"/>
                <w:b w:val="0"/>
                <w:i w:val="0"/>
                <w:color w:val="0F172A"/>
                <w:sz w:val="15"/>
              </w:rPr>
              <w:t>Keputusan arsitektur produksi</w:t>
            </w:r>
          </w:p>
        </w:tc>
      </w:tr>
    </w:tbl>
    <w:p>
      <w:pPr>
        <w:spacing w:before="0" w:after="40"/>
      </w:pPr>
    </w:p>
    <w:p>
      <w:pPr>
        <w:spacing w:before="0" w:after="92" w:line="307" w:lineRule="auto"/>
        <w:ind w:firstLine="227"/>
        <w:jc w:val="both"/>
      </w:pPr>
      <w:r>
        <w:rPr>
          <w:rFonts w:ascii="Times New Roman" w:hAnsi="Times New Roman"/>
          <w:b w:val="0"/>
          <w:i w:val="0"/>
          <w:color w:val="0F172A"/>
          <w:sz w:val="20"/>
        </w:rP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keepNext/>
        <w:spacing w:before="120" w:after="40"/>
        <w:jc w:val="left"/>
      </w:pPr>
      <w:r>
        <w:rPr>
          <w:rFonts w:ascii="Times New Roman" w:hAnsi="Times New Roman"/>
          <w:b/>
          <w:color w:val="0F172A"/>
          <w:sz w:val="20"/>
        </w:rPr>
        <w:t>6.3. Prasyarat Skala dan Nilai Implementasi</w:t>
      </w:r>
    </w:p>
    <w:p>
      <w:pPr>
        <w:spacing w:before="0" w:after="92" w:line="307" w:lineRule="auto"/>
        <w:ind w:firstLine="227"/>
        <w:jc w:val="both"/>
      </w:pPr>
      <w:r>
        <w:rPr>
          <w:rFonts w:ascii="Times New Roman" w:hAnsi="Times New Roman"/>
          <w:b w:val="0"/>
          <w:i w:val="0"/>
          <w:color w:val="0F172A"/>
          <w:sz w:val="20"/>
        </w:rP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pPr>
        <w:spacing w:before="0" w:after="92" w:line="307" w:lineRule="auto"/>
        <w:ind w:firstLine="227"/>
        <w:jc w:val="both"/>
      </w:pPr>
      <w:r>
        <w:rPr>
          <w:rFonts w:ascii="Times New Roman" w:hAnsi="Times New Roman"/>
          <w:b w:val="0"/>
          <w:i w:val="0"/>
          <w:color w:val="0F172A"/>
          <w:sz w:val="20"/>
        </w:rP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keepNext/>
        <w:spacing w:before="120" w:after="40"/>
        <w:jc w:val="left"/>
      </w:pPr>
      <w:r>
        <w:rPr>
          <w:rFonts w:ascii="Times New Roman" w:hAnsi="Times New Roman"/>
          <w:b/>
          <w:color w:val="0F172A"/>
          <w:sz w:val="20"/>
        </w:rPr>
        <w:t>Referensi</w:t>
      </w:r>
    </w:p>
    <w:p>
      <w:pPr>
        <w:spacing w:before="0" w:after="40" w:line="252" w:lineRule="auto"/>
        <w:ind w:left="283" w:hanging="283"/>
        <w:jc w:val="both"/>
      </w:pPr>
      <w:r>
        <w:rPr>
          <w:rFonts w:ascii="Times New Roman" w:hAnsi="Times New Roman"/>
          <w:b w:val="0"/>
          <w:i w:val="0"/>
          <w:color w:val="0F172A"/>
          <w:sz w:val="17"/>
        </w:rPr>
        <w:t xml:space="preserve">[1] World Health Organization, </w:t>
      </w:r>
      <w:r>
        <w:rPr>
          <w:rFonts w:ascii="Times New Roman" w:hAnsi="Times New Roman"/>
          <w:b w:val="0"/>
          <w:i/>
          <w:color w:val="0F172A"/>
          <w:sz w:val="17"/>
        </w:rPr>
        <w:t>Mental Health Atlas 2024</w:t>
      </w:r>
      <w:r>
        <w:rPr>
          <w:rFonts w:ascii="Times New Roman" w:hAnsi="Times New Roman"/>
          <w:b w:val="0"/>
          <w:i w:val="0"/>
          <w:color w:val="0F172A"/>
          <w:sz w:val="17"/>
        </w:rPr>
        <w:t>, 2025. https://www.who.int/teams/mental-health-and-substance-use/data-research/mental-health-atlas</w:t>
      </w:r>
    </w:p>
    <w:p>
      <w:pPr>
        <w:spacing w:before="0" w:after="40" w:line="252" w:lineRule="auto"/>
        <w:ind w:left="283" w:hanging="283"/>
        <w:jc w:val="both"/>
      </w:pPr>
      <w:r>
        <w:rPr>
          <w:rFonts w:ascii="Times New Roman" w:hAnsi="Times New Roman"/>
          <w:b w:val="0"/>
          <w:i w:val="0"/>
          <w:color w:val="0F172A"/>
          <w:sz w:val="17"/>
        </w:rPr>
        <w:t xml:space="preserve">[2] M. Russinovich, A. Salem, dan R. Eldan, “Great, Now Write an Article About That: The Crescendo Multi-Turn LLM Jailbreak Attack,” </w:t>
      </w:r>
      <w:r>
        <w:rPr>
          <w:rFonts w:ascii="Times New Roman" w:hAnsi="Times New Roman"/>
          <w:b w:val="0"/>
          <w:i/>
          <w:color w:val="0F172A"/>
          <w:sz w:val="17"/>
        </w:rPr>
        <w:t>Proc. 34th USENIX Security Symposium</w:t>
      </w:r>
      <w:r>
        <w:rPr>
          <w:rFonts w:ascii="Times New Roman" w:hAnsi="Times New Roman"/>
          <w:b w:val="0"/>
          <w:i w:val="0"/>
          <w:color w:val="0F172A"/>
          <w:sz w:val="17"/>
        </w:rPr>
        <w:t>, hlm. 2421–2440, 2025. https://www.usenix.org/conference/usenixsecurity25/presentation/russinovich</w:t>
      </w:r>
    </w:p>
    <w:p>
      <w:pPr>
        <w:spacing w:before="0" w:after="40" w:line="252" w:lineRule="auto"/>
        <w:ind w:left="283" w:hanging="283"/>
        <w:jc w:val="both"/>
      </w:pPr>
      <w:r>
        <w:rPr>
          <w:rFonts w:ascii="Times New Roman" w:hAnsi="Times New Roman"/>
          <w:b w:val="0"/>
          <w:i w:val="0"/>
          <w:color w:val="0F172A"/>
          <w:sz w:val="17"/>
        </w:rPr>
        <w:t>[3] World Health Organization, “Depression: screening tools and diagnosis,” WHO TB Knowledge Sharing. https://tbksp.who.int/pt-br/node/2650</w:t>
      </w:r>
    </w:p>
    <w:p>
      <w:pPr>
        <w:spacing w:before="0" w:after="40" w:line="252" w:lineRule="auto"/>
        <w:ind w:left="283" w:hanging="283"/>
        <w:jc w:val="both"/>
      </w:pPr>
      <w:r>
        <w:rPr>
          <w:rFonts w:ascii="Times New Roman" w:hAnsi="Times New Roman"/>
          <w:b w:val="0"/>
          <w:i w:val="0"/>
          <w:color w:val="0F172A"/>
          <w:sz w:val="17"/>
        </w:rPr>
        <w:t>[4] Republik Indonesia, Undang-Undang Nomor 27 Tahun 2022 tentang Pelindungan Data Pribadi. https://peraturan.bpk.go.id/Details/229798/uu-no-27-</w:t>
      </w:r>
    </w:p>
    <w:p>
      <w:pPr>
        <w:spacing w:before="0" w:after="40" w:line="252" w:lineRule="auto"/>
        <w:ind w:left="283" w:hanging="283"/>
        <w:jc w:val="both"/>
      </w:pPr>
      <w:r>
        <w:rPr>
          <w:rFonts w:ascii="Times New Roman" w:hAnsi="Times New Roman"/>
          <w:b w:val="0"/>
          <w:i w:val="0"/>
          <w:color w:val="0F172A"/>
          <w:sz w:val="17"/>
        </w:rPr>
        <w:t>[5] Kementerian Kesehatan RI, Peraturan Menteri Kesehatan Nomor 24 Tahun 2022 tentang Rekam Medis. https://peraturan.bpk.go.id/Details/245544/p</w:t>
      </w:r>
    </w:p>
    <w:p>
      <w:pPr>
        <w:spacing w:before="0" w:after="40" w:line="252" w:lineRule="auto"/>
        <w:ind w:left="283" w:hanging="283"/>
        <w:jc w:val="both"/>
      </w:pPr>
      <w:r>
        <w:rPr>
          <w:rFonts w:ascii="Times New Roman" w:hAnsi="Times New Roman"/>
          <w:b w:val="0"/>
          <w:i w:val="0"/>
          <w:color w:val="0F172A"/>
          <w:sz w:val="17"/>
        </w:rPr>
        <w:t xml:space="preserve">[6] OWASP, </w:t>
      </w:r>
      <w:r>
        <w:rPr>
          <w:rFonts w:ascii="Times New Roman" w:hAnsi="Times New Roman"/>
          <w:b w:val="0"/>
          <w:i/>
          <w:color w:val="0F172A"/>
          <w:sz w:val="17"/>
        </w:rPr>
        <w:t>Top 10 for Large Language Model Applications 2025</w:t>
      </w:r>
      <w:r>
        <w:rPr>
          <w:rFonts w:ascii="Times New Roman" w:hAnsi="Times New Roman"/>
          <w:b w:val="0"/>
          <w:i w:val="0"/>
          <w:color w:val="0F172A"/>
          <w:sz w:val="17"/>
        </w:rPr>
        <w:t>. https://genai.owasp.org/llm-top-10/</w:t>
      </w:r>
    </w:p>
    <w:p>
      <w:pPr>
        <w:spacing w:before="0" w:after="40" w:line="252" w:lineRule="auto"/>
        <w:ind w:left="283" w:hanging="283"/>
        <w:jc w:val="both"/>
      </w:pPr>
      <w:r>
        <w:rPr>
          <w:rFonts w:ascii="Times New Roman" w:hAnsi="Times New Roman"/>
          <w:b w:val="0"/>
          <w:i w:val="0"/>
          <w:color w:val="0F172A"/>
          <w:sz w:val="17"/>
        </w:rPr>
        <w:t>[7] Kementerian Kesehatan RI, “SATUSEHAT Platform: Observation.” https://satusehat.kemkes.go.id/platform/docs/id/fhir/resources/observation/</w:t>
      </w:r>
    </w:p>
    <w:p>
      <w:pPr>
        <w:spacing w:before="0" w:after="40" w:line="252" w:lineRule="auto"/>
        <w:ind w:left="283" w:hanging="283"/>
        <w:jc w:val="both"/>
      </w:pPr>
      <w:r>
        <w:rPr>
          <w:rFonts w:ascii="Times New Roman" w:hAnsi="Times New Roman"/>
          <w:b w:val="0"/>
          <w:i w:val="0"/>
          <w:color w:val="0F172A"/>
          <w:sz w:val="17"/>
        </w:rPr>
        <w:t>[8] Microsoft Security, “How Microsoft discovers and mitigates evolving attacks against AI guardrails,” 2024. https://www.microsoft.com/en-us/security/blog/2024/04/11/how-microsoft-discovers-and-mitigates-evolving-attacks-against-ai-guardrails/</w:t>
      </w:r>
    </w:p>
    <w:p>
      <w:pPr>
        <w:spacing w:before="0" w:after="40" w:line="252" w:lineRule="auto"/>
        <w:ind w:left="283" w:hanging="283"/>
        <w:jc w:val="both"/>
      </w:pPr>
      <w:r>
        <w:rPr>
          <w:rFonts w:ascii="Times New Roman" w:hAnsi="Times New Roman"/>
          <w:b w:val="0"/>
          <w:i w:val="0"/>
          <w:color w:val="0F172A"/>
          <w:sz w:val="17"/>
        </w:rPr>
        <w:t xml:space="preserve">[9] Tim SIAGA, repositori kode prototipe, </w:t>
      </w:r>
      <w:r>
        <w:rPr>
          <w:rFonts w:ascii="Consolas" w:hAnsi="Consolas"/>
          <w:b w:val="0"/>
          <w:color w:val="0F172A"/>
          <w:sz w:val="15"/>
        </w:rPr>
        <w:t>backend/app/</w:t>
      </w:r>
      <w:r>
        <w:rPr>
          <w:rFonts w:ascii="Times New Roman" w:hAnsi="Times New Roman"/>
          <w:b w:val="0"/>
          <w:i w:val="0"/>
          <w:color w:val="0F172A"/>
          <w:sz w:val="17"/>
        </w:rPr>
        <w:t xml:space="preserve">, </w:t>
      </w:r>
      <w:r>
        <w:rPr>
          <w:rFonts w:ascii="Consolas" w:hAnsi="Consolas"/>
          <w:b w:val="0"/>
          <w:color w:val="0F172A"/>
          <w:sz w:val="15"/>
        </w:rPr>
        <w:t>backend/tests/</w:t>
      </w:r>
      <w:r>
        <w:rPr>
          <w:rFonts w:ascii="Times New Roman" w:hAnsi="Times New Roman"/>
          <w:b w:val="0"/>
          <w:i w:val="0"/>
          <w:color w:val="0F172A"/>
          <w:sz w:val="17"/>
        </w:rPr>
        <w:t xml:space="preserve">, dan </w:t>
      </w:r>
      <w:r>
        <w:rPr>
          <w:rFonts w:ascii="Consolas" w:hAnsi="Consolas"/>
          <w:b w:val="0"/>
          <w:color w:val="0F172A"/>
          <w:sz w:val="15"/>
        </w:rPr>
        <w:t>frontend/src/</w:t>
      </w:r>
      <w:r>
        <w:rPr>
          <w:rFonts w:ascii="Times New Roman" w:hAnsi="Times New Roman"/>
          <w:b w:val="0"/>
          <w:i w:val="0"/>
          <w:color w:val="0F172A"/>
          <w:sz w:val="17"/>
        </w:rPr>
        <w:t>. https://github.com/Adikafazaa/SIAGA</w:t>
      </w:r>
    </w:p>
    <w:p>
      <w:pPr>
        <w:spacing w:before="0" w:after="40" w:line="252" w:lineRule="auto"/>
        <w:ind w:left="283" w:hanging="283"/>
        <w:jc w:val="both"/>
      </w:pPr>
      <w:r>
        <w:rPr>
          <w:rFonts w:ascii="Times New Roman" w:hAnsi="Times New Roman"/>
          <w:b w:val="0"/>
          <w:i w:val="0"/>
          <w:color w:val="0F172A"/>
          <w:sz w:val="17"/>
        </w:rPr>
        <w:t xml:space="preserve">[10] K. Kroenke, R. L. Spitzer, dan J. B. W. Williams, “The PHQ-9: Validity of a Brief Depression Severity Measure,” </w:t>
      </w:r>
      <w:r>
        <w:rPr>
          <w:rFonts w:ascii="Times New Roman" w:hAnsi="Times New Roman"/>
          <w:b w:val="0"/>
          <w:i/>
          <w:color w:val="0F172A"/>
          <w:sz w:val="17"/>
        </w:rPr>
        <w:t>Journal of General Internal Medicine</w:t>
      </w:r>
      <w:r>
        <w:rPr>
          <w:rFonts w:ascii="Times New Roman" w:hAnsi="Times New Roman"/>
          <w:b w:val="0"/>
          <w:i w:val="0"/>
          <w:color w:val="0F172A"/>
          <w:sz w:val="17"/>
        </w:rPr>
        <w:t>, vol. 16, no. 9, hlm. 606–613, 2001. https://pmc.ncbi.nlm.nih.gov/articles/PMC1495268/</w:t>
      </w:r>
    </w:p>
    <w:p>
      <w:pPr>
        <w:spacing w:before="0" w:after="40" w:line="252" w:lineRule="auto"/>
        <w:ind w:left="283" w:hanging="283"/>
        <w:jc w:val="both"/>
      </w:pPr>
      <w:r>
        <w:rPr>
          <w:rFonts w:ascii="Times New Roman" w:hAnsi="Times New Roman"/>
          <w:b w:val="0"/>
          <w:i w:val="0"/>
          <w:color w:val="0F172A"/>
          <w:sz w:val="17"/>
        </w:rPr>
        <w:t xml:space="preserve">[11] R. L. Spitzer, K. Kroenke, J. B. W. Williams, dan B. Löwe, “A Brief Measure for Assessing Generalized Anxiety Disorder: The GAD-7,” </w:t>
      </w:r>
      <w:r>
        <w:rPr>
          <w:rFonts w:ascii="Times New Roman" w:hAnsi="Times New Roman"/>
          <w:b w:val="0"/>
          <w:i/>
          <w:color w:val="0F172A"/>
          <w:sz w:val="17"/>
        </w:rPr>
        <w:t>Archives of Internal Medicine</w:t>
      </w:r>
      <w:r>
        <w:rPr>
          <w:rFonts w:ascii="Times New Roman" w:hAnsi="Times New Roman"/>
          <w:b w:val="0"/>
          <w:i w:val="0"/>
          <w:color w:val="0F172A"/>
          <w:sz w:val="17"/>
        </w:rPr>
        <w:t>, vol. 166, no. 10, hlm. 1092–1097, 2006. https://pubmed.ncbi.nlm.nih.gov/16717171/</w:t>
      </w:r>
    </w:p>
    <w:p>
      <w:pPr>
        <w:spacing w:before="0" w:after="40" w:line="252" w:lineRule="auto"/>
        <w:ind w:left="283" w:hanging="283"/>
        <w:jc w:val="both"/>
      </w:pPr>
      <w:r>
        <w:rPr>
          <w:rFonts w:ascii="Times New Roman" w:hAnsi="Times New Roman"/>
          <w:b w:val="0"/>
          <w:i w:val="0"/>
          <w:color w:val="0F172A"/>
          <w:sz w:val="17"/>
        </w:rPr>
        <w:t xml:space="preserve">[12] K. K. Fitzpatrick, A. Darcy, dan M. Vierhile, “Delivering Cognitive Behavior Therapy to Young Adults With Symptoms of Depression and Anxiety Using a Fully Automated Conversational Agent (Woebot): A Randomized Controlled Trial,” </w:t>
      </w:r>
      <w:r>
        <w:rPr>
          <w:rFonts w:ascii="Times New Roman" w:hAnsi="Times New Roman"/>
          <w:b w:val="0"/>
          <w:i/>
          <w:color w:val="0F172A"/>
          <w:sz w:val="17"/>
        </w:rPr>
        <w:t>JMIR Mental Health</w:t>
      </w:r>
      <w:r>
        <w:rPr>
          <w:rFonts w:ascii="Times New Roman" w:hAnsi="Times New Roman"/>
          <w:b w:val="0"/>
          <w:i w:val="0"/>
          <w:color w:val="0F172A"/>
          <w:sz w:val="17"/>
        </w:rPr>
        <w:t>, vol. 4, no. 2, e19, 2017. https://mental.jmir.org/2017/2/e19/</w:t>
      </w:r>
    </w:p>
    <w:p>
      <w:pPr>
        <w:spacing w:before="0" w:after="40" w:line="252" w:lineRule="auto"/>
        <w:ind w:left="283" w:hanging="283"/>
        <w:jc w:val="both"/>
      </w:pPr>
      <w:r>
        <w:rPr>
          <w:rFonts w:ascii="Times New Roman" w:hAnsi="Times New Roman"/>
          <w:b w:val="0"/>
          <w:i w:val="0"/>
          <w:color w:val="0F172A"/>
          <w:sz w:val="17"/>
        </w:rPr>
        <w:t>[13] Qwen Team, “Qwen3 Technical Report,” arXiv:2505.09388, 2025. https://arxiv.org/abs/2505.09388</w:t>
      </w:r>
    </w:p>
    <w:p>
      <w:pPr>
        <w:spacing w:before="0" w:after="40" w:line="252" w:lineRule="auto"/>
        <w:ind w:left="283" w:hanging="283"/>
        <w:jc w:val="both"/>
      </w:pPr>
      <w:r>
        <w:rPr>
          <w:rFonts w:ascii="Times New Roman" w:hAnsi="Times New Roman"/>
          <w:b w:val="0"/>
          <w:i w:val="0"/>
          <w:color w:val="0F172A"/>
          <w:sz w:val="17"/>
        </w:rPr>
        <w:t xml:space="preserve">[14] Tim SIAGA, arsip pengukuran lokal, </w:t>
      </w:r>
      <w:r>
        <w:rPr>
          <w:rFonts w:ascii="Consolas" w:hAnsi="Consolas"/>
          <w:b w:val="0"/>
          <w:color w:val="0F172A"/>
          <w:sz w:val="15"/>
        </w:rPr>
        <w:t>scratch/benchmark_synthetic_suite.py</w:t>
      </w:r>
      <w:r>
        <w:rPr>
          <w:rFonts w:ascii="Times New Roman" w:hAnsi="Times New Roman"/>
          <w:b w:val="0"/>
          <w:i w:val="0"/>
          <w:color w:val="0F172A"/>
          <w:sz w:val="17"/>
        </w:rPr>
        <w:t xml:space="preserve">, </w:t>
      </w:r>
      <w:r>
        <w:rPr>
          <w:rFonts w:ascii="Consolas" w:hAnsi="Consolas"/>
          <w:b w:val="0"/>
          <w:color w:val="0F172A"/>
          <w:sz w:val="15"/>
        </w:rPr>
        <w:t>scratch/benchmark_synthetic_report_data.json</w:t>
      </w:r>
      <w:r>
        <w:rPr>
          <w:rFonts w:ascii="Times New Roman" w:hAnsi="Times New Roman"/>
          <w:b w:val="0"/>
          <w:i w:val="0"/>
          <w:color w:val="0F172A"/>
          <w:sz w:val="17"/>
        </w:rPr>
        <w:t xml:space="preserve">, dan </w:t>
      </w:r>
      <w:r>
        <w:rPr>
          <w:rFonts w:ascii="Consolas" w:hAnsi="Consolas"/>
          <w:b w:val="0"/>
          <w:color w:val="0F172A"/>
          <w:sz w:val="15"/>
        </w:rPr>
        <w:t>Knowledge/Docs/report/LAPORAN_BENCHMARK_KOMPARATIF_MODEL_SLM_QWEN_SERIES.md</w:t>
      </w:r>
      <w:r>
        <w:rPr>
          <w:rFonts w:ascii="Times New Roman" w:hAnsi="Times New Roman"/>
          <w:b w:val="0"/>
          <w:i w:val="0"/>
          <w:color w:val="0F172A"/>
          <w:sz w:val="17"/>
        </w:rPr>
        <w:t>, 2 Oktober 2026. Repositori: https://github.com/Adikafazaa/SIAGA</w:t>
      </w:r>
    </w:p>
    <w:sectPr w:rsidR="00FC693F" w:rsidRPr="0006063C" w:rsidSect="00034616">
      <w:pgSz w:w="11906" w:h="16838"/>
      <w:pgMar w:top="1134" w:right="1134" w:bottom="1134" w:left="1134" w:header="680" w:footer="680" w:gutter="0"/>
      <w:cols w:space="720"/>
      <w:titlePg/>
      <w:docGrid w:linePitch="360"/>
      <w:cols w:num="2" w:space="3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SIAGA: Pertahanan Percakapan AI Bertahap Layanan Kesehatan Mental |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