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p>
      <w:pPr>
        <w:spacing w:after="360"/>
        <w:jc w:val="center"/>
      </w:pPr>
      <w:r>
        <w:rPr>
          <w:rFonts w:ascii="Times New Roman" w:hAnsi="Times New Roman"/>
          <w:b/>
          <w:sz w:val="22"/>
        </w:rPr>
        <w:t>PROPOSAL INOVASI TEKNOLOGI HACKATHON NASIONAL HACKNUSA 2026</w:t>
        <w:br/>
        <w:t>TOP 30 FINALIST STAGE</w:t>
      </w:r>
    </w:p>
    <w:p>
      <w:pPr>
        <w:spacing w:before="400" w:after="280"/>
        <w:jc w:val="center"/>
      </w:pPr>
      <w:r>
        <w:rPr>
          <w:rFonts w:ascii="Times New Roman" w:hAnsi="Times New Roman"/>
          <w:b/>
          <w:sz w:val="36"/>
        </w:rPr>
        <w:t>PROPOSAL INOVASI SIAGA</w:t>
      </w:r>
    </w:p>
    <w:p>
      <w:pPr>
        <w:spacing w:after="480"/>
        <w:jc w:val="center"/>
      </w:pPr>
      <w:r>
        <w:rPr>
          <w:rFonts w:ascii="Times New Roman" w:hAnsi="Times New Roman"/>
          <w:i/>
          <w:sz w:val="23"/>
        </w:rPr>
        <w:t>Pertahanan Percakapan AI Bertahap untuk Layanan Kesehatan Mental</w:t>
      </w:r>
    </w:p>
    <w:p>
      <w:pPr>
        <w:spacing w:after="480"/>
        <w:jc w:val="center"/>
      </w:pPr>
      <w:r>
        <w:rPr>
          <w:rFonts w:ascii="Times New Roman" w:hAnsi="Times New Roman"/>
          <w:color w:val="475569"/>
          <w:sz w:val="20"/>
        </w:rPr>
        <w:t>────────────────────────────────────────────────────────────</w:t>
      </w:r>
    </w:p>
    <w:p>
      <w:pPr>
        <w:spacing w:after="600"/>
        <w:jc w:val="center"/>
      </w:pPr>
      <w:r>
        <w:rPr>
          <w:rFonts w:ascii="Times New Roman" w:hAnsi="Times New Roman"/>
          <w:color w:val="475569"/>
          <w:sz w:val="20"/>
        </w:rPr>
        <w:t>Kategori / Trek Kompetisi:</w:t>
        <w:br/>
      </w:r>
      <w:r>
        <w:rPr>
          <w:rFonts w:ascii="Times New Roman" w:hAnsi="Times New Roman"/>
          <w:b/>
          <w:sz w:val="22"/>
        </w:rPr>
        <w:t>HackNusa 2026 · Trek AI vs AI Defense</w:t>
      </w:r>
    </w:p>
    <w:p>
      <w:pPr>
        <w:spacing w:after="400"/>
        <w:jc w:val="center"/>
      </w:pPr>
      <w:r>
        <w:rPr>
          <w:rFonts w:ascii="Times New Roman" w:hAnsi="Times New Roman"/>
          <w:color w:val="475569"/>
          <w:sz w:val="20"/>
        </w:rPr>
        <w:t>Diusulkan Oleh:</w:t>
        <w:br/>
      </w:r>
      <w:r>
        <w:rPr>
          <w:rFonts w:ascii="Times New Roman" w:hAnsi="Times New Roman"/>
          <w:b/>
          <w:sz w:val="21"/>
        </w:rPr>
        <w:t>Tim SIAGA · Institut Teknologi Nasional Bandung</w:t>
      </w:r>
    </w:p>
    <w:p>
      <w:pPr>
        <w:spacing w:after="720"/>
        <w:jc w:val="center"/>
      </w:pPr>
      <w:r>
        <w:rPr>
          <w:rFonts w:ascii="Times New Roman" w:hAnsi="Times New Roman"/>
          <w:color w:val="475569"/>
          <w:sz w:val="19"/>
        </w:rPr>
        <w:t>Repositori Kode Terbuka (Open Reproducibility):</w:t>
        <w:br/>
      </w:r>
      <w:r>
        <w:rPr>
          <w:rFonts w:ascii="Times New Roman" w:hAnsi="Times New Roman"/>
          <w:sz w:val="19"/>
        </w:rPr>
        <w:t>https://github.com/Adikafazaa/SIAGA</w:t>
      </w:r>
    </w:p>
    <w:p>
      <w:pPr>
        <w:spacing w:before="720"/>
        <w:jc w:val="center"/>
      </w:pPr>
      <w:r>
        <w:rPr>
          <w:rFonts w:ascii="Times New Roman" w:hAnsi="Times New Roman"/>
          <w:b/>
          <w:sz w:val="21"/>
        </w:rPr>
        <w:t>BANDUNG · OKTOBER 2026</w:t>
      </w:r>
    </w:p>
    <w:p>
      <w:pPr>
        <w:sectPr>
          <w:headerReference w:type="default" r:id="rId9"/>
          <w:footerReference w:type="default" r:id="rId10"/>
          <w:pgSz w:w="11906" w:h="16838"/>
          <w:pgMar w:top="1417" w:right="1417" w:bottom="1417" w:left="1417" w:header="720" w:footer="720" w:gutter="0"/>
          <w:cols w:space="720"/>
          <w:titlePg/>
          <w:docGrid w:linePitch="360"/>
        </w:sectPr>
      </w:pPr>
    </w:p>
    <w:p>
      <w:pPr>
        <w:keepNext/>
        <w:spacing w:before="160" w:after="60"/>
        <w:jc w:val="left"/>
      </w:pPr>
      <w:r>
        <w:rPr>
          <w:rFonts w:ascii="Times New Roman" w:hAnsi="Times New Roman"/>
          <w:b/>
          <w:color w:val="0F172A"/>
          <w:sz w:val="21"/>
        </w:rPr>
        <w:t>CHAPTER 1: INTRODUCTION &amp; BACKGROUND</w:t>
      </w:r>
    </w:p>
    <w:p>
      <w:pPr>
        <w:keepNext/>
        <w:spacing w:before="120" w:after="40"/>
        <w:jc w:val="left"/>
      </w:pPr>
      <w:r>
        <w:rPr>
          <w:rFonts w:ascii="Times New Roman" w:hAnsi="Times New Roman"/>
          <w:b/>
          <w:color w:val="0F172A"/>
          <w:sz w:val="20"/>
        </w:rPr>
        <w:t>1.1. Masalah yang Disasar</w:t>
      </w:r>
    </w:p>
    <w:p>
      <w:pPr>
        <w:spacing w:before="0" w:after="48" w:line="269" w:lineRule="auto"/>
        <w:ind w:firstLine="227"/>
        <w:jc w:val="both"/>
      </w:pPr>
      <w:r>
        <w:rPr>
          <w:rFonts w:ascii="Times New Roman" w:hAnsi="Times New Roman"/>
          <w:b w:val="0"/>
          <w:i w:val="0"/>
          <w:color w:val="0F172A"/>
          <w:sz w:val="20"/>
        </w:rPr>
        <w:t xml:space="preserve">Layanan kesehatan mental membutuhkan akses awal yang mudah, tetapi percakapan tentang gejala, pengalaman pribadi, dan riwayat perawatan juga menghasilkan data yang sangat sensitif. Organisasi Kesehatan Dunia (WHO) masih mencatat kesenjangan kapasitas layanan [1]. Studi validasi Kroenke dkk. pada </w:t>
      </w:r>
      <w:r>
        <w:rPr>
          <w:rFonts w:ascii="Times New Roman" w:hAnsi="Times New Roman"/>
          <w:b w:val="0"/>
          <w:i/>
          <w:color w:val="0F172A"/>
          <w:sz w:val="20"/>
        </w:rPr>
        <w:t>Journal of General Internal Medicine</w:t>
      </w:r>
      <w:r>
        <w:rPr>
          <w:rFonts w:ascii="Times New Roman" w:hAnsi="Times New Roman"/>
          <w:b w:val="0"/>
          <w:i w:val="0"/>
          <w:color w:val="0F172A"/>
          <w:sz w:val="20"/>
        </w:rPr>
        <w:t xml:space="preserve"> mendukung PHQ-9 sebagai ukuran ringkas derajat gejala depresi [10]; Spitzer dkk. pada </w:t>
      </w:r>
      <w:r>
        <w:rPr>
          <w:rFonts w:ascii="Times New Roman" w:hAnsi="Times New Roman"/>
          <w:b w:val="0"/>
          <w:i/>
          <w:color w:val="0F172A"/>
          <w:sz w:val="20"/>
        </w:rPr>
        <w:t>Archives of Internal Medicine</w:t>
      </w:r>
      <w:r>
        <w:rPr>
          <w:rFonts w:ascii="Times New Roman" w:hAnsi="Times New Roman"/>
          <w:b w:val="0"/>
          <w:i w:val="0"/>
          <w:color w:val="0F172A"/>
          <w:sz w:val="20"/>
        </w:rPr>
        <w:t xml:space="preserve"> mendukung GAD-7 untuk skrining kecemasan [11]. Kedua instrumen memberi indikasi gejala, bukan keputusan diagnosis otomatis [3].</w:t>
      </w:r>
    </w:p>
    <w:p>
      <w:pPr>
        <w:spacing w:before="0" w:after="48" w:line="269" w:lineRule="auto"/>
        <w:ind w:firstLine="227"/>
        <w:jc w:val="both"/>
      </w:pPr>
      <w:r>
        <w:rPr>
          <w:rFonts w:ascii="Times New Roman" w:hAnsi="Times New Roman"/>
          <w:b w:val="0"/>
          <w:i w:val="0"/>
          <w:color w:val="0F172A"/>
          <w:sz w:val="20"/>
        </w:rPr>
        <w:t xml:space="preserve">Ketika asisten memakai model bahasa, isi percakapan dapat terekspos melalui penyimpanan, hak akses, atau layanan eksternal. Penyerang juga dapat mengarahkan model secara bertahap: pertanyaan awal tampak wajar, lalu tujuan berbahaya muncul setelah beberapa giliran. Russinovich dkk. mendemonstrasikan pola </w:t>
      </w:r>
      <w:r>
        <w:rPr>
          <w:rFonts w:ascii="Times New Roman" w:hAnsi="Times New Roman"/>
          <w:b w:val="0"/>
          <w:i/>
          <w:color w:val="0F172A"/>
          <w:sz w:val="20"/>
        </w:rPr>
        <w:t>Crescendo</w:t>
      </w:r>
      <w:r>
        <w:rPr>
          <w:rFonts w:ascii="Times New Roman" w:hAnsi="Times New Roman"/>
          <w:b w:val="0"/>
          <w:i w:val="0"/>
          <w:color w:val="0F172A"/>
          <w:sz w:val="20"/>
        </w:rPr>
        <w:t xml:space="preserve"> dalam prosiding </w:t>
      </w:r>
      <w:r>
        <w:rPr>
          <w:rFonts w:ascii="Times New Roman" w:hAnsi="Times New Roman"/>
          <w:b w:val="0"/>
          <w:i/>
          <w:color w:val="0F172A"/>
          <w:sz w:val="20"/>
        </w:rPr>
        <w:t>USENIX Security 2025</w:t>
      </w:r>
      <w:r>
        <w:rPr>
          <w:rFonts w:ascii="Times New Roman" w:hAnsi="Times New Roman"/>
          <w:b w:val="0"/>
          <w:i w:val="0"/>
          <w:color w:val="0F172A"/>
          <w:sz w:val="20"/>
        </w:rPr>
        <w:t xml:space="preserve"> [2]. Temuan itu memotivasi inspeksi lintas giliran, tetapi belum membuktikan efektivitas mekanisme SIAGA sendiri.</w:t>
      </w:r>
    </w:p>
    <w:p>
      <w:pPr>
        <w:keepNext/>
        <w:spacing w:before="120" w:after="40"/>
        <w:jc w:val="left"/>
      </w:pPr>
      <w:r>
        <w:rPr>
          <w:rFonts w:ascii="Times New Roman" w:hAnsi="Times New Roman"/>
          <w:b/>
          <w:color w:val="0F172A"/>
          <w:sz w:val="20"/>
        </w:rPr>
        <w:t>1.2. Relevansi dengan Trek Kompetisi</w:t>
      </w:r>
    </w:p>
    <w:p>
      <w:pPr>
        <w:spacing w:before="0" w:after="48" w:line="269" w:lineRule="auto"/>
        <w:ind w:firstLine="227"/>
        <w:jc w:val="both"/>
      </w:pPr>
      <w:r>
        <w:rPr>
          <w:rFonts w:ascii="Times New Roman" w:hAnsi="Times New Roman"/>
          <w:b w:val="0"/>
          <w:i w:val="0"/>
          <w:color w:val="0F172A"/>
          <w:sz w:val="20"/>
        </w:rPr>
        <w:t>SIAGA menempatkan pemeriksa keamanan di antara pengguna dan model bahasa. Pemeriksa ini menyimpan sinyal risiko lintas giliran, menilai perubahan arah percakapan, dan memutuskan apakah permintaan diteruskan, dipantau, diberi tantangan, atau diblokir. Pendekatan ini selaras dengan trek AI vs AI Defense: serangan memanfaatkan kemampuan dialog model, sedangkan pertahanan menggabungkan analisis isi dan riwayat interaksi. Risiko prompt injection serta pengungkapan informasi sensitif juga termasuk dalam taksonomi OWASP untuk aplikasi LLM [6].</w:t>
      </w:r>
    </w:p>
    <w:p>
      <w:pPr>
        <w:keepNext/>
        <w:spacing w:before="120" w:after="40"/>
        <w:jc w:val="left"/>
      </w:pPr>
      <w:r>
        <w:rPr>
          <w:rFonts w:ascii="Times New Roman" w:hAnsi="Times New Roman"/>
          <w:b/>
          <w:color w:val="0F172A"/>
          <w:sz w:val="20"/>
        </w:rPr>
        <w:t>1.3. Tujuan dan Batasan</w:t>
      </w:r>
    </w:p>
    <w:p>
      <w:pPr>
        <w:spacing w:before="0" w:after="48" w:line="269" w:lineRule="auto"/>
        <w:ind w:firstLine="227"/>
        <w:jc w:val="both"/>
      </w:pPr>
      <w:r>
        <w:rPr>
          <w:rFonts w:ascii="Times New Roman" w:hAnsi="Times New Roman"/>
          <w:b w:val="0"/>
          <w:i w:val="0"/>
          <w:color w:val="0F172A"/>
          <w:sz w:val="20"/>
        </w:rPr>
        <w:t>Tujuan prototipe adalah memperlihatkan satu alur konseling digital yang dapat menjalankan skrining, percakapan suportif, supervisi dokter, dan pemantauan insiden melalui satu gerbang keamanan stateful. PoC menggunakan model lokal bila layanan Ollama tersedia; ketika tidak tersedia, aplikasi memiliki balasan fallback dan antarmuka dapat memakai mode simulasi yang diberi penanda. Sistem ini belum divalidasi sebagai alat diagnosis, belum terbukti aman untuk penggunaan klinis nyata, dan belum menjalani audit kepatuhan menyeluruh. Batas tersebut menentukan rencana validasi pada Bab 6.</w:t>
      </w:r>
    </w:p>
    <w:p>
      <w:pPr>
        <w:keepNext/>
        <w:spacing w:before="120" w:after="40"/>
        <w:jc w:val="left"/>
      </w:pPr>
      <w:r>
        <w:rPr>
          <w:rFonts w:ascii="Times New Roman" w:hAnsi="Times New Roman"/>
          <w:b/>
          <w:color w:val="0F172A"/>
          <w:sz w:val="20"/>
        </w:rPr>
        <w:t>1.4. Skenario Ancaman dan Ukuran Keberhasilan</w:t>
      </w:r>
    </w:p>
    <w:p>
      <w:pPr>
        <w:spacing w:before="0" w:after="48" w:line="269" w:lineRule="auto"/>
        <w:ind w:firstLine="227"/>
        <w:jc w:val="both"/>
      </w:pPr>
      <w:r>
        <w:rPr>
          <w:rFonts w:ascii="Times New Roman" w:hAnsi="Times New Roman"/>
          <w:b w:val="0"/>
          <w:i w:val="0"/>
          <w:color w:val="0F172A"/>
          <w:sz w:val="20"/>
        </w:rPr>
        <w:t>Skenario utama dimulai dari pengguna yang bertanya tentang cara dokumentasi sesi, beralih ke struktur rekam medis, mengaku memiliki kewenangan, lalu meminta isi transkrip pasien. Permintaan terakhir jelas berbahaya, tetapi sinyal awal dapat menyerupai pertanyaan administratif yang sah. Pertahanan yang hanya menilai pesan terakhir melewatkan kesempatan melihat pergeseran arah sebelum permintaan eksplisit. SIAGA dirancang untuk menandai eskalasi tersebut di tingkat sesi, sambil tetap melayani percakapan pasien yang meminta dukungan emosional tanpa memicu blokir hanya karena kata-kata yang intens.</w:t>
      </w:r>
    </w:p>
    <w:p>
      <w:pPr>
        <w:spacing w:before="0" w:after="48" w:line="269" w:lineRule="auto"/>
        <w:ind w:firstLine="227"/>
        <w:jc w:val="both"/>
      </w:pPr>
      <w:r>
        <w:rPr>
          <w:rFonts w:ascii="Times New Roman" w:hAnsi="Times New Roman"/>
          <w:b w:val="0"/>
          <w:i w:val="0"/>
          <w:color w:val="0F172A"/>
          <w:sz w:val="20"/>
        </w:rPr>
        <w:t>Keberhasilan teknis akan dinilai melalui empat ukuran: proporsi skenario serangan yang dicegah sebelum balasan model, proporsi percakapan jinak yang keliru dibatasi, giliran saat intersepsi terjadi, dan tambahan waktu inspeksi per pesan. Setiap ukuran membutuhkan himpunan kasus berlabel dan kondisi uji yang tetap. Dengan demikian, keputusan juri dapat bertumpu pada bukti yang dapat diulang, bukan contoh keberhasilan terpilih. Keberhasilan klinis merupakan pertanyaan terpisah dan memerlukan protokol supervisi, keselamatan, serta evaluasi oleh tenaga profesional.</w:t>
      </w:r>
    </w:p>
    <w:p>
      <w:pPr>
        <w:keepNext/>
        <w:spacing w:before="160" w:after="60"/>
        <w:jc w:val="left"/>
      </w:pPr>
      <w:r>
        <w:rPr>
          <w:rFonts w:ascii="Times New Roman" w:hAnsi="Times New Roman"/>
          <w:b/>
          <w:color w:val="0F172A"/>
          <w:sz w:val="21"/>
        </w:rPr>
        <w:t>CHAPTER 2: SOLUTION OVERVIEW &amp; MARKET DIFFERENTIATION</w:t>
      </w:r>
    </w:p>
    <w:p>
      <w:pPr>
        <w:keepNext/>
        <w:spacing w:before="120" w:after="40"/>
        <w:jc w:val="left"/>
      </w:pPr>
      <w:r>
        <w:rPr>
          <w:rFonts w:ascii="Times New Roman" w:hAnsi="Times New Roman"/>
          <w:b/>
          <w:color w:val="0F172A"/>
          <w:sz w:val="20"/>
        </w:rPr>
        <w:t>2.1. Solusi yang Dibangun</w:t>
      </w:r>
    </w:p>
    <w:p>
      <w:pPr>
        <w:spacing w:before="0" w:after="48" w:line="269" w:lineRule="auto"/>
        <w:ind w:firstLine="227"/>
        <w:jc w:val="both"/>
      </w:pPr>
      <w:r>
        <w:rPr>
          <w:rFonts w:ascii="Times New Roman" w:hAnsi="Times New Roman"/>
          <w:b w:val="0"/>
          <w:i w:val="0"/>
          <w:color w:val="0F172A"/>
          <w:sz w:val="20"/>
        </w:rPr>
        <w:t>PsychoBot menyediakan antarmuka pasien untuk percakapan dan skrining PHQ-9/GAD-7. Portal dokter menampilkan data pasien dan asesmen sesuai peran. Konsol SOC menampilkan keputusan keamanan, log, dan kurva risiko. Backend FastAPI menerima pesan, menjalankan SIAGA L0-L3, lalu hanya meneruskan keputusan ALLOW atau WATCH ke pembangkit balasan. Keputusan PROBE menahan balasan model untuk meminta respons verifikasi; BLOCK menghentikan alur percakapan sesi yang terindikasi berbahaya.</w:t>
      </w:r>
    </w:p>
    <w:p>
      <w:pPr>
        <w:spacing w:before="0" w:after="48" w:line="269" w:lineRule="auto"/>
        <w:ind w:firstLine="227"/>
        <w:jc w:val="both"/>
      </w:pPr>
      <w:r>
        <w:rPr>
          <w:rFonts w:ascii="Times New Roman" w:hAnsi="Times New Roman"/>
          <w:b w:val="0"/>
          <w:i w:val="0"/>
          <w:color w:val="0F172A"/>
          <w:sz w:val="20"/>
        </w:rPr>
        <w:t xml:space="preserve">Nilai teknis utamanya adalah </w:t>
      </w:r>
      <w:r>
        <w:rPr>
          <w:rFonts w:ascii="Times New Roman" w:hAnsi="Times New Roman"/>
          <w:b w:val="0"/>
          <w:i/>
          <w:color w:val="0F172A"/>
          <w:sz w:val="20"/>
        </w:rPr>
        <w:t>Cumulative Intent Momentum</w:t>
      </w:r>
      <w:r>
        <w:rPr>
          <w:rFonts w:ascii="Times New Roman" w:hAnsi="Times New Roman"/>
          <w:b w:val="0"/>
          <w:i w:val="0"/>
          <w:color w:val="0F172A"/>
          <w:sz w:val="20"/>
        </w:rPr>
        <w:t xml:space="preserve"> (CIM): risiko tiap pesan tidak berdiri sendiri, tetapi diperbarui menggunakan riwayat risiko, konsistensi kenaikan, kemiripan terhadap balasan sistem, dan kedekatan semantik dengan contoh berisiko. Keputusan akhir berasal dari fusi beberapa sinyal, sehingga ambang keputusan tidak boleh dibaca sebagai ambang momentum tunggal.</w:t>
      </w:r>
    </w:p>
    <w:p>
      <w:pPr>
        <w:keepNext/>
        <w:spacing w:before="120" w:after="40"/>
        <w:jc w:val="left"/>
      </w:pPr>
      <w:r>
        <w:rPr>
          <w:rFonts w:ascii="Times New Roman" w:hAnsi="Times New Roman"/>
          <w:b/>
          <w:color w:val="0F172A"/>
          <w:sz w:val="20"/>
        </w:rPr>
        <w:t>2.2. Pembeda yang Dapat Dipertanggungjawabkan</w:t>
      </w:r>
    </w:p>
    <w:p>
      <w:pPr>
        <w:spacing w:before="0" w:after="48" w:line="269" w:lineRule="auto"/>
        <w:ind w:firstLine="227"/>
        <w:jc w:val="both"/>
      </w:pPr>
      <w:r>
        <w:rPr>
          <w:rFonts w:ascii="Times New Roman" w:hAnsi="Times New Roman"/>
          <w:b w:val="0"/>
          <w:i w:val="0"/>
          <w:color w:val="0F172A"/>
          <w:sz w:val="20"/>
        </w:rPr>
        <w:t xml:space="preserve">Tabel 1 membandingkan pendekatan, bukan mengklaim hasil uji langsung terhadap produk pihak ketiga. Penelitian Crescendo mendukung kebutuhan evaluasi lintas giliran [2], dan Microsoft membahas mitigasi yang turut memperhatikan rangkaian interaksi [8]. Uji acak Fitzpatrick dkk. di </w:t>
      </w:r>
      <w:r>
        <w:rPr>
          <w:rFonts w:ascii="Times New Roman" w:hAnsi="Times New Roman"/>
          <w:b w:val="0"/>
          <w:i/>
          <w:color w:val="0F172A"/>
          <w:sz w:val="20"/>
        </w:rPr>
        <w:t>JMIR Mental Health</w:t>
      </w:r>
      <w:r>
        <w:rPr>
          <w:rFonts w:ascii="Times New Roman" w:hAnsi="Times New Roman"/>
          <w:b w:val="0"/>
          <w:i w:val="0"/>
          <w:color w:val="0F172A"/>
          <w:sz w:val="20"/>
        </w:rPr>
        <w:t xml:space="preserve"> menunjukkan kelayakan awal agen percakapan untuk dukungan psikologis pada sampel terbatas [12]. Studi Woebot tersebut tidak memvalidasi PsychoBot maupun keselamatan klinis SIAGA. Inovasi yang diajukan adalah integrasi alur layanan dengan inspeksi berlapis pada PoC lokal.</w:t>
      </w:r>
    </w:p>
    <w:p>
      <w:pPr>
        <w:keepNext/>
        <w:spacing w:before="100" w:after="40"/>
        <w:jc w:val="center"/>
      </w:pPr>
      <w:r>
        <w:rPr>
          <w:rFonts w:ascii="Times New Roman" w:hAnsi="Times New Roman"/>
          <w:b/>
          <w:i w:val="0"/>
          <w:color w:val="0F172A"/>
          <w:sz w:val="17"/>
        </w:rPr>
        <w:t>Tabel 1. Posisi SIAGA terhadap pendekatan umum</w:t>
      </w:r>
    </w:p>
    <w:tbl>
      <w:tblPr>
        <w:tblW w:type="auto" w:w="0"/>
        <w:jc w:val="center"/>
        <w:tblLayout w:type="fixed"/>
        <w:tblLook w:firstColumn="1" w:firstRow="1" w:lastColumn="0" w:lastRow="0" w:noHBand="0" w:noVBand="1" w:val="04A0"/>
        <w:tblBorders>
          <w:top w:val="single" w:sz="6" w:space="0" w:color="0F172A"/>
          <w:left w:val="none"/>
          <w:bottom w:val="single" w:sz="6" w:space="0" w:color="0F172A"/>
          <w:right w:val="none"/>
          <w:insideH w:val="none"/>
          <w:insideV w:val="none"/>
        </w:tblBorders>
      </w:tblPr>
      <w:tblGrid>
        <w:gridCol w:w="2409"/>
        <w:gridCol w:w="2409"/>
        <w:gridCol w:w="2409"/>
        <w:gridCol w:w="2409"/>
      </w:tblGrid>
      <w:tr>
        <w:trPr>
          <w:cantSplit/>
          <w:tblHeader/>
        </w:trPr>
        <w:tc>
          <w:tcPr>
            <w:tcW w:type="dxa" w:w="964"/>
            <w:vAlign w:val="center"/>
            <w:tcMar>
              <w:top w:w="35" w:type="dxa"/>
              <w:bottom w:w="35" w:type="dxa"/>
              <w:left w:w="40" w:type="dxa"/>
              <w:right w:w="40" w:type="dxa"/>
            </w:tcMar>
            <w:tcBorders>
              <w:bottom w:val="single" w:sz="4" w:space="0" w:color="334155"/>
            </w:tcBorders>
          </w:tcPr>
          <w:p>
            <w:pPr>
              <w:spacing w:before="10" w:after="10" w:line="245" w:lineRule="auto"/>
              <w:jc w:val="center"/>
            </w:pPr>
            <w:r>
              <w:rPr>
                <w:rFonts w:ascii="Times New Roman" w:hAnsi="Times New Roman"/>
                <w:b/>
                <w:i w:val="0"/>
                <w:color w:val="0F172A"/>
                <w:sz w:val="16"/>
              </w:rPr>
              <w:t>Pendekatan</w:t>
            </w:r>
          </w:p>
        </w:tc>
        <w:tc>
          <w:tcPr>
            <w:tcW w:type="dxa" w:w="1077"/>
            <w:vAlign w:val="center"/>
            <w:tcMar>
              <w:top w:w="35" w:type="dxa"/>
              <w:bottom w:w="35" w:type="dxa"/>
              <w:left w:w="40" w:type="dxa"/>
              <w:right w:w="40" w:type="dxa"/>
            </w:tcMar>
            <w:tcBorders>
              <w:bottom w:val="single" w:sz="4" w:space="0" w:color="334155"/>
            </w:tcBorders>
          </w:tcPr>
          <w:p>
            <w:pPr>
              <w:spacing w:before="10" w:after="10" w:line="245" w:lineRule="auto"/>
              <w:jc w:val="center"/>
            </w:pPr>
            <w:r>
              <w:rPr>
                <w:rFonts w:ascii="Times New Roman" w:hAnsi="Times New Roman"/>
                <w:b/>
                <w:i w:val="0"/>
                <w:color w:val="0F172A"/>
                <w:sz w:val="16"/>
              </w:rPr>
              <w:t>Konteks yang dinilai</w:t>
            </w:r>
          </w:p>
        </w:tc>
        <w:tc>
          <w:tcPr>
            <w:tcW w:type="dxa" w:w="1191"/>
            <w:vAlign w:val="center"/>
            <w:tcMar>
              <w:top w:w="35" w:type="dxa"/>
              <w:bottom w:w="35" w:type="dxa"/>
              <w:left w:w="40" w:type="dxa"/>
              <w:right w:w="40" w:type="dxa"/>
            </w:tcMar>
            <w:tcBorders>
              <w:bottom w:val="single" w:sz="4" w:space="0" w:color="334155"/>
            </w:tcBorders>
          </w:tcPr>
          <w:p>
            <w:pPr>
              <w:spacing w:before="10" w:after="10" w:line="245" w:lineRule="auto"/>
              <w:jc w:val="center"/>
            </w:pPr>
            <w:r>
              <w:rPr>
                <w:rFonts w:ascii="Times New Roman" w:hAnsi="Times New Roman"/>
                <w:b/>
                <w:i w:val="0"/>
                <w:color w:val="0F172A"/>
                <w:sz w:val="16"/>
              </w:rPr>
              <w:t>Kekuatan</w:t>
            </w:r>
          </w:p>
        </w:tc>
        <w:tc>
          <w:tcPr>
            <w:tcW w:type="dxa" w:w="1191"/>
            <w:vAlign w:val="center"/>
            <w:tcMar>
              <w:top w:w="35" w:type="dxa"/>
              <w:bottom w:w="35" w:type="dxa"/>
              <w:left w:w="40" w:type="dxa"/>
              <w:right w:w="40" w:type="dxa"/>
            </w:tcMar>
            <w:tcBorders>
              <w:bottom w:val="single" w:sz="4" w:space="0" w:color="334155"/>
            </w:tcBorders>
          </w:tcPr>
          <w:p>
            <w:pPr>
              <w:spacing w:before="10" w:after="10" w:line="245" w:lineRule="auto"/>
              <w:jc w:val="center"/>
            </w:pPr>
            <w:r>
              <w:rPr>
                <w:rFonts w:ascii="Times New Roman" w:hAnsi="Times New Roman"/>
                <w:b/>
                <w:i w:val="0"/>
                <w:color w:val="0F172A"/>
                <w:sz w:val="16"/>
              </w:rPr>
              <w:t>Batas utama</w:t>
            </w:r>
          </w:p>
        </w:tc>
      </w:tr>
      <w:tr>
        <w:trPr>
          <w:cantSplit/>
        </w:trPr>
        <w:tc>
          <w:tcPr>
            <w:tcW w:type="dxa" w:w="964"/>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6"/>
              </w:rPr>
              <w:t>Aturan per pesan</w:t>
            </w:r>
          </w:p>
        </w:tc>
        <w:tc>
          <w:tcPr>
            <w:tcW w:type="dxa" w:w="1077"/>
            <w:vAlign w:val="center"/>
            <w:tcMar>
              <w:top w:w="35" w:type="dxa"/>
              <w:bottom w:w="35" w:type="dxa"/>
              <w:left w:w="40" w:type="dxa"/>
              <w:right w:w="40" w:type="dxa"/>
            </w:tcMar>
          </w:tcPr>
          <w:p>
            <w:pPr>
              <w:spacing w:before="10" w:after="10" w:line="245" w:lineRule="auto"/>
              <w:jc w:val="center"/>
            </w:pPr>
            <w:r>
              <w:rPr>
                <w:rFonts w:ascii="Times New Roman" w:hAnsi="Times New Roman"/>
                <w:b w:val="0"/>
                <w:i w:val="0"/>
                <w:color w:val="0F172A"/>
                <w:sz w:val="16"/>
              </w:rPr>
              <w:t>Satu masukan</w:t>
            </w:r>
          </w:p>
        </w:tc>
        <w:tc>
          <w:tcPr>
            <w:tcW w:type="dxa" w:w="1191"/>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6"/>
              </w:rPr>
              <w:t>Ringan dan mudah diaudit</w:t>
            </w:r>
          </w:p>
        </w:tc>
        <w:tc>
          <w:tcPr>
            <w:tcW w:type="dxa" w:w="1191"/>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6"/>
              </w:rPr>
              <w:t>Arah eskalasi lintas giliran tidak terlihat</w:t>
            </w:r>
          </w:p>
        </w:tc>
      </w:tr>
      <w:tr>
        <w:trPr>
          <w:cantSplit/>
        </w:trPr>
        <w:tc>
          <w:tcPr>
            <w:tcW w:type="dxa" w:w="964"/>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6"/>
              </w:rPr>
              <w:t>Pemeriksaan model per pesan</w:t>
            </w:r>
          </w:p>
        </w:tc>
        <w:tc>
          <w:tcPr>
            <w:tcW w:type="dxa" w:w="1077"/>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6"/>
              </w:rPr>
              <w:t>Satu masukan dengan klasifikasi</w:t>
            </w:r>
          </w:p>
        </w:tc>
        <w:tc>
          <w:tcPr>
            <w:tcW w:type="dxa" w:w="1191"/>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6"/>
              </w:rPr>
              <w:t>Lebih lentur terhadap variasi bahasa</w:t>
            </w:r>
          </w:p>
        </w:tc>
        <w:tc>
          <w:tcPr>
            <w:tcW w:type="dxa" w:w="1191"/>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6"/>
              </w:rPr>
              <w:t>Bergantung pada model dan ambang yang diuji</w:t>
            </w:r>
          </w:p>
        </w:tc>
      </w:tr>
      <w:tr>
        <w:trPr>
          <w:cantSplit/>
        </w:trPr>
        <w:tc>
          <w:tcPr>
            <w:tcW w:type="dxa" w:w="964"/>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6"/>
              </w:rPr>
              <w:t>Pemeriksaan multi-turn</w:t>
            </w:r>
          </w:p>
        </w:tc>
        <w:tc>
          <w:tcPr>
            <w:tcW w:type="dxa" w:w="1077"/>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6"/>
              </w:rPr>
              <w:t>Beberapa giliran</w:t>
            </w:r>
          </w:p>
        </w:tc>
        <w:tc>
          <w:tcPr>
            <w:tcW w:type="dxa" w:w="1191"/>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6"/>
              </w:rPr>
              <w:t>Menangkap pola dialog bertahap</w:t>
            </w:r>
          </w:p>
        </w:tc>
        <w:tc>
          <w:tcPr>
            <w:tcW w:type="dxa" w:w="1191"/>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6"/>
              </w:rPr>
              <w:t>Memerlukan pengelolaan state dan evaluasi salah deteksi</w:t>
            </w:r>
          </w:p>
        </w:tc>
      </w:tr>
      <w:tr>
        <w:trPr>
          <w:cantSplit/>
        </w:trPr>
        <w:tc>
          <w:tcPr>
            <w:tcW w:type="dxa" w:w="964"/>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6"/>
              </w:rPr>
              <w:t>SIAGA v2</w:t>
            </w:r>
          </w:p>
        </w:tc>
        <w:tc>
          <w:tcPr>
            <w:tcW w:type="dxa" w:w="1077"/>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6"/>
              </w:rPr>
              <w:t>Sinyal L0-L3 per sesi sebelum inferensi</w:t>
            </w:r>
          </w:p>
        </w:tc>
        <w:tc>
          <w:tcPr>
            <w:tcW w:type="dxa" w:w="1191"/>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6"/>
              </w:rPr>
              <w:t>Menggabungkan state, keputusan, dan telemetri dalam PoC lokal</w:t>
            </w:r>
          </w:p>
        </w:tc>
        <w:tc>
          <w:tcPr>
            <w:tcW w:type="dxa" w:w="1191"/>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6"/>
              </w:rPr>
              <w:t>Belum ada benchmark luas lintas model atau validasi klinis</w:t>
            </w:r>
          </w:p>
        </w:tc>
      </w:tr>
    </w:tbl>
    <w:p>
      <w:pPr>
        <w:spacing w:before="0" w:after="40"/>
      </w:pPr>
    </w:p>
    <w:p>
      <w:pPr>
        <w:keepNext/>
        <w:spacing w:before="120" w:after="40"/>
        <w:jc w:val="left"/>
      </w:pPr>
      <w:r>
        <w:rPr>
          <w:rFonts w:ascii="Times New Roman" w:hAnsi="Times New Roman"/>
          <w:b/>
          <w:color w:val="0F172A"/>
          <w:sz w:val="20"/>
        </w:rPr>
        <w:t>2.3. Proposisi Nilai</w:t>
      </w:r>
    </w:p>
    <w:p>
      <w:pPr>
        <w:spacing w:before="0" w:after="48" w:line="269" w:lineRule="auto"/>
        <w:ind w:firstLine="227"/>
        <w:jc w:val="both"/>
      </w:pPr>
      <w:r>
        <w:rPr>
          <w:rFonts w:ascii="Times New Roman" w:hAnsi="Times New Roman"/>
          <w:b w:val="0"/>
          <w:i w:val="0"/>
          <w:color w:val="0F172A"/>
          <w:sz w:val="20"/>
        </w:rPr>
        <w:t>SIAGA menawarkan tiga kemampuan yang tampak pada prototipe: inspeksi sebelum pesan mencapai LLM, penjelasan keputusan per giliran, dan pemisahan data inspeksi dari riwayat aplikasi. Inferensi lokal melalui Ollama mengurangi kebutuhan mengirim isi percakapan ke API model eksternal dalam konfigurasi tersebut. Keuntungan privasi ini tetap bergantung pada konfigurasi, kontrol akses, dan tata kelola penyimpanan aplikasi; ia bukan jaminan kepatuhan otomatis terhadap UU PDP.</w:t>
      </w:r>
    </w:p>
    <w:p>
      <w:pPr>
        <w:keepNext/>
        <w:spacing w:before="120" w:after="40"/>
        <w:jc w:val="left"/>
      </w:pPr>
      <w:r>
        <w:rPr>
          <w:rFonts w:ascii="Times New Roman" w:hAnsi="Times New Roman"/>
          <w:b/>
          <w:color w:val="0F172A"/>
          <w:sz w:val="20"/>
        </w:rPr>
        <w:t>2.4. Pengalaman Tiga Peran</w:t>
      </w:r>
    </w:p>
    <w:p>
      <w:pPr>
        <w:spacing w:before="0" w:after="48" w:line="269" w:lineRule="auto"/>
        <w:ind w:firstLine="227"/>
        <w:jc w:val="both"/>
      </w:pPr>
      <w:r>
        <w:rPr>
          <w:rFonts w:ascii="Times New Roman" w:hAnsi="Times New Roman"/>
          <w:b/>
          <w:i w:val="0"/>
          <w:color w:val="0F172A"/>
          <w:sz w:val="20"/>
        </w:rPr>
        <w:t>Pasien</w:t>
      </w:r>
      <w:r>
        <w:rPr>
          <w:rFonts w:ascii="Times New Roman" w:hAnsi="Times New Roman"/>
          <w:b w:val="0"/>
          <w:i w:val="0"/>
          <w:color w:val="0F172A"/>
          <w:sz w:val="20"/>
        </w:rPr>
        <w:t xml:space="preserve"> memperoleh jalur masuk sederhana: skrining mandiri untuk memahami gejala, lalu percakapan suportif. Hasil skrining ditampilkan sebagai skor dan tingkat gejala, bukan keputusan medis. </w:t>
      </w:r>
      <w:r>
        <w:rPr>
          <w:rFonts w:ascii="Times New Roman" w:hAnsi="Times New Roman"/>
          <w:b/>
          <w:i w:val="0"/>
          <w:color w:val="0F172A"/>
          <w:sz w:val="20"/>
        </w:rPr>
        <w:t>Dokter</w:t>
      </w:r>
      <w:r>
        <w:rPr>
          <w:rFonts w:ascii="Times New Roman" w:hAnsi="Times New Roman"/>
          <w:b w:val="0"/>
          <w:i w:val="0"/>
          <w:color w:val="0F172A"/>
          <w:sz w:val="20"/>
        </w:rPr>
        <w:t xml:space="preserve"> dapat meninjau data yang tersedia dalam portal berdasarkan peran dan menambahkan catatan klinis. </w:t>
      </w:r>
      <w:r>
        <w:rPr>
          <w:rFonts w:ascii="Times New Roman" w:hAnsi="Times New Roman"/>
          <w:b/>
          <w:i w:val="0"/>
          <w:color w:val="0F172A"/>
          <w:sz w:val="20"/>
        </w:rPr>
        <w:t>Petugas SOC</w:t>
      </w:r>
      <w:r>
        <w:rPr>
          <w:rFonts w:ascii="Times New Roman" w:hAnsi="Times New Roman"/>
          <w:b w:val="0"/>
          <w:i w:val="0"/>
          <w:color w:val="0F172A"/>
          <w:sz w:val="20"/>
        </w:rPr>
        <w:t xml:space="preserve"> melihat peristiwa keamanan, termasuk alasan keputusan serta lintasan skor. Pemisahan peran ini membuat keluaran keamanan tidak menutupi kebutuhan pengguna untuk menerima respons yang jelas dan tenang.</w:t>
      </w:r>
    </w:p>
    <w:p>
      <w:pPr>
        <w:spacing w:before="0" w:after="48" w:line="269" w:lineRule="auto"/>
        <w:ind w:firstLine="227"/>
        <w:jc w:val="both"/>
      </w:pPr>
      <w:r>
        <w:rPr>
          <w:rFonts w:ascii="Times New Roman" w:hAnsi="Times New Roman"/>
          <w:b w:val="0"/>
          <w:i w:val="0"/>
          <w:color w:val="0F172A"/>
          <w:sz w:val="20"/>
        </w:rPr>
        <w:t>Pada titik PROBE, sistem tidak meneruskan pesan yang dicurigai ke model utama. Ia menyajikan tantangan terstruktur dan menilai balasannya. Jika balasan ambigu, kebijakan mengarah ke WATCH; bila sinyal penyerang terkonfirmasi, sesi diblokir. Mekanisme ini adalah kontrol eksperimen, bukan tes identitas manusia yang dapat dipercaya secara universal. Keputusan berisiko tinggi tetap perlu jalur peninjauan manusia dan mekanisme pemulihan sesi pada produk nyata.</w:t>
      </w:r>
    </w:p>
    <w:p>
      <w:pPr>
        <w:keepNext/>
        <w:spacing w:before="160" w:after="60"/>
        <w:jc w:val="left"/>
      </w:pPr>
      <w:r>
        <w:rPr>
          <w:rFonts w:ascii="Times New Roman" w:hAnsi="Times New Roman"/>
          <w:b/>
          <w:color w:val="0F172A"/>
          <w:sz w:val="21"/>
        </w:rPr>
        <w:t>CHAPTER 3: PROOF OF CONCEPT IMPLEMENTATION</w:t>
      </w:r>
    </w:p>
    <w:p>
      <w:pPr>
        <w:keepNext/>
        <w:spacing w:before="120" w:after="40"/>
        <w:jc w:val="left"/>
      </w:pPr>
      <w:r>
        <w:rPr>
          <w:rFonts w:ascii="Times New Roman" w:hAnsi="Times New Roman"/>
          <w:b/>
          <w:color w:val="0F172A"/>
          <w:sz w:val="20"/>
        </w:rPr>
        <w:t>3.1. Alur Demonstrasi</w:t>
      </w:r>
    </w:p>
    <w:p>
      <w:pPr>
        <w:spacing w:before="0" w:after="48" w:line="269" w:lineRule="auto"/>
        <w:ind w:firstLine="227"/>
        <w:jc w:val="both"/>
      </w:pPr>
      <w:r>
        <w:rPr>
          <w:rFonts w:ascii="Times New Roman" w:hAnsi="Times New Roman"/>
          <w:b w:val="0"/>
          <w:i w:val="0"/>
          <w:color w:val="0F172A"/>
          <w:sz w:val="20"/>
        </w:rPr>
        <w:t>Pengguna masuk sebagai pasien, mengisi asesmen atau membuka sesi chat, lalu mengirim pesan. Frontend memilih koneksi backend langsung bila pemeriksaan kesehatan API berhasil; bila gagal, mode mock menjalankan simulasi lokal. Pada jalur backend, pesan diperiksa oleh SIAGA. Pasien menerima balasan bila aman, sedangkan petugas SOC dapat meninjau keputusan dan riwayat skor. Dokter dapat melihat asesmen serta menulis catatan pasien sesuai peran. Alur ini cukup untuk menunjukkan hubungan antara layanan, guardrail, dan telemetri, tanpa menyamakan mode simulasi dengan pengujian backend sesungguhnya.</w:t>
      </w:r>
    </w:p>
    <w:p>
      <w:pPr>
        <w:keepNext/>
        <w:spacing w:before="120" w:after="40"/>
        <w:jc w:val="left"/>
      </w:pPr>
      <w:r>
        <w:rPr>
          <w:rFonts w:ascii="Times New Roman" w:hAnsi="Times New Roman"/>
          <w:b/>
          <w:color w:val="0F172A"/>
          <w:sz w:val="20"/>
        </w:rPr>
        <w:t>3.2. Fitur yang Ada dan Statusnya</w:t>
      </w:r>
    </w:p>
    <w:p>
      <w:pPr>
        <w:spacing w:before="0" w:after="48" w:line="269" w:lineRule="auto"/>
        <w:ind w:firstLine="227"/>
        <w:jc w:val="both"/>
      </w:pPr>
      <w:r>
        <w:rPr>
          <w:rFonts w:ascii="Times New Roman" w:hAnsi="Times New Roman"/>
          <w:b w:val="0"/>
          <w:i w:val="0"/>
          <w:color w:val="0F172A"/>
          <w:sz w:val="20"/>
        </w:rPr>
        <w:t>Tabel 2 membedakan kemampuan yang terlihat di kode dari ketergantungan opsional dan pekerjaan lanjutan. Bukti implementasi merujuk pada berkas dalam repositori [9].</w:t>
      </w:r>
    </w:p>
    <w:p>
      <w:pPr>
        <w:keepNext/>
        <w:spacing w:before="100" w:after="40"/>
        <w:jc w:val="center"/>
      </w:pPr>
      <w:r>
        <w:rPr>
          <w:rFonts w:ascii="Times New Roman" w:hAnsi="Times New Roman"/>
          <w:b/>
          <w:i w:val="0"/>
          <w:color w:val="0F172A"/>
          <w:sz w:val="17"/>
        </w:rPr>
        <w:t>Tabel 2. Status komponen PoC pada checkout proyek</w:t>
      </w:r>
    </w:p>
    <w:tbl>
      <w:tblPr>
        <w:tblW w:type="auto" w:w="0"/>
        <w:jc w:val="center"/>
        <w:tblLayout w:type="fixed"/>
        <w:tblLook w:firstColumn="1" w:firstRow="1" w:lastColumn="0" w:lastRow="0" w:noHBand="0" w:noVBand="1" w:val="04A0"/>
        <w:tblBorders>
          <w:top w:val="single" w:sz="6" w:space="0" w:color="0F172A"/>
          <w:left w:val="none"/>
          <w:bottom w:val="single" w:sz="6" w:space="0" w:color="0F172A"/>
          <w:right w:val="none"/>
          <w:insideH w:val="none"/>
          <w:insideV w:val="none"/>
        </w:tblBorders>
      </w:tblPr>
      <w:tblGrid>
        <w:gridCol w:w="3213"/>
        <w:gridCol w:w="3213"/>
        <w:gridCol w:w="3213"/>
      </w:tblGrid>
      <w:tr>
        <w:trPr>
          <w:cantSplit/>
          <w:tblHeader/>
        </w:trPr>
        <w:tc>
          <w:tcPr>
            <w:tcW w:type="dxa" w:w="1191"/>
            <w:vAlign w:val="center"/>
            <w:tcMar>
              <w:top w:w="35" w:type="dxa"/>
              <w:bottom w:w="35" w:type="dxa"/>
              <w:left w:w="40" w:type="dxa"/>
              <w:right w:w="40" w:type="dxa"/>
            </w:tcMar>
            <w:tcBorders>
              <w:bottom w:val="single" w:sz="4" w:space="0" w:color="334155"/>
            </w:tcBorders>
          </w:tcPr>
          <w:p>
            <w:pPr>
              <w:spacing w:before="10" w:after="10" w:line="245" w:lineRule="auto"/>
              <w:jc w:val="center"/>
            </w:pPr>
            <w:r>
              <w:rPr>
                <w:rFonts w:ascii="Times New Roman" w:hAnsi="Times New Roman"/>
                <w:b/>
                <w:i w:val="0"/>
                <w:color w:val="0F172A"/>
                <w:sz w:val="16"/>
              </w:rPr>
              <w:t>Komponen</w:t>
            </w:r>
          </w:p>
        </w:tc>
        <w:tc>
          <w:tcPr>
            <w:tcW w:type="dxa" w:w="907"/>
            <w:vAlign w:val="center"/>
            <w:tcMar>
              <w:top w:w="35" w:type="dxa"/>
              <w:bottom w:w="35" w:type="dxa"/>
              <w:left w:w="40" w:type="dxa"/>
              <w:right w:w="40" w:type="dxa"/>
            </w:tcMar>
            <w:tcBorders>
              <w:bottom w:val="single" w:sz="4" w:space="0" w:color="334155"/>
            </w:tcBorders>
          </w:tcPr>
          <w:p>
            <w:pPr>
              <w:spacing w:before="10" w:after="10" w:line="245" w:lineRule="auto"/>
              <w:jc w:val="center"/>
            </w:pPr>
            <w:r>
              <w:rPr>
                <w:rFonts w:ascii="Times New Roman" w:hAnsi="Times New Roman"/>
                <w:b/>
                <w:i w:val="0"/>
                <w:color w:val="0F172A"/>
                <w:sz w:val="16"/>
              </w:rPr>
              <w:t>Status saat ini</w:t>
            </w:r>
          </w:p>
        </w:tc>
        <w:tc>
          <w:tcPr>
            <w:tcW w:type="dxa" w:w="2324"/>
            <w:vAlign w:val="center"/>
            <w:tcMar>
              <w:top w:w="35" w:type="dxa"/>
              <w:bottom w:w="35" w:type="dxa"/>
              <w:left w:w="40" w:type="dxa"/>
              <w:right w:w="40" w:type="dxa"/>
            </w:tcMar>
            <w:tcBorders>
              <w:bottom w:val="single" w:sz="4" w:space="0" w:color="334155"/>
            </w:tcBorders>
          </w:tcPr>
          <w:p>
            <w:pPr>
              <w:spacing w:before="10" w:after="10" w:line="245" w:lineRule="auto"/>
              <w:jc w:val="center"/>
            </w:pPr>
            <w:r>
              <w:rPr>
                <w:rFonts w:ascii="Times New Roman" w:hAnsi="Times New Roman"/>
                <w:b/>
                <w:i w:val="0"/>
                <w:color w:val="0F172A"/>
                <w:sz w:val="16"/>
              </w:rPr>
              <w:t>Bukti atau batas</w:t>
            </w:r>
          </w:p>
        </w:tc>
      </w:tr>
      <w:tr>
        <w:trPr>
          <w:cantSplit/>
        </w:trPr>
        <w:tc>
          <w:tcPr>
            <w:tcW w:type="dxa" w:w="1191"/>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6"/>
              </w:rPr>
              <w:t>Skrining PHQ-9/GAD-7 dan riwayat</w:t>
            </w:r>
          </w:p>
        </w:tc>
        <w:tc>
          <w:tcPr>
            <w:tcW w:type="dxa" w:w="907"/>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6"/>
              </w:rPr>
              <w:t>Ada</w:t>
            </w:r>
          </w:p>
        </w:tc>
        <w:tc>
          <w:tcPr>
            <w:tcW w:type="dxa" w:w="2324"/>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6"/>
              </w:rPr>
              <w:t>Endpoint asesmen dan halaman pasien; hasil adalah skrining, bukan diagnosis</w:t>
            </w:r>
          </w:p>
        </w:tc>
      </w:tr>
      <w:tr>
        <w:trPr>
          <w:cantSplit/>
        </w:trPr>
        <w:tc>
          <w:tcPr>
            <w:tcW w:type="dxa" w:w="1191"/>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6"/>
              </w:rPr>
              <w:t>Guardrail L0-L3, PROBE, BLOCK</w:t>
            </w:r>
          </w:p>
        </w:tc>
        <w:tc>
          <w:tcPr>
            <w:tcW w:type="dxa" w:w="907"/>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6"/>
              </w:rPr>
              <w:t>Ada</w:t>
            </w:r>
          </w:p>
        </w:tc>
        <w:tc>
          <w:tcPr>
            <w:tcW w:type="dxa" w:w="2324"/>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6"/>
              </w:rPr>
              <w:t xml:space="preserve">Orkestrasi di </w:t>
            </w:r>
            <w:r>
              <w:rPr>
                <w:rFonts w:ascii="Consolas" w:hAnsi="Consolas"/>
                <w:b w:val="0"/>
                <w:color w:val="0F172A"/>
                <w:sz w:val="14"/>
              </w:rPr>
              <w:t>backend/app/engine.py</w:t>
            </w:r>
            <w:r>
              <w:rPr>
                <w:rFonts w:ascii="Times New Roman" w:hAnsi="Times New Roman"/>
                <w:b w:val="0"/>
                <w:i w:val="0"/>
                <w:color w:val="0F172A"/>
                <w:sz w:val="16"/>
              </w:rPr>
              <w:t xml:space="preserve"> dan uji di </w:t>
            </w:r>
            <w:r>
              <w:rPr>
                <w:rFonts w:ascii="Consolas" w:hAnsi="Consolas"/>
                <w:b w:val="0"/>
                <w:color w:val="0F172A"/>
                <w:sz w:val="14"/>
              </w:rPr>
              <w:t>backend/tests/</w:t>
            </w:r>
          </w:p>
        </w:tc>
      </w:tr>
      <w:tr>
        <w:trPr>
          <w:cantSplit/>
        </w:trPr>
        <w:tc>
          <w:tcPr>
            <w:tcW w:type="dxa" w:w="1191"/>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6"/>
              </w:rPr>
              <w:t>Streaming chat dan telemetri SOC</w:t>
            </w:r>
          </w:p>
        </w:tc>
        <w:tc>
          <w:tcPr>
            <w:tcW w:type="dxa" w:w="907"/>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6"/>
              </w:rPr>
              <w:t>Ada</w:t>
            </w:r>
          </w:p>
        </w:tc>
        <w:tc>
          <w:tcPr>
            <w:tcW w:type="dxa" w:w="2324"/>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6"/>
              </w:rPr>
              <w:t>Endpoint SSE dan halaman admin; sumber data bergantung mode live/mock</w:t>
            </w:r>
          </w:p>
        </w:tc>
      </w:tr>
      <w:tr>
        <w:trPr>
          <w:cantSplit/>
        </w:trPr>
        <w:tc>
          <w:tcPr>
            <w:tcW w:type="dxa" w:w="1191"/>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6"/>
              </w:rPr>
              <w:t>Model bahasa lokal</w:t>
            </w:r>
          </w:p>
        </w:tc>
        <w:tc>
          <w:tcPr>
            <w:tcW w:type="dxa" w:w="907"/>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6"/>
              </w:rPr>
              <w:t>Bersyarat</w:t>
            </w:r>
          </w:p>
        </w:tc>
        <w:tc>
          <w:tcPr>
            <w:tcW w:type="dxa" w:w="2324"/>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6"/>
              </w:rPr>
              <w:t>Klien Ollama tersedia; fallback dipakai bila layanan model tidak hidup</w:t>
            </w:r>
          </w:p>
        </w:tc>
      </w:tr>
      <w:tr>
        <w:trPr>
          <w:cantSplit/>
        </w:trPr>
        <w:tc>
          <w:tcPr>
            <w:tcW w:type="dxa" w:w="1191"/>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6"/>
              </w:rPr>
              <w:t>Model ONNX INT8</w:t>
            </w:r>
          </w:p>
        </w:tc>
        <w:tc>
          <w:tcPr>
            <w:tcW w:type="dxa" w:w="907"/>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6"/>
              </w:rPr>
              <w:t>Bersyarat</w:t>
            </w:r>
          </w:p>
        </w:tc>
        <w:tc>
          <w:tcPr>
            <w:tcW w:type="dxa" w:w="2324"/>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6"/>
              </w:rPr>
              <w:t>Kode pemuat tersedia; tanpa berkas model, L1 memakai hashing dan leksikon</w:t>
            </w:r>
          </w:p>
        </w:tc>
      </w:tr>
      <w:tr>
        <w:trPr>
          <w:cantSplit/>
        </w:trPr>
        <w:tc>
          <w:tcPr>
            <w:tcW w:type="dxa" w:w="1191"/>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6"/>
              </w:rPr>
              <w:t>Verifikasi SIP</w:t>
            </w:r>
          </w:p>
        </w:tc>
        <w:tc>
          <w:tcPr>
            <w:tcW w:type="dxa" w:w="907"/>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6"/>
              </w:rPr>
              <w:t>Terbatas</w:t>
            </w:r>
          </w:p>
        </w:tc>
        <w:tc>
          <w:tcPr>
            <w:tcW w:type="dxa" w:w="2324"/>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6"/>
              </w:rPr>
              <w:t>Saat ini memeriksa format delapan digit, belum mengecek registri resmi</w:t>
            </w:r>
          </w:p>
        </w:tc>
      </w:tr>
      <w:tr>
        <w:trPr>
          <w:cantSplit/>
        </w:trPr>
        <w:tc>
          <w:tcPr>
            <w:tcW w:type="dxa" w:w="1191"/>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6"/>
              </w:rPr>
              <w:t>SATUSEHAT FHIR, cache semantik, TAP runner</w:t>
            </w:r>
          </w:p>
        </w:tc>
        <w:tc>
          <w:tcPr>
            <w:tcW w:type="dxa" w:w="907"/>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6"/>
              </w:rPr>
              <w:t>Rencana</w:t>
            </w:r>
          </w:p>
        </w:tc>
        <w:tc>
          <w:tcPr>
            <w:tcW w:type="dxa" w:w="2324"/>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6"/>
              </w:rPr>
              <w:t>Modul dan endpoint tersebut tidak ditemukan pada checkout ini</w:t>
            </w:r>
          </w:p>
        </w:tc>
      </w:tr>
    </w:tbl>
    <w:p>
      <w:pPr>
        <w:spacing w:before="0" w:after="40"/>
      </w:pPr>
    </w:p>
    <w:p>
      <w:pPr>
        <w:keepNext/>
        <w:spacing w:before="120" w:after="40"/>
        <w:jc w:val="left"/>
      </w:pPr>
      <w:r>
        <w:rPr>
          <w:rFonts w:ascii="Times New Roman" w:hAnsi="Times New Roman"/>
          <w:b/>
          <w:color w:val="0F172A"/>
          <w:sz w:val="20"/>
        </w:rPr>
        <w:t>3.3. Bukti Pengujian dan Batas Inferensi</w:t>
      </w:r>
    </w:p>
    <w:p>
      <w:pPr>
        <w:spacing w:before="0" w:after="48" w:line="269" w:lineRule="auto"/>
        <w:ind w:firstLine="227"/>
        <w:jc w:val="both"/>
      </w:pPr>
      <w:r>
        <w:rPr>
          <w:rFonts w:ascii="Times New Roman" w:hAnsi="Times New Roman"/>
          <w:b w:val="0"/>
          <w:i w:val="0"/>
          <w:color w:val="0F172A"/>
          <w:sz w:val="20"/>
        </w:rPr>
        <w:t xml:space="preserve">Repositori menyediakan uji normalisasi karakter tersembunyi, akumulasi momentum, percakapan jinak, eskalasi lima giliran, keputusan ambang, probe, autentikasi, asesmen, SSE, serta pembatasan peran [9]. Uji fungsional tersebut tidak cukup untuk menyimpulkan </w:t>
      </w:r>
      <w:r>
        <w:rPr>
          <w:rFonts w:ascii="Times New Roman" w:hAnsi="Times New Roman"/>
          <w:b w:val="0"/>
          <w:i/>
          <w:color w:val="0F172A"/>
          <w:sz w:val="20"/>
        </w:rPr>
        <w:t>attack success rate</w:t>
      </w:r>
      <w:r>
        <w:rPr>
          <w:rFonts w:ascii="Times New Roman" w:hAnsi="Times New Roman"/>
          <w:b w:val="0"/>
          <w:i w:val="0"/>
          <w:color w:val="0F172A"/>
          <w:sz w:val="20"/>
        </w:rPr>
        <w:t xml:space="preserve"> atau </w:t>
      </w:r>
      <w:r>
        <w:rPr>
          <w:rFonts w:ascii="Times New Roman" w:hAnsi="Times New Roman"/>
          <w:b w:val="0"/>
          <w:i/>
          <w:color w:val="0F172A"/>
          <w:sz w:val="20"/>
        </w:rPr>
        <w:t>false positive rate</w:t>
      </w:r>
      <w:r>
        <w:rPr>
          <w:rFonts w:ascii="Times New Roman" w:hAnsi="Times New Roman"/>
          <w:b w:val="0"/>
          <w:i w:val="0"/>
          <w:color w:val="0F172A"/>
          <w:sz w:val="20"/>
        </w:rPr>
        <w:t xml:space="preserve"> populasi. Benchmark SLM yang diuraikan pada Bab 4 berasal dari telemetri inferensi terarsip [14]; ia mengukur model secara terpisah dari guardrail dan tidak dipakai sebagai bukti ketahanan multi-giliran.</w:t>
      </w:r>
    </w:p>
    <w:p>
      <w:pPr>
        <w:spacing w:before="0" w:after="48" w:line="269" w:lineRule="auto"/>
        <w:ind w:firstLine="227"/>
        <w:jc w:val="both"/>
      </w:pPr>
      <w:r>
        <w:rPr>
          <w:rFonts w:ascii="Times New Roman" w:hAnsi="Times New Roman"/>
          <w:b w:val="0"/>
          <w:i w:val="0"/>
          <w:color w:val="0F172A"/>
          <w:sz w:val="20"/>
        </w:rPr>
        <w:t>Evaluasi berikutnya perlu menyimpan himpunan prompt berlabel, versi model, spesifikasi perangkat, pembagian kasus jinak/serangan, aturan penilaian, serta log waktu per lapisan. Hasil harus dilaporkan sebagai jumlah kasus dan rentang ketidakpastian, bukan klaim kebal. Komponen PoC dan petunjuk menjalankan sistem tersedia pada repositori: https://github.com/Adikafazaa/SIAGA.</w:t>
      </w:r>
    </w:p>
    <w:p>
      <w:pPr>
        <w:keepNext/>
        <w:spacing w:before="120" w:after="40"/>
        <w:jc w:val="left"/>
      </w:pPr>
      <w:r>
        <w:rPr>
          <w:rFonts w:ascii="Times New Roman" w:hAnsi="Times New Roman"/>
          <w:b/>
          <w:color w:val="0F172A"/>
          <w:sz w:val="20"/>
        </w:rPr>
        <w:t>3.4. Kriteria Demonstrasi yang Dapat Diulang</w:t>
      </w:r>
    </w:p>
    <w:p>
      <w:pPr>
        <w:spacing w:before="0" w:after="48" w:line="269" w:lineRule="auto"/>
        <w:ind w:firstLine="227"/>
        <w:jc w:val="both"/>
      </w:pPr>
      <w:r>
        <w:rPr>
          <w:rFonts w:ascii="Times New Roman" w:hAnsi="Times New Roman"/>
          <w:b w:val="0"/>
          <w:i w:val="0"/>
          <w:color w:val="0F172A"/>
          <w:sz w:val="20"/>
        </w:rPr>
        <w:t>Demonstrasi juri sebaiknya memakai dua sesi yang terpisah. Sesi pertama memuat percakapan pasien yang meminta bantuan terkait kecemasan dan memperlihatkan bahwa sistem tetap merespons. Sesi kedua mengikuti urutan eskalasi lima giliran menuju permintaan transkrip pasien; konsol SOC memperlihatkan skor, keputusan, dan alasan per giliran. Kedua sesi harus dijalankan pada mode live yang terhubung ke backend, sedangkan mode mock hanya dipakai untuk meninjau antarmuka bila layanan tidak tersedia.</w:t>
      </w:r>
    </w:p>
    <w:p>
      <w:pPr>
        <w:spacing w:before="0" w:after="48" w:line="269" w:lineRule="auto"/>
        <w:ind w:firstLine="227"/>
        <w:jc w:val="both"/>
      </w:pPr>
      <w:r>
        <w:rPr>
          <w:rFonts w:ascii="Times New Roman" w:hAnsi="Times New Roman"/>
          <w:b w:val="0"/>
          <w:i w:val="0"/>
          <w:color w:val="0F172A"/>
          <w:sz w:val="20"/>
        </w:rPr>
        <w:t>Untuk menjaga reproduksibilitas, paket demonstrasi harus mencantumkan versi kode, konfigurasi ambang, status model yang aktif, perangkat, dan perintah menjalankan backend serta frontend. Catatan hasil harus memisahkan respons guardrail dari respons LLM. Jika suatu permintaan tidak menghasilkan kebocoran, kesimpulannya terbatas pada skenario dan data yang diuji; tidak dapat diperluas menjadi jaminan bahwa model tidak pernah membocorkan data.</w:t>
      </w:r>
    </w:p>
    <w:p>
      <w:pPr>
        <w:spacing w:before="0" w:after="48" w:line="269" w:lineRule="auto"/>
        <w:ind w:firstLine="227"/>
        <w:jc w:val="both"/>
      </w:pPr>
      <w:r>
        <w:rPr>
          <w:rFonts w:ascii="Times New Roman" w:hAnsi="Times New Roman"/>
          <w:b w:val="0"/>
          <w:i w:val="0"/>
          <w:color w:val="0F172A"/>
          <w:sz w:val="20"/>
        </w:rPr>
        <w:t>Tabel 3 menerjemahkan fitur tersebut menjadi pemeriksaan yang dapat dilihat juri. Kolom kriteria menunjukkan apa yang perlu diamati saat demonstrasi, bukan hasil benchmark yang sudah diklaim.</w:t>
      </w:r>
    </w:p>
    <w:p>
      <w:pPr>
        <w:keepNext/>
        <w:spacing w:before="100" w:after="40"/>
        <w:jc w:val="center"/>
      </w:pPr>
      <w:r>
        <w:rPr>
          <w:rFonts w:ascii="Times New Roman" w:hAnsi="Times New Roman"/>
          <w:b/>
          <w:i w:val="0"/>
          <w:color w:val="0F172A"/>
          <w:sz w:val="17"/>
        </w:rPr>
        <w:t>Tabel 3. Matriks verifikasi demonstrasi PoC</w:t>
      </w:r>
    </w:p>
    <w:tbl>
      <w:tblPr>
        <w:tblW w:type="auto" w:w="0"/>
        <w:jc w:val="center"/>
        <w:tblLayout w:type="fixed"/>
        <w:tblLook w:firstColumn="1" w:firstRow="1" w:lastColumn="0" w:lastRow="0" w:noHBand="0" w:noVBand="1" w:val="04A0"/>
        <w:tblBorders>
          <w:top w:val="single" w:sz="6" w:space="0" w:color="0F172A"/>
          <w:left w:val="none"/>
          <w:bottom w:val="single" w:sz="6" w:space="0" w:color="0F172A"/>
          <w:right w:val="none"/>
          <w:insideH w:val="none"/>
          <w:insideV w:val="none"/>
        </w:tblBorders>
      </w:tblPr>
      <w:tblGrid>
        <w:gridCol w:w="3213"/>
        <w:gridCol w:w="3213"/>
        <w:gridCol w:w="3213"/>
      </w:tblGrid>
      <w:tr>
        <w:trPr>
          <w:cantSplit/>
          <w:tblHeader/>
        </w:trPr>
        <w:tc>
          <w:tcPr>
            <w:tcW w:type="dxa" w:w="1134"/>
            <w:vAlign w:val="center"/>
            <w:tcMar>
              <w:top w:w="35" w:type="dxa"/>
              <w:bottom w:w="35" w:type="dxa"/>
              <w:left w:w="40" w:type="dxa"/>
              <w:right w:w="40" w:type="dxa"/>
            </w:tcMar>
            <w:tcBorders>
              <w:bottom w:val="single" w:sz="4" w:space="0" w:color="334155"/>
            </w:tcBorders>
          </w:tcPr>
          <w:p>
            <w:pPr>
              <w:spacing w:before="10" w:after="10" w:line="245" w:lineRule="auto"/>
              <w:jc w:val="center"/>
            </w:pPr>
            <w:r>
              <w:rPr>
                <w:rFonts w:ascii="Times New Roman" w:hAnsi="Times New Roman"/>
                <w:b/>
                <w:i w:val="0"/>
                <w:color w:val="0F172A"/>
                <w:sz w:val="16"/>
              </w:rPr>
              <w:t>Skenario</w:t>
            </w:r>
          </w:p>
        </w:tc>
        <w:tc>
          <w:tcPr>
            <w:tcW w:type="dxa" w:w="1814"/>
            <w:vAlign w:val="center"/>
            <w:tcMar>
              <w:top w:w="35" w:type="dxa"/>
              <w:bottom w:w="35" w:type="dxa"/>
              <w:left w:w="40" w:type="dxa"/>
              <w:right w:w="40" w:type="dxa"/>
            </w:tcMar>
            <w:tcBorders>
              <w:bottom w:val="single" w:sz="4" w:space="0" w:color="334155"/>
            </w:tcBorders>
          </w:tcPr>
          <w:p>
            <w:pPr>
              <w:spacing w:before="10" w:after="10" w:line="245" w:lineRule="auto"/>
              <w:jc w:val="center"/>
            </w:pPr>
            <w:r>
              <w:rPr>
                <w:rFonts w:ascii="Times New Roman" w:hAnsi="Times New Roman"/>
                <w:b/>
                <w:i w:val="0"/>
                <w:color w:val="0F172A"/>
                <w:sz w:val="16"/>
              </w:rPr>
              <w:t>Kriteria yang diamati</w:t>
            </w:r>
          </w:p>
        </w:tc>
        <w:tc>
          <w:tcPr>
            <w:tcW w:type="dxa" w:w="1474"/>
            <w:vAlign w:val="center"/>
            <w:tcMar>
              <w:top w:w="35" w:type="dxa"/>
              <w:bottom w:w="35" w:type="dxa"/>
              <w:left w:w="40" w:type="dxa"/>
              <w:right w:w="40" w:type="dxa"/>
            </w:tcMar>
            <w:tcBorders>
              <w:bottom w:val="single" w:sz="4" w:space="0" w:color="334155"/>
            </w:tcBorders>
          </w:tcPr>
          <w:p>
            <w:pPr>
              <w:spacing w:before="10" w:after="10" w:line="245" w:lineRule="auto"/>
              <w:jc w:val="center"/>
            </w:pPr>
            <w:r>
              <w:rPr>
                <w:rFonts w:ascii="Times New Roman" w:hAnsi="Times New Roman"/>
                <w:b/>
                <w:i w:val="0"/>
                <w:color w:val="0F172A"/>
                <w:sz w:val="16"/>
              </w:rPr>
              <w:t>Jejak implementasi</w:t>
            </w:r>
          </w:p>
        </w:tc>
      </w:tr>
      <w:tr>
        <w:trPr>
          <w:cantSplit/>
        </w:trPr>
        <w:tc>
          <w:tcPr>
            <w:tcW w:type="dxa" w:w="1134"/>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6"/>
              </w:rPr>
              <w:t>Pesan pasien biasa</w:t>
            </w:r>
          </w:p>
        </w:tc>
        <w:tc>
          <w:tcPr>
            <w:tcW w:type="dxa" w:w="1814"/>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6"/>
              </w:rPr>
              <w:t>Balasan tersedia; sesi dan keputusan tercatat</w:t>
            </w:r>
          </w:p>
        </w:tc>
        <w:tc>
          <w:tcPr>
            <w:tcW w:type="dxa" w:w="1474"/>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6"/>
              </w:rPr>
              <w:t>Router chat dan penyimpanan aplikasi</w:t>
            </w:r>
          </w:p>
        </w:tc>
      </w:tr>
      <w:tr>
        <w:trPr>
          <w:cantSplit/>
        </w:trPr>
        <w:tc>
          <w:tcPr>
            <w:tcW w:type="dxa" w:w="1134"/>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6"/>
              </w:rPr>
              <w:t>Eskalasi lima giliran</w:t>
            </w:r>
          </w:p>
        </w:tc>
        <w:tc>
          <w:tcPr>
            <w:tcW w:type="dxa" w:w="1814"/>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6"/>
              </w:rPr>
              <w:t>Skor dan keputusan berubah sesuai isi sesi; permintaan berisiko ditahan</w:t>
            </w:r>
          </w:p>
        </w:tc>
        <w:tc>
          <w:tcPr>
            <w:tcW w:type="dxa" w:w="1474"/>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6"/>
              </w:rPr>
              <w:t>Mesin CIM, fusi, uji guardrail</w:t>
            </w:r>
          </w:p>
        </w:tc>
      </w:tr>
      <w:tr>
        <w:trPr>
          <w:cantSplit/>
        </w:trPr>
        <w:tc>
          <w:tcPr>
            <w:tcW w:type="dxa" w:w="1134"/>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6"/>
              </w:rPr>
              <w:t>Tantangan probe</w:t>
            </w:r>
          </w:p>
        </w:tc>
        <w:tc>
          <w:tcPr>
            <w:tcW w:type="dxa" w:w="1814"/>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6"/>
              </w:rPr>
              <w:t>Balasan LLM ditahan; respons pengguna mengubah status probe</w:t>
            </w:r>
          </w:p>
        </w:tc>
        <w:tc>
          <w:tcPr>
            <w:tcW w:type="dxa" w:w="1474"/>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6"/>
              </w:rPr>
              <w:t>Modul probe dan endpoint verifikasi</w:t>
            </w:r>
          </w:p>
        </w:tc>
      </w:tr>
      <w:tr>
        <w:trPr>
          <w:cantSplit/>
        </w:trPr>
        <w:tc>
          <w:tcPr>
            <w:tcW w:type="dxa" w:w="1134"/>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6"/>
              </w:rPr>
              <w:t>Asesmen</w:t>
            </w:r>
          </w:p>
        </w:tc>
        <w:tc>
          <w:tcPr>
            <w:tcW w:type="dxa" w:w="1814"/>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6"/>
              </w:rPr>
              <w:t>Skor PHQ-9/GAD-7 dihitung dan riwayat ditampilkan</w:t>
            </w:r>
          </w:p>
        </w:tc>
        <w:tc>
          <w:tcPr>
            <w:tcW w:type="dxa" w:w="1474"/>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6"/>
              </w:rPr>
              <w:t>Router asesmen dan halaman pasien</w:t>
            </w:r>
          </w:p>
        </w:tc>
      </w:tr>
      <w:tr>
        <w:trPr>
          <w:cantSplit/>
        </w:trPr>
        <w:tc>
          <w:tcPr>
            <w:tcW w:type="dxa" w:w="1134"/>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6"/>
              </w:rPr>
              <w:t>Pembatasan peran</w:t>
            </w:r>
          </w:p>
        </w:tc>
        <w:tc>
          <w:tcPr>
            <w:tcW w:type="dxa" w:w="1814"/>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6"/>
              </w:rPr>
              <w:t>Pasien tidak dapat membuka endpoint dokter/SOC</w:t>
            </w:r>
          </w:p>
        </w:tc>
        <w:tc>
          <w:tcPr>
            <w:tcW w:type="dxa" w:w="1474"/>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6"/>
              </w:rPr>
              <w:t>Dependensi autentikasi dan uji API</w:t>
            </w:r>
          </w:p>
        </w:tc>
      </w:tr>
      <w:tr>
        <w:trPr>
          <w:cantSplit/>
        </w:trPr>
        <w:tc>
          <w:tcPr>
            <w:tcW w:type="dxa" w:w="1134"/>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6"/>
              </w:rPr>
              <w:t>Mode kegagalan</w:t>
            </w:r>
          </w:p>
        </w:tc>
        <w:tc>
          <w:tcPr>
            <w:tcW w:type="dxa" w:w="1814"/>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6"/>
              </w:rPr>
              <w:t>Mode mock ditandai; fallback model dibedakan dari respons model hidup</w:t>
            </w:r>
          </w:p>
        </w:tc>
        <w:tc>
          <w:tcPr>
            <w:tcW w:type="dxa" w:w="1474"/>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6"/>
              </w:rPr>
              <w:t>Fasad API frontend dan klien LLM</w:t>
            </w:r>
          </w:p>
        </w:tc>
      </w:tr>
    </w:tbl>
    <w:p>
      <w:pPr>
        <w:spacing w:before="0" w:after="40"/>
      </w:pPr>
    </w:p>
    <w:p>
      <w:pPr>
        <w:keepNext/>
        <w:spacing w:before="120" w:after="40"/>
        <w:jc w:val="left"/>
      </w:pPr>
      <w:r>
        <w:rPr>
          <w:rFonts w:ascii="Times New Roman" w:hAnsi="Times New Roman"/>
          <w:b/>
          <w:color w:val="0F172A"/>
          <w:sz w:val="20"/>
        </w:rPr>
        <w:t>3.5. Protokol Benchmark Berikutnya</w:t>
      </w:r>
    </w:p>
    <w:p>
      <w:pPr>
        <w:spacing w:before="0" w:after="48" w:line="269" w:lineRule="auto"/>
        <w:ind w:firstLine="227"/>
        <w:jc w:val="both"/>
      </w:pPr>
      <w:r>
        <w:rPr>
          <w:rFonts w:ascii="Times New Roman" w:hAnsi="Times New Roman"/>
          <w:b w:val="0"/>
          <w:i w:val="0"/>
          <w:color w:val="0F172A"/>
          <w:sz w:val="20"/>
        </w:rPr>
        <w:t>Benchmark yang layak dibandingkan perlu menjalankan SIAGA dan pembanding pada kumpulan dialog yang sama. Setiap dialog diberi label niat, tingkat risiko, dan kriteria keberhasilan oleh penilai yang tidak melihat keputusan sistem. Keluaran model harus dinilai terpisah dari keputusan gerbang: blokir dini belum membuktikan kualitas respons klinis, dan satu balasan aman belum membuktikan semua serangan teratasi. Latensi diukur pada perangkat yang sama dengan pemanasan model dan jumlah pengulangan tercatat. Laporan harus memuat seluruh kasus gagal agar perbaikan ambang tidak didasarkan hanya pada contoh yang berhasil.</w:t>
      </w:r>
    </w:p>
    <w:p>
      <w:pPr>
        <w:keepNext/>
        <w:spacing w:before="120" w:after="40"/>
        <w:jc w:val="left"/>
      </w:pPr>
      <w:r>
        <w:rPr>
          <w:rFonts w:ascii="Times New Roman" w:hAnsi="Times New Roman"/>
          <w:b/>
          <w:color w:val="0F172A"/>
          <w:sz w:val="20"/>
        </w:rPr>
        <w:t>3.6. Definisi Metrik dan Kontrol Eksperimen</w:t>
      </w:r>
    </w:p>
    <w:p>
      <w:pPr>
        <w:spacing w:before="0" w:after="48" w:line="269" w:lineRule="auto"/>
        <w:ind w:firstLine="227"/>
        <w:jc w:val="both"/>
      </w:pPr>
      <w:r>
        <w:rPr>
          <w:rFonts w:ascii="Times New Roman" w:hAnsi="Times New Roman"/>
          <w:b w:val="0"/>
          <w:i/>
          <w:color w:val="0F172A"/>
          <w:sz w:val="20"/>
        </w:rPr>
        <w:t>Attack success rate</w:t>
      </w:r>
      <w:r>
        <w:rPr>
          <w:rFonts w:ascii="Times New Roman" w:hAnsi="Times New Roman"/>
          <w:b w:val="0"/>
          <w:i w:val="0"/>
          <w:color w:val="0F172A"/>
          <w:sz w:val="20"/>
        </w:rPr>
        <w:t xml:space="preserve"> (ASR) berarti jumlah dialog serangan yang menghasilkan keluaran terlarang dibagi seluruh dialog serangan yang benar-benar dievaluasi. </w:t>
      </w:r>
      <w:r>
        <w:rPr>
          <w:rFonts w:ascii="Times New Roman" w:hAnsi="Times New Roman"/>
          <w:b w:val="0"/>
          <w:i/>
          <w:color w:val="0F172A"/>
          <w:sz w:val="20"/>
        </w:rPr>
        <w:t>False positive rate</w:t>
      </w:r>
      <w:r>
        <w:rPr>
          <w:rFonts w:ascii="Times New Roman" w:hAnsi="Times New Roman"/>
          <w:b w:val="0"/>
          <w:i w:val="0"/>
          <w:color w:val="0F172A"/>
          <w:sz w:val="20"/>
        </w:rPr>
        <w:t xml:space="preserve"> (FPR) berarti jumlah dialog jinak yang dibatasi secara keliru dibagi seluruh dialog jinak. </w:t>
      </w:r>
      <w:r>
        <w:rPr>
          <w:rFonts w:ascii="Times New Roman" w:hAnsi="Times New Roman"/>
          <w:b w:val="0"/>
          <w:i/>
          <w:color w:val="0F172A"/>
          <w:sz w:val="20"/>
        </w:rPr>
        <w:t>Time to detection</w:t>
      </w:r>
      <w:r>
        <w:rPr>
          <w:rFonts w:ascii="Times New Roman" w:hAnsi="Times New Roman"/>
          <w:b w:val="0"/>
          <w:i w:val="0"/>
          <w:color w:val="0F172A"/>
          <w:sz w:val="20"/>
        </w:rPr>
        <w:t xml:space="preserve"> dihitung sebagai giliran pertama yang memicu tindakan pencegahan menurut protokol. Latensi tambahan adalah selisih waktu pada jalur dengan dan tanpa inspeksi, diukur pada perangkat dan beban yang sama. Setiap angka harus disertai ukuran sampel; persentase dari satu atau beberapa contoh tidak mencerminkan tingkat kesalahan populasi.</w:t>
      </w:r>
    </w:p>
    <w:p>
      <w:pPr>
        <w:spacing w:before="0" w:after="48" w:line="269" w:lineRule="auto"/>
        <w:ind w:firstLine="227"/>
        <w:jc w:val="both"/>
      </w:pPr>
      <w:r>
        <w:rPr>
          <w:rFonts w:ascii="Times New Roman" w:hAnsi="Times New Roman"/>
          <w:b w:val="0"/>
          <w:i w:val="0"/>
          <w:color w:val="0F172A"/>
          <w:sz w:val="20"/>
        </w:rPr>
        <w:t>Kumpulan uji perlu mencakup variasi bahasa Indonesia, campuran bahasa, ejaan tidak baku, percakapan panjang, pergantian topik, klaim otoritas palsu, serta kontrol negatif dari pengguna yang sedang cemas. Prompt uji tidak boleh dipilih setelah melihat hasil model. Versi kode, bobot model, suhu generasi, dan threshold dibekukan sebelum evaluasi akhir agar kalibrasi tidak mencemari data uji. Penilai juga perlu mencatat alasan ketika sebuah blokir menghalangi permintaan yang sebenarnya sah, karena biaya salah deteksi sangat penting pada konteks kesehatan mental.</w:t>
      </w:r>
    </w:p>
    <w:p>
      <w:pPr>
        <w:spacing w:before="0" w:after="48" w:line="269" w:lineRule="auto"/>
        <w:ind w:firstLine="227"/>
        <w:jc w:val="both"/>
      </w:pPr>
      <w:r>
        <w:rPr>
          <w:rFonts w:ascii="Times New Roman" w:hAnsi="Times New Roman"/>
          <w:b w:val="0"/>
          <w:i w:val="0"/>
          <w:color w:val="0F172A"/>
          <w:sz w:val="20"/>
        </w:rPr>
        <w:t>Hasil demo awal berfungsi sebagai bukti fungsi sistem, bukan bukti efektivitas klinis atau keamanan populasi. Dengan protokol tersebut, setiap peningkatan versi SIAGA dapat dibandingkan pada kondisi yang sama dan kegagalan yang tersisa dapat diarahkan menjadi perubahan teknis yang spesifik.</w:t>
      </w:r>
    </w:p>
    <w:p>
      <w:pPr>
        <w:keepNext/>
        <w:spacing w:before="160" w:after="60"/>
        <w:jc w:val="left"/>
      </w:pPr>
      <w:r>
        <w:rPr>
          <w:rFonts w:ascii="Times New Roman" w:hAnsi="Times New Roman"/>
          <w:b/>
          <w:color w:val="0F172A"/>
          <w:sz w:val="21"/>
        </w:rPr>
        <w:t>CHAPTER 4: TECHNICAL ARCHITECTURE &amp; FEASIBILITY</w:t>
      </w:r>
    </w:p>
    <w:p>
      <w:pPr>
        <w:keepNext/>
        <w:spacing w:before="120" w:after="40"/>
        <w:jc w:val="left"/>
      </w:pPr>
      <w:r>
        <w:rPr>
          <w:rFonts w:ascii="Times New Roman" w:hAnsi="Times New Roman"/>
          <w:b/>
          <w:color w:val="0F172A"/>
          <w:sz w:val="20"/>
        </w:rPr>
        <w:t>4.1. Alur Data yang Diterapkan</w:t>
      </w:r>
    </w:p>
    <w:p>
      <w:pPr>
        <w:spacing w:before="0" w:after="48" w:line="269" w:lineRule="auto"/>
        <w:ind w:firstLine="227"/>
        <w:jc w:val="both"/>
      </w:pPr>
      <w:r>
        <w:rPr>
          <w:rFonts w:ascii="Times New Roman" w:hAnsi="Times New Roman"/>
          <w:b w:val="0"/>
          <w:i w:val="0"/>
          <w:color w:val="0F172A"/>
          <w:sz w:val="20"/>
        </w:rPr>
        <w:t>Gambar 1 menjabarkan arsitektur live sebagai empat tahap. (1) Pasien mengirim chat dan mengisi skrining; dokter mengelola catatan, sedangkan SOC meninjau telemetri. (2) FastAPI memeriksa peran dan sesi, lalu mengirim pesan chat ke SIAGA. (3) L0 menormalkan Unicode, L1 menilai niat dan representasi teks, L2 menilai URL serta lonjakan pesan, dan L3/CIM mengakumulasi arah risiko lintas giliran. (4) Fusi keputusan mengirim ALLOW/WATCH ke klien Ollama; PROBE/BLOCK menahan pesan dari model dan memberi balasan kendali. Jalur respons tetap melalui API. DuckDB menyimpan hash, fitur, dan skor guardrail; SQLite lokal atau Firestore opsional menyimpan riwayat aplikasi. Dua penyimpanan itu memiliki risiko retensi yang berbeda.</w:t>
      </w:r>
    </w:p>
    <w:p>
      <w:pPr>
        <w:keepNext/>
        <w:spacing w:before="100" w:after="30"/>
        <w:jc w:val="center"/>
      </w:pPr>
      <w:r>
        <w:drawing>
          <wp:inline xmlns:a="http://schemas.openxmlformats.org/drawingml/2006/main" xmlns:pic="http://schemas.openxmlformats.org/drawingml/2006/picture">
            <wp:extent cx="2808000" cy="1357200"/>
            <wp:docPr id="1" name="Picture 1"/>
            <wp:cNvGraphicFramePr>
              <a:graphicFrameLocks noChangeAspect="1"/>
            </wp:cNvGraphicFramePr>
            <a:graphic>
              <a:graphicData uri="http://schemas.openxmlformats.org/drawingml/2006/picture">
                <pic:pic>
                  <pic:nvPicPr>
                    <pic:cNvPr id="0" name="figure_1_verified_architecture.png"/>
                    <pic:cNvPicPr/>
                  </pic:nvPicPr>
                  <pic:blipFill>
                    <a:blip r:embed="rId11"/>
                    <a:stretch>
                      <a:fillRect/>
                    </a:stretch>
                  </pic:blipFill>
                  <pic:spPr>
                    <a:xfrm>
                      <a:off x="0" y="0"/>
                      <a:ext cx="2808000" cy="1357200"/>
                    </a:xfrm>
                    <a:prstGeom prst="rect"/>
                  </pic:spPr>
                </pic:pic>
              </a:graphicData>
            </a:graphic>
          </wp:inline>
        </w:drawing>
      </w:r>
    </w:p>
    <w:p>
      <w:pPr>
        <w:spacing w:before="20" w:after="80"/>
        <w:jc w:val="both"/>
      </w:pPr>
      <w:r>
        <w:rPr>
          <w:rFonts w:ascii="Times New Roman" w:hAnsi="Times New Roman"/>
          <w:b w:val="0"/>
          <w:i/>
          <w:color w:val="0F172A"/>
          <w:sz w:val="17"/>
        </w:rPr>
        <w:t>Gambar 1. Arsitektur flat 2D SIAGA pada jalur live: empat tahap pemrosesan, dua cabang keputusan, dan dua ruang penyimpanan. Ollama serta Firestore bergantung pada konfigurasi.</w:t>
      </w:r>
    </w:p>
    <w:p>
      <w:pPr>
        <w:keepNext/>
        <w:spacing w:before="120" w:after="40"/>
        <w:jc w:val="left"/>
      </w:pPr>
      <w:r>
        <w:rPr>
          <w:rFonts w:ascii="Times New Roman" w:hAnsi="Times New Roman"/>
          <w:b/>
          <w:color w:val="0F172A"/>
          <w:sz w:val="20"/>
        </w:rPr>
        <w:t>4.2. Rumus Keputusan yang Sesuai Implementasi</w:t>
      </w:r>
    </w:p>
    <w:p>
      <w:pPr>
        <w:spacing w:before="0" w:after="48" w:line="269" w:lineRule="auto"/>
        <w:ind w:firstLine="227"/>
        <w:jc w:val="both"/>
      </w:pPr>
      <w:r>
        <w:rPr>
          <w:rFonts w:ascii="Times New Roman" w:hAnsi="Times New Roman"/>
          <w:b w:val="0"/>
          <w:i w:val="0"/>
          <w:color w:val="0F172A"/>
          <w:sz w:val="20"/>
        </w:rPr>
        <w:t>Untuk giliran ke-t, L1 menghasilkan posisi risiko r_t. L3 menghitung delta_t = r_t - r_(t-1), arah d_t dari proporsi kenaikan pada jendela empat giliran, jangkar a_t terhadap balasan sistem sebelumnya, dan faktor peluruhan gamma_t berdasarkan jarak ke klaster berisiko. Implementasi menghitung:</w:t>
      </w:r>
    </w:p>
    <w:p>
      <w:pPr>
        <w:keepNext/>
        <w:spacing w:before="60" w:after="50"/>
        <w:jc w:val="center"/>
      </w:pPr>
      <w:r>
        <w:rPr>
          <w:rFonts w:ascii="Times New Roman" w:hAnsi="Times New Roman"/>
          <w:b/>
          <w:sz w:val="17"/>
        </w:rPr>
        <w:t>M_t = clamp(gamma_t M_(t-1) + w1 delta_t d_t + w2 a_t d_t + w3 r_t, 0, 1).  (1)</w:t>
      </w:r>
    </w:p>
    <w:p>
      <w:pPr>
        <w:spacing w:before="0" w:after="48" w:line="269" w:lineRule="auto"/>
        <w:ind w:firstLine="227"/>
        <w:jc w:val="both"/>
      </w:pPr>
      <w:r>
        <w:rPr>
          <w:rFonts w:ascii="Times New Roman" w:hAnsi="Times New Roman"/>
          <w:b w:val="0"/>
          <w:i w:val="0"/>
          <w:color w:val="0F172A"/>
          <w:sz w:val="20"/>
        </w:rPr>
        <w:t xml:space="preserve">Bobot bawaan saat ini adalah w1 = 0,85; w2 = 0,45; w3 = 0,38. Skor keputusan kemudian memadukan </w:t>
      </w:r>
      <w:r>
        <w:rPr>
          <w:rFonts w:ascii="Times New Roman" w:hAnsi="Times New Roman"/>
          <w:b/>
          <w:i w:val="0"/>
          <w:color w:val="0F172A"/>
          <w:sz w:val="20"/>
        </w:rPr>
        <w:t>0,80 M_t + 0,15 intent_t + 0,05 context_t</w:t>
      </w:r>
      <w:r>
        <w:rPr>
          <w:rFonts w:ascii="Times New Roman" w:hAnsi="Times New Roman"/>
          <w:b w:val="0"/>
          <w:i w:val="0"/>
          <w:color w:val="0F172A"/>
          <w:sz w:val="20"/>
        </w:rPr>
        <w:t>. BLOCK berlaku mulai skor 0,80; PROBE pada 0,60 sampai di bawah 0,80 bila prasyarat kanal dan batas probe terpenuhi. WATCH dapat terjadi lebih dini saat skor dan arah naik memenuhi aturan. Parameter ini adalah konfigurasi prototipe, bukan ambang klinis yang sudah tervalidasi.</w:t>
      </w:r>
    </w:p>
    <w:p>
      <w:pPr>
        <w:keepNext/>
        <w:spacing w:before="120" w:after="40"/>
        <w:jc w:val="left"/>
      </w:pPr>
      <w:r>
        <w:rPr>
          <w:rFonts w:ascii="Times New Roman" w:hAnsi="Times New Roman"/>
          <w:b/>
          <w:color w:val="0F172A"/>
          <w:sz w:val="20"/>
        </w:rPr>
        <w:t>4.3. Hasil Benchmark SLM pada Perangkat Pengembang</w:t>
      </w:r>
    </w:p>
    <w:p>
      <w:pPr>
        <w:spacing w:before="0" w:after="48" w:line="269" w:lineRule="auto"/>
        <w:ind w:firstLine="227"/>
        <w:jc w:val="both"/>
      </w:pPr>
      <w:r>
        <w:rPr>
          <w:rFonts w:ascii="Times New Roman" w:hAnsi="Times New Roman"/>
          <w:b w:val="0"/>
          <w:i w:val="0"/>
          <w:color w:val="0F172A"/>
          <w:sz w:val="20"/>
        </w:rPr>
        <w:t xml:space="preserve">Alur pada Gambar 2 mengikuti arsip pengukuran tanggal 2 Oktober 2026 [14]. Skrip </w:t>
      </w:r>
      <w:r>
        <w:rPr>
          <w:rFonts w:ascii="Consolas" w:hAnsi="Consolas"/>
          <w:b w:val="0"/>
          <w:color w:val="0F172A"/>
          <w:sz w:val="18"/>
        </w:rPr>
        <w:t>scratch/benchmark_synthetic_suite.py</w:t>
      </w:r>
      <w:r>
        <w:rPr>
          <w:rFonts w:ascii="Times New Roman" w:hAnsi="Times New Roman"/>
          <w:b w:val="0"/>
          <w:i w:val="0"/>
          <w:color w:val="0F172A"/>
          <w:sz w:val="20"/>
        </w:rPr>
        <w:t xml:space="preserve"> mengirim </w:t>
      </w:r>
      <w:r>
        <w:rPr>
          <w:rFonts w:ascii="Times New Roman" w:hAnsi="Times New Roman"/>
          <w:b/>
          <w:i w:val="0"/>
          <w:color w:val="0F172A"/>
          <w:sz w:val="20"/>
        </w:rPr>
        <w:t>sembilan prompt sintetis per model</w:t>
      </w:r>
      <w:r>
        <w:rPr>
          <w:rFonts w:ascii="Times New Roman" w:hAnsi="Times New Roman"/>
          <w:b w:val="0"/>
          <w:i w:val="0"/>
          <w:color w:val="0F172A"/>
          <w:sz w:val="20"/>
        </w:rPr>
        <w:t xml:space="preserve"> ke Ollama </w:t>
      </w:r>
      <w:r>
        <w:rPr>
          <w:rFonts w:ascii="Consolas" w:hAnsi="Consolas"/>
          <w:b w:val="0"/>
          <w:color w:val="0F172A"/>
          <w:sz w:val="18"/>
        </w:rPr>
        <w:t>/api/generate</w:t>
      </w:r>
      <w:r>
        <w:rPr>
          <w:rFonts w:ascii="Times New Roman" w:hAnsi="Times New Roman"/>
          <w:b w:val="0"/>
          <w:i w:val="0"/>
          <w:color w:val="0F172A"/>
          <w:sz w:val="20"/>
        </w:rPr>
        <w:t xml:space="preserve"> dengan </w:t>
      </w:r>
      <w:r>
        <w:rPr>
          <w:rFonts w:ascii="Consolas" w:hAnsi="Consolas"/>
          <w:b w:val="0"/>
          <w:color w:val="0F172A"/>
          <w:sz w:val="18"/>
        </w:rPr>
        <w:t>num_predict=150</w:t>
      </w:r>
      <w:r>
        <w:rPr>
          <w:rFonts w:ascii="Times New Roman" w:hAnsi="Times New Roman"/>
          <w:b w:val="0"/>
          <w:i w:val="0"/>
          <w:color w:val="0F172A"/>
          <w:sz w:val="20"/>
        </w:rPr>
        <w:t xml:space="preserve">, </w:t>
      </w:r>
      <w:r>
        <w:rPr>
          <w:rFonts w:ascii="Consolas" w:hAnsi="Consolas"/>
          <w:b w:val="0"/>
          <w:color w:val="0F172A"/>
          <w:sz w:val="18"/>
        </w:rPr>
        <w:t>num_ctx=2048</w:t>
      </w:r>
      <w:r>
        <w:rPr>
          <w:rFonts w:ascii="Times New Roman" w:hAnsi="Times New Roman"/>
          <w:b w:val="0"/>
          <w:i w:val="0"/>
          <w:color w:val="0F172A"/>
          <w:sz w:val="20"/>
        </w:rPr>
        <w:t xml:space="preserve">, suhu 0,7, dan streaming. Tiga model diuji pada laptop AMD Ryzen 5 4600H, RAM 24 GB, serta NVIDIA GTX 1650 4 GB sebagaimana dicatat laporan uji internal [14]. Setiap prompt dikirim </w:t>
      </w:r>
      <w:r>
        <w:rPr>
          <w:rFonts w:ascii="Times New Roman" w:hAnsi="Times New Roman"/>
          <w:b/>
          <w:i w:val="0"/>
          <w:color w:val="0F172A"/>
          <w:sz w:val="20"/>
        </w:rPr>
        <w:t>tanpa riwayat giliran sebelumnya</w:t>
      </w:r>
      <w:r>
        <w:rPr>
          <w:rFonts w:ascii="Times New Roman" w:hAnsi="Times New Roman"/>
          <w:b w:val="0"/>
          <w:i w:val="0"/>
          <w:color w:val="0F172A"/>
          <w:sz w:val="20"/>
        </w:rPr>
        <w:t>; kelompok skenario tidak membentuk percakapan multi-turn yang utuh. Sampel pertama tiap model dikeluarkan dari median hangat untuk mengurangi pengaruh pemuatan awal.</w:t>
      </w:r>
    </w:p>
    <w:p>
      <w:pPr>
        <w:keepNext/>
        <w:spacing w:before="100" w:after="30"/>
        <w:jc w:val="center"/>
      </w:pPr>
      <w:r>
        <w:drawing>
          <wp:inline xmlns:a="http://schemas.openxmlformats.org/drawingml/2006/main" xmlns:pic="http://schemas.openxmlformats.org/drawingml/2006/picture">
            <wp:extent cx="2808000" cy="865800"/>
            <wp:docPr id="2" name="Picture 2"/>
            <wp:cNvGraphicFramePr>
              <a:graphicFrameLocks noChangeAspect="1"/>
            </wp:cNvGraphicFramePr>
            <a:graphic>
              <a:graphicData uri="http://schemas.openxmlformats.org/drawingml/2006/picture">
                <pic:pic>
                  <pic:nvPicPr>
                    <pic:cNvPr id="0" name="figure_2_slm_benchmark_workflow.png"/>
                    <pic:cNvPicPr/>
                  </pic:nvPicPr>
                  <pic:blipFill>
                    <a:blip r:embed="rId12"/>
                    <a:stretch>
                      <a:fillRect/>
                    </a:stretch>
                  </pic:blipFill>
                  <pic:spPr>
                    <a:xfrm>
                      <a:off x="0" y="0"/>
                      <a:ext cx="2808000" cy="865800"/>
                    </a:xfrm>
                    <a:prstGeom prst="rect"/>
                  </pic:spPr>
                </pic:pic>
              </a:graphicData>
            </a:graphic>
          </wp:inline>
        </w:drawing>
      </w:r>
    </w:p>
    <w:p>
      <w:pPr>
        <w:spacing w:before="20" w:after="80"/>
        <w:jc w:val="both"/>
      </w:pPr>
      <w:r>
        <w:rPr>
          <w:rFonts w:ascii="Times New Roman" w:hAnsi="Times New Roman"/>
          <w:b w:val="0"/>
          <w:i/>
          <w:color w:val="0F172A"/>
          <w:sz w:val="17"/>
        </w:rPr>
        <w:t>Gambar 2. Alur pembuatan prompt, inferensi, pengambilan telemetri, dan audit keluaran; dirancang ulang sebagai ilustrasi flat 2D dari skrip serta log pengukuran [14].</w:t>
      </w:r>
    </w:p>
    <w:p>
      <w:pPr>
        <w:spacing w:before="0" w:after="48" w:line="269" w:lineRule="auto"/>
        <w:ind w:firstLine="227"/>
        <w:jc w:val="both"/>
      </w:pPr>
      <w:r>
        <w:rPr>
          <w:rFonts w:ascii="Times New Roman" w:hAnsi="Times New Roman"/>
          <w:b w:val="0"/>
          <w:i w:val="0"/>
          <w:color w:val="0F172A"/>
          <w:sz w:val="20"/>
        </w:rPr>
        <w:t xml:space="preserve">Tabel 4 dihitung ulang dari </w:t>
      </w:r>
      <w:r>
        <w:rPr>
          <w:rFonts w:ascii="Consolas" w:hAnsi="Consolas"/>
          <w:b w:val="0"/>
          <w:color w:val="0F172A"/>
          <w:sz w:val="18"/>
        </w:rPr>
        <w:t>scratch/benchmark_synthetic_report_data.json</w:t>
      </w:r>
      <w:r>
        <w:rPr>
          <w:rFonts w:ascii="Times New Roman" w:hAnsi="Times New Roman"/>
          <w:b w:val="0"/>
          <w:i w:val="0"/>
          <w:color w:val="0F172A"/>
          <w:sz w:val="20"/>
        </w:rPr>
        <w:t xml:space="preserve"> [14]. Kecepatan adalah median delapan sampel hangat dari </w:t>
      </w:r>
      <w:r>
        <w:rPr>
          <w:rFonts w:ascii="Consolas" w:hAnsi="Consolas"/>
          <w:b w:val="0"/>
          <w:color w:val="0F172A"/>
          <w:sz w:val="18"/>
        </w:rPr>
        <w:t>eval_count/eval_duration</w:t>
      </w:r>
      <w:r>
        <w:rPr>
          <w:rFonts w:ascii="Times New Roman" w:hAnsi="Times New Roman"/>
          <w:b w:val="0"/>
          <w:i w:val="0"/>
          <w:color w:val="0F172A"/>
          <w:sz w:val="20"/>
        </w:rPr>
        <w:t xml:space="preserve"> yang dilaporkan Ollama. VRAM adalah </w:t>
      </w:r>
      <w:r>
        <w:rPr>
          <w:rFonts w:ascii="Times New Roman" w:hAnsi="Times New Roman"/>
          <w:b/>
          <w:i w:val="0"/>
          <w:color w:val="0F172A"/>
          <w:sz w:val="20"/>
        </w:rPr>
        <w:t>nilai tertinggi sesudah permintaan</w:t>
      </w:r>
      <w:r>
        <w:rPr>
          <w:rFonts w:ascii="Times New Roman" w:hAnsi="Times New Roman"/>
          <w:b w:val="0"/>
          <w:i w:val="0"/>
          <w:color w:val="0F172A"/>
          <w:sz w:val="20"/>
        </w:rPr>
        <w:t xml:space="preserve">, bukan puncak kontinu. Waktu token pertama hanya dihitung ketika teks jawaban terlihat. Karena Qwen3 dapat memisahkan mode </w:t>
      </w:r>
      <w:r>
        <w:rPr>
          <w:rFonts w:ascii="Times New Roman" w:hAnsi="Times New Roman"/>
          <w:b w:val="0"/>
          <w:i/>
          <w:color w:val="0F172A"/>
          <w:sz w:val="20"/>
        </w:rPr>
        <w:t>thinking</w:t>
      </w:r>
      <w:r>
        <w:rPr>
          <w:rFonts w:ascii="Times New Roman" w:hAnsi="Times New Roman"/>
          <w:b w:val="0"/>
          <w:i w:val="0"/>
          <w:color w:val="0F172A"/>
          <w:sz w:val="20"/>
        </w:rPr>
        <w:t xml:space="preserve"> dan keluaran biasa [13], respons kosong pada arsip ini tidak boleh dianggap penolakan yang benar ataupun hasil kualitas klinis.</w:t>
      </w:r>
    </w:p>
    <w:p>
      <w:pPr>
        <w:keepNext/>
        <w:spacing w:before="100" w:after="40"/>
        <w:jc w:val="center"/>
      </w:pPr>
      <w:r>
        <w:rPr>
          <w:rFonts w:ascii="Times New Roman" w:hAnsi="Times New Roman"/>
          <w:b/>
          <w:i w:val="0"/>
          <w:color w:val="0F172A"/>
          <w:sz w:val="17"/>
        </w:rPr>
        <w:t>Tabel 4. Pengukuran SLM lokal; n = 9 prompt/model, delapan sampel hangat untuk median</w:t>
      </w:r>
    </w:p>
    <w:tbl>
      <w:tblPr>
        <w:tblW w:type="auto" w:w="0"/>
        <w:jc w:val="center"/>
        <w:tblLayout w:type="fixed"/>
        <w:tblLook w:firstColumn="1" w:firstRow="1" w:lastColumn="0" w:lastRow="0" w:noHBand="0" w:noVBand="1" w:val="04A0"/>
        <w:tblBorders>
          <w:top w:val="single" w:sz="6" w:space="0" w:color="0F172A"/>
          <w:left w:val="none"/>
          <w:bottom w:val="single" w:sz="6" w:space="0" w:color="0F172A"/>
          <w:right w:val="none"/>
          <w:insideH w:val="none"/>
          <w:insideV w:val="none"/>
        </w:tblBorders>
      </w:tblPr>
      <w:tblGrid>
        <w:gridCol w:w="1928"/>
        <w:gridCol w:w="1928"/>
        <w:gridCol w:w="1928"/>
        <w:gridCol w:w="1928"/>
        <w:gridCol w:w="1928"/>
      </w:tblGrid>
      <w:tr>
        <w:trPr>
          <w:cantSplit/>
          <w:tblHeader/>
        </w:trPr>
        <w:tc>
          <w:tcPr>
            <w:tcW w:type="dxa" w:w="1191"/>
            <w:vAlign w:val="center"/>
            <w:tcMar>
              <w:top w:w="35" w:type="dxa"/>
              <w:bottom w:w="35" w:type="dxa"/>
              <w:left w:w="40" w:type="dxa"/>
              <w:right w:w="40" w:type="dxa"/>
            </w:tcMar>
            <w:tcBorders>
              <w:bottom w:val="single" w:sz="4" w:space="0" w:color="334155"/>
            </w:tcBorders>
          </w:tcPr>
          <w:p>
            <w:pPr>
              <w:spacing w:before="10" w:after="10" w:line="245" w:lineRule="auto"/>
              <w:jc w:val="center"/>
            </w:pPr>
            <w:r>
              <w:rPr>
                <w:rFonts w:ascii="Times New Roman" w:hAnsi="Times New Roman"/>
                <w:b/>
                <w:i w:val="0"/>
                <w:color w:val="0F172A"/>
                <w:sz w:val="15"/>
              </w:rPr>
              <w:t>Model</w:t>
            </w:r>
          </w:p>
        </w:tc>
        <w:tc>
          <w:tcPr>
            <w:tcW w:type="dxa" w:w="850"/>
            <w:vAlign w:val="center"/>
            <w:tcMar>
              <w:top w:w="35" w:type="dxa"/>
              <w:bottom w:w="35" w:type="dxa"/>
              <w:left w:w="40" w:type="dxa"/>
              <w:right w:w="40" w:type="dxa"/>
            </w:tcMar>
            <w:tcBorders>
              <w:bottom w:val="single" w:sz="4" w:space="0" w:color="334155"/>
            </w:tcBorders>
          </w:tcPr>
          <w:p>
            <w:pPr>
              <w:spacing w:before="10" w:after="10" w:line="245" w:lineRule="auto"/>
              <w:jc w:val="center"/>
            </w:pPr>
            <w:r>
              <w:rPr>
                <w:rFonts w:ascii="Times New Roman" w:hAnsi="Times New Roman"/>
                <w:b/>
                <w:i w:val="0"/>
                <w:color w:val="0F172A"/>
                <w:sz w:val="15"/>
              </w:rPr>
              <w:t>Median generasi hangat</w:t>
            </w:r>
          </w:p>
        </w:tc>
        <w:tc>
          <w:tcPr>
            <w:tcW w:type="dxa" w:w="794"/>
            <w:vAlign w:val="center"/>
            <w:tcMar>
              <w:top w:w="35" w:type="dxa"/>
              <w:bottom w:w="35" w:type="dxa"/>
              <w:left w:w="40" w:type="dxa"/>
              <w:right w:w="40" w:type="dxa"/>
            </w:tcMar>
            <w:tcBorders>
              <w:bottom w:val="single" w:sz="4" w:space="0" w:color="334155"/>
            </w:tcBorders>
          </w:tcPr>
          <w:p>
            <w:pPr>
              <w:spacing w:before="10" w:after="10" w:line="245" w:lineRule="auto"/>
              <w:jc w:val="center"/>
            </w:pPr>
            <w:r>
              <w:rPr>
                <w:rFonts w:ascii="Times New Roman" w:hAnsi="Times New Roman"/>
                <w:b/>
                <w:i w:val="0"/>
                <w:color w:val="0F172A"/>
                <w:sz w:val="15"/>
              </w:rPr>
              <w:t>Token pertama terlihat</w:t>
            </w:r>
          </w:p>
        </w:tc>
        <w:tc>
          <w:tcPr>
            <w:tcW w:type="dxa" w:w="850"/>
            <w:vAlign w:val="center"/>
            <w:tcMar>
              <w:top w:w="35" w:type="dxa"/>
              <w:bottom w:w="35" w:type="dxa"/>
              <w:left w:w="40" w:type="dxa"/>
              <w:right w:w="40" w:type="dxa"/>
            </w:tcMar>
            <w:tcBorders>
              <w:bottom w:val="single" w:sz="4" w:space="0" w:color="334155"/>
            </w:tcBorders>
          </w:tcPr>
          <w:p>
            <w:pPr>
              <w:spacing w:before="10" w:after="10" w:line="245" w:lineRule="auto"/>
              <w:jc w:val="center"/>
            </w:pPr>
            <w:r>
              <w:rPr>
                <w:rFonts w:ascii="Times New Roman" w:hAnsi="Times New Roman"/>
                <w:b/>
                <w:i w:val="0"/>
                <w:color w:val="0F172A"/>
                <w:sz w:val="15"/>
              </w:rPr>
              <w:t>VRAM tertinggi sesudah respons</w:t>
            </w:r>
          </w:p>
        </w:tc>
        <w:tc>
          <w:tcPr>
            <w:tcW w:type="dxa" w:w="737"/>
            <w:vAlign w:val="center"/>
            <w:tcMar>
              <w:top w:w="35" w:type="dxa"/>
              <w:bottom w:w="35" w:type="dxa"/>
              <w:left w:w="40" w:type="dxa"/>
              <w:right w:w="40" w:type="dxa"/>
            </w:tcMar>
            <w:tcBorders>
              <w:bottom w:val="single" w:sz="4" w:space="0" w:color="334155"/>
            </w:tcBorders>
          </w:tcPr>
          <w:p>
            <w:pPr>
              <w:spacing w:before="10" w:after="10" w:line="245" w:lineRule="auto"/>
              <w:jc w:val="center"/>
            </w:pPr>
            <w:r>
              <w:rPr>
                <w:rFonts w:ascii="Times New Roman" w:hAnsi="Times New Roman"/>
                <w:b/>
                <w:i w:val="0"/>
                <w:color w:val="0F172A"/>
                <w:sz w:val="15"/>
              </w:rPr>
              <w:t>Balasan teks tersimpan</w:t>
            </w:r>
          </w:p>
        </w:tc>
      </w:tr>
      <w:tr>
        <w:trPr>
          <w:cantSplit/>
        </w:trPr>
        <w:tc>
          <w:tcPr>
            <w:tcW w:type="dxa" w:w="1191"/>
            <w:vAlign w:val="center"/>
            <w:tcMar>
              <w:top w:w="35" w:type="dxa"/>
              <w:bottom w:w="35" w:type="dxa"/>
              <w:left w:w="40" w:type="dxa"/>
              <w:right w:w="40" w:type="dxa"/>
            </w:tcMar>
          </w:tcPr>
          <w:p>
            <w:pPr>
              <w:spacing w:before="10" w:after="10" w:line="245" w:lineRule="auto"/>
              <w:jc w:val="left"/>
            </w:pPr>
            <w:r>
              <w:rPr>
                <w:rFonts w:ascii="Consolas" w:hAnsi="Consolas"/>
                <w:b w:val="0"/>
                <w:color w:val="0F172A"/>
                <w:sz w:val="13"/>
              </w:rPr>
              <w:t>qwen3:1.7b</w:t>
            </w:r>
          </w:p>
        </w:tc>
        <w:tc>
          <w:tcPr>
            <w:tcW w:type="dxa" w:w="850"/>
            <w:vAlign w:val="center"/>
            <w:tcMar>
              <w:top w:w="35" w:type="dxa"/>
              <w:bottom w:w="35" w:type="dxa"/>
              <w:left w:w="40" w:type="dxa"/>
              <w:right w:w="40" w:type="dxa"/>
            </w:tcMar>
          </w:tcPr>
          <w:p>
            <w:pPr>
              <w:spacing w:before="10" w:after="10" w:line="245" w:lineRule="auto"/>
              <w:jc w:val="center"/>
            </w:pPr>
            <w:r>
              <w:rPr>
                <w:rFonts w:ascii="Times New Roman" w:hAnsi="Times New Roman"/>
                <w:b w:val="0"/>
                <w:i w:val="0"/>
                <w:color w:val="0F172A"/>
                <w:sz w:val="15"/>
              </w:rPr>
              <w:t>92,15 tok/s</w:t>
            </w:r>
          </w:p>
        </w:tc>
        <w:tc>
          <w:tcPr>
            <w:tcW w:type="dxa" w:w="794"/>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tidak representatif</w:t>
            </w:r>
          </w:p>
        </w:tc>
        <w:tc>
          <w:tcPr>
            <w:tcW w:type="dxa" w:w="850"/>
            <w:vAlign w:val="center"/>
            <w:tcMar>
              <w:top w:w="35" w:type="dxa"/>
              <w:bottom w:w="35" w:type="dxa"/>
              <w:left w:w="40" w:type="dxa"/>
              <w:right w:w="40" w:type="dxa"/>
            </w:tcMar>
          </w:tcPr>
          <w:p>
            <w:pPr>
              <w:spacing w:before="10" w:after="10" w:line="245" w:lineRule="auto"/>
              <w:jc w:val="center"/>
            </w:pPr>
            <w:r>
              <w:rPr>
                <w:rFonts w:ascii="Times New Roman" w:hAnsi="Times New Roman"/>
                <w:b w:val="0"/>
                <w:i w:val="0"/>
                <w:color w:val="0F172A"/>
                <w:sz w:val="15"/>
              </w:rPr>
              <w:t>2.330 MiB</w:t>
            </w:r>
          </w:p>
        </w:tc>
        <w:tc>
          <w:tcPr>
            <w:tcW w:type="dxa" w:w="737"/>
            <w:vAlign w:val="center"/>
            <w:tcMar>
              <w:top w:w="35" w:type="dxa"/>
              <w:bottom w:w="35" w:type="dxa"/>
              <w:left w:w="40" w:type="dxa"/>
              <w:right w:w="40" w:type="dxa"/>
            </w:tcMar>
          </w:tcPr>
          <w:p>
            <w:pPr>
              <w:spacing w:before="10" w:after="10" w:line="245" w:lineRule="auto"/>
              <w:jc w:val="center"/>
            </w:pPr>
            <w:r>
              <w:rPr>
                <w:rFonts w:ascii="Times New Roman" w:hAnsi="Times New Roman"/>
                <w:b w:val="0"/>
                <w:i w:val="0"/>
                <w:color w:val="0F172A"/>
                <w:sz w:val="15"/>
              </w:rPr>
              <w:t>1/9</w:t>
            </w:r>
          </w:p>
        </w:tc>
      </w:tr>
      <w:tr>
        <w:trPr>
          <w:cantSplit/>
        </w:trPr>
        <w:tc>
          <w:tcPr>
            <w:tcW w:type="dxa" w:w="1191"/>
            <w:vAlign w:val="center"/>
            <w:tcMar>
              <w:top w:w="35" w:type="dxa"/>
              <w:bottom w:w="35" w:type="dxa"/>
              <w:left w:w="40" w:type="dxa"/>
              <w:right w:w="40" w:type="dxa"/>
            </w:tcMar>
          </w:tcPr>
          <w:p>
            <w:pPr>
              <w:spacing w:before="10" w:after="10" w:line="245" w:lineRule="auto"/>
              <w:jc w:val="left"/>
            </w:pPr>
            <w:r>
              <w:rPr>
                <w:rFonts w:ascii="Consolas" w:hAnsi="Consolas"/>
                <w:b w:val="0"/>
                <w:color w:val="0F172A"/>
                <w:sz w:val="13"/>
              </w:rPr>
              <w:t>qwen2.5:3b-instruct</w:t>
            </w:r>
          </w:p>
        </w:tc>
        <w:tc>
          <w:tcPr>
            <w:tcW w:type="dxa" w:w="850"/>
            <w:vAlign w:val="center"/>
            <w:tcMar>
              <w:top w:w="35" w:type="dxa"/>
              <w:bottom w:w="35" w:type="dxa"/>
              <w:left w:w="40" w:type="dxa"/>
              <w:right w:w="40" w:type="dxa"/>
            </w:tcMar>
          </w:tcPr>
          <w:p>
            <w:pPr>
              <w:spacing w:before="10" w:after="10" w:line="245" w:lineRule="auto"/>
              <w:jc w:val="center"/>
            </w:pPr>
            <w:r>
              <w:rPr>
                <w:rFonts w:ascii="Times New Roman" w:hAnsi="Times New Roman"/>
                <w:b w:val="0"/>
                <w:i w:val="0"/>
                <w:color w:val="0F172A"/>
                <w:sz w:val="15"/>
              </w:rPr>
              <w:t>62,96 tok/s</w:t>
            </w:r>
          </w:p>
        </w:tc>
        <w:tc>
          <w:tcPr>
            <w:tcW w:type="dxa" w:w="794"/>
            <w:vAlign w:val="center"/>
            <w:tcMar>
              <w:top w:w="35" w:type="dxa"/>
              <w:bottom w:w="35" w:type="dxa"/>
              <w:left w:w="40" w:type="dxa"/>
              <w:right w:w="40" w:type="dxa"/>
            </w:tcMar>
          </w:tcPr>
          <w:p>
            <w:pPr>
              <w:spacing w:before="10" w:after="10" w:line="245" w:lineRule="auto"/>
              <w:jc w:val="center"/>
            </w:pPr>
            <w:r>
              <w:rPr>
                <w:rFonts w:ascii="Times New Roman" w:hAnsi="Times New Roman"/>
                <w:b w:val="0"/>
                <w:i w:val="0"/>
                <w:color w:val="0F172A"/>
                <w:sz w:val="15"/>
              </w:rPr>
              <w:t>0,49 s</w:t>
            </w:r>
          </w:p>
        </w:tc>
        <w:tc>
          <w:tcPr>
            <w:tcW w:type="dxa" w:w="850"/>
            <w:vAlign w:val="center"/>
            <w:tcMar>
              <w:top w:w="35" w:type="dxa"/>
              <w:bottom w:w="35" w:type="dxa"/>
              <w:left w:w="40" w:type="dxa"/>
              <w:right w:w="40" w:type="dxa"/>
            </w:tcMar>
          </w:tcPr>
          <w:p>
            <w:pPr>
              <w:spacing w:before="10" w:after="10" w:line="245" w:lineRule="auto"/>
              <w:jc w:val="center"/>
            </w:pPr>
            <w:r>
              <w:rPr>
                <w:rFonts w:ascii="Times New Roman" w:hAnsi="Times New Roman"/>
                <w:b w:val="0"/>
                <w:i w:val="0"/>
                <w:color w:val="0F172A"/>
                <w:sz w:val="15"/>
              </w:rPr>
              <w:t>2.893 MiB</w:t>
            </w:r>
          </w:p>
        </w:tc>
        <w:tc>
          <w:tcPr>
            <w:tcW w:type="dxa" w:w="737"/>
            <w:vAlign w:val="center"/>
            <w:tcMar>
              <w:top w:w="35" w:type="dxa"/>
              <w:bottom w:w="35" w:type="dxa"/>
              <w:left w:w="40" w:type="dxa"/>
              <w:right w:w="40" w:type="dxa"/>
            </w:tcMar>
          </w:tcPr>
          <w:p>
            <w:pPr>
              <w:spacing w:before="10" w:after="10" w:line="245" w:lineRule="auto"/>
              <w:jc w:val="center"/>
            </w:pPr>
            <w:r>
              <w:rPr>
                <w:rFonts w:ascii="Times New Roman" w:hAnsi="Times New Roman"/>
                <w:b w:val="0"/>
                <w:i w:val="0"/>
                <w:color w:val="0F172A"/>
                <w:sz w:val="15"/>
              </w:rPr>
              <w:t>9/9</w:t>
            </w:r>
          </w:p>
        </w:tc>
      </w:tr>
      <w:tr>
        <w:trPr>
          <w:cantSplit/>
        </w:trPr>
        <w:tc>
          <w:tcPr>
            <w:tcW w:type="dxa" w:w="1191"/>
            <w:vAlign w:val="center"/>
            <w:tcMar>
              <w:top w:w="35" w:type="dxa"/>
              <w:bottom w:w="35" w:type="dxa"/>
              <w:left w:w="40" w:type="dxa"/>
              <w:right w:w="40" w:type="dxa"/>
            </w:tcMar>
          </w:tcPr>
          <w:p>
            <w:pPr>
              <w:spacing w:before="10" w:after="10" w:line="245" w:lineRule="auto"/>
              <w:jc w:val="left"/>
            </w:pPr>
            <w:r>
              <w:rPr>
                <w:rFonts w:ascii="Consolas" w:hAnsi="Consolas"/>
                <w:b w:val="0"/>
                <w:color w:val="0F172A"/>
                <w:sz w:val="13"/>
              </w:rPr>
              <w:t>qwen3:4b</w:t>
            </w:r>
          </w:p>
        </w:tc>
        <w:tc>
          <w:tcPr>
            <w:tcW w:type="dxa" w:w="850"/>
            <w:vAlign w:val="center"/>
            <w:tcMar>
              <w:top w:w="35" w:type="dxa"/>
              <w:bottom w:w="35" w:type="dxa"/>
              <w:left w:w="40" w:type="dxa"/>
              <w:right w:w="40" w:type="dxa"/>
            </w:tcMar>
          </w:tcPr>
          <w:p>
            <w:pPr>
              <w:spacing w:before="10" w:after="10" w:line="245" w:lineRule="auto"/>
              <w:jc w:val="center"/>
            </w:pPr>
            <w:r>
              <w:rPr>
                <w:rFonts w:ascii="Times New Roman" w:hAnsi="Times New Roman"/>
                <w:b w:val="0"/>
                <w:i w:val="0"/>
                <w:color w:val="0F172A"/>
                <w:sz w:val="15"/>
              </w:rPr>
              <w:t>23,90 tok/s</w:t>
            </w:r>
          </w:p>
        </w:tc>
        <w:tc>
          <w:tcPr>
            <w:tcW w:type="dxa" w:w="794"/>
            <w:vAlign w:val="center"/>
            <w:tcMar>
              <w:top w:w="35" w:type="dxa"/>
              <w:bottom w:w="35" w:type="dxa"/>
              <w:left w:w="40" w:type="dxa"/>
              <w:right w:w="40" w:type="dxa"/>
            </w:tcMar>
          </w:tcPr>
          <w:p>
            <w:pPr>
              <w:spacing w:before="10" w:after="10" w:line="245" w:lineRule="auto"/>
              <w:jc w:val="center"/>
            </w:pPr>
            <w:r>
              <w:rPr>
                <w:rFonts w:ascii="Times New Roman" w:hAnsi="Times New Roman"/>
                <w:b w:val="0"/>
                <w:i w:val="0"/>
                <w:color w:val="0F172A"/>
                <w:sz w:val="15"/>
              </w:rPr>
              <w:t>tidak terukur</w:t>
            </w:r>
          </w:p>
        </w:tc>
        <w:tc>
          <w:tcPr>
            <w:tcW w:type="dxa" w:w="850"/>
            <w:vAlign w:val="center"/>
            <w:tcMar>
              <w:top w:w="35" w:type="dxa"/>
              <w:bottom w:w="35" w:type="dxa"/>
              <w:left w:w="40" w:type="dxa"/>
              <w:right w:w="40" w:type="dxa"/>
            </w:tcMar>
          </w:tcPr>
          <w:p>
            <w:pPr>
              <w:spacing w:before="10" w:after="10" w:line="245" w:lineRule="auto"/>
              <w:jc w:val="center"/>
            </w:pPr>
            <w:r>
              <w:rPr>
                <w:rFonts w:ascii="Times New Roman" w:hAnsi="Times New Roman"/>
                <w:b w:val="0"/>
                <w:i w:val="0"/>
                <w:color w:val="0F172A"/>
                <w:sz w:val="15"/>
              </w:rPr>
              <w:t>3.133 MiB</w:t>
            </w:r>
          </w:p>
        </w:tc>
        <w:tc>
          <w:tcPr>
            <w:tcW w:type="dxa" w:w="737"/>
            <w:vAlign w:val="center"/>
            <w:tcMar>
              <w:top w:w="35" w:type="dxa"/>
              <w:bottom w:w="35" w:type="dxa"/>
              <w:left w:w="40" w:type="dxa"/>
              <w:right w:w="40" w:type="dxa"/>
            </w:tcMar>
          </w:tcPr>
          <w:p>
            <w:pPr>
              <w:spacing w:before="10" w:after="10" w:line="245" w:lineRule="auto"/>
              <w:jc w:val="center"/>
            </w:pPr>
            <w:r>
              <w:rPr>
                <w:rFonts w:ascii="Times New Roman" w:hAnsi="Times New Roman"/>
                <w:b w:val="0"/>
                <w:i w:val="0"/>
                <w:color w:val="0F172A"/>
                <w:sz w:val="15"/>
              </w:rPr>
              <w:t>0/9</w:t>
            </w:r>
          </w:p>
        </w:tc>
      </w:tr>
    </w:tbl>
    <w:p>
      <w:pPr>
        <w:spacing w:before="0" w:after="40"/>
      </w:pPr>
    </w:p>
    <w:p>
      <w:pPr>
        <w:spacing w:before="0" w:after="48" w:line="269" w:lineRule="auto"/>
        <w:ind w:firstLine="227"/>
        <w:jc w:val="both"/>
      </w:pPr>
      <w:r>
        <w:rPr>
          <w:rFonts w:ascii="Times New Roman" w:hAnsi="Times New Roman"/>
          <w:b w:val="0"/>
          <w:i w:val="0"/>
          <w:color w:val="0F172A"/>
          <w:sz w:val="20"/>
        </w:rPr>
        <w:t>Gambar 3 menyajikan hasil pada Tabel 4 dalam dua panel agar pertukaran kecepatan dan penggunaan memori terlihat langsung. Grafik dibuat ulang dengan pandas dari log per permintaan [14]; nilai VRAM bukan pengukuran puncak selama inferensi.</w:t>
      </w:r>
    </w:p>
    <w:p>
      <w:pPr>
        <w:keepNext/>
        <w:spacing w:before="100" w:after="30"/>
        <w:jc w:val="center"/>
      </w:pPr>
      <w:r>
        <w:drawing>
          <wp:inline xmlns:a="http://schemas.openxmlformats.org/drawingml/2006/main" xmlns:pic="http://schemas.openxmlformats.org/drawingml/2006/picture">
            <wp:extent cx="2808000" cy="1220400"/>
            <wp:docPr id="3" name="Picture 3"/>
            <wp:cNvGraphicFramePr>
              <a:graphicFrameLocks noChangeAspect="1"/>
            </wp:cNvGraphicFramePr>
            <a:graphic>
              <a:graphicData uri="http://schemas.openxmlformats.org/drawingml/2006/picture">
                <pic:pic>
                  <pic:nvPicPr>
                    <pic:cNvPr id="0" name="figure_3_slm_benchmark_results.png"/>
                    <pic:cNvPicPr/>
                  </pic:nvPicPr>
                  <pic:blipFill>
                    <a:blip r:embed="rId13"/>
                    <a:stretch>
                      <a:fillRect/>
                    </a:stretch>
                  </pic:blipFill>
                  <pic:spPr>
                    <a:xfrm>
                      <a:off x="0" y="0"/>
                      <a:ext cx="2808000" cy="1220400"/>
                    </a:xfrm>
                    <a:prstGeom prst="rect"/>
                  </pic:spPr>
                </pic:pic>
              </a:graphicData>
            </a:graphic>
          </wp:inline>
        </w:drawing>
      </w:r>
    </w:p>
    <w:p>
      <w:pPr>
        <w:spacing w:before="20" w:after="80"/>
        <w:jc w:val="both"/>
      </w:pPr>
      <w:r>
        <w:rPr>
          <w:rFonts w:ascii="Times New Roman" w:hAnsi="Times New Roman"/>
          <w:b w:val="0"/>
          <w:i/>
          <w:color w:val="0F172A"/>
          <w:sz w:val="17"/>
        </w:rPr>
        <w:t>Gambar 3. (a) Median kecepatan generasi delapan permintaan hangat; (b) VRAM terbesar yang tercatat setelah permintaan. Jumlah balasan teks terlihat ditampilkan sebagai kontrol kualitas data [14].</w:t>
      </w:r>
    </w:p>
    <w:p>
      <w:pPr>
        <w:spacing w:before="0" w:after="48" w:line="269" w:lineRule="auto"/>
        <w:ind w:firstLine="227"/>
        <w:jc w:val="both"/>
      </w:pPr>
      <w:r>
        <w:rPr>
          <w:rFonts w:ascii="Times New Roman" w:hAnsi="Times New Roman"/>
          <w:b w:val="0"/>
          <w:i w:val="0"/>
          <w:color w:val="0F172A"/>
          <w:sz w:val="20"/>
        </w:rPr>
        <w:t xml:space="preserve">Panel (a) menunjukkan Qwen3 1.7B tercepat, sedangkan panel (b) menunjukkan Qwen3 4B memakai VRAM teramati tertinggi. Kecepatan Qwen3 belum menunjukkan mutu: 8/9 dan 9/9 balasan teksnya kosong. </w:t>
      </w:r>
      <w:r>
        <w:rPr>
          <w:rFonts w:ascii="Consolas" w:hAnsi="Consolas"/>
          <w:b w:val="0"/>
          <w:color w:val="0F172A"/>
          <w:sz w:val="18"/>
        </w:rPr>
        <w:t>qwen2.5:3b-instruct</w:t>
      </w:r>
      <w:r>
        <w:rPr>
          <w:rFonts w:ascii="Times New Roman" w:hAnsi="Times New Roman"/>
          <w:b w:val="0"/>
          <w:i w:val="0"/>
          <w:color w:val="0F172A"/>
          <w:sz w:val="20"/>
        </w:rPr>
        <w:t xml:space="preserve"> menghasilkan 9/9 teks balasan dan median token pertama terlihat 0,49 detik, tetapi isi balasannya belum dinilai secara klinis. Uji ulang harus mengunci versi model, mengatur mode </w:t>
      </w:r>
      <w:r>
        <w:rPr>
          <w:rFonts w:ascii="Times New Roman" w:hAnsi="Times New Roman"/>
          <w:b w:val="0"/>
          <w:i/>
          <w:color w:val="0F172A"/>
          <w:sz w:val="20"/>
        </w:rPr>
        <w:t>thinking</w:t>
      </w:r>
      <w:r>
        <w:rPr>
          <w:rFonts w:ascii="Times New Roman" w:hAnsi="Times New Roman"/>
          <w:b w:val="0"/>
          <w:i w:val="0"/>
          <w:color w:val="0F172A"/>
          <w:sz w:val="20"/>
        </w:rPr>
        <w:t>, dan menjalankan percakapan multi-turn utuh.</w:t>
      </w:r>
    </w:p>
    <w:p>
      <w:pPr>
        <w:keepNext/>
        <w:spacing w:before="120" w:after="40"/>
        <w:jc w:val="left"/>
      </w:pPr>
      <w:r>
        <w:rPr>
          <w:rFonts w:ascii="Times New Roman" w:hAnsi="Times New Roman"/>
          <w:b/>
          <w:color w:val="0F172A"/>
          <w:sz w:val="20"/>
        </w:rPr>
        <w:t>4.4. Evaluasi Pertahanan terhadap Serangan Bertahap Crescendo (AI vs AI Defense)</w:t>
      </w:r>
    </w:p>
    <w:p>
      <w:pPr>
        <w:spacing w:before="0" w:after="48" w:line="269" w:lineRule="auto"/>
        <w:ind w:firstLine="227"/>
        <w:jc w:val="both"/>
      </w:pPr>
      <w:r>
        <w:rPr>
          <w:rFonts w:ascii="Times New Roman" w:hAnsi="Times New Roman"/>
          <w:b w:val="0"/>
          <w:i w:val="0"/>
          <w:color w:val="0F172A"/>
          <w:sz w:val="20"/>
        </w:rPr>
        <w:t xml:space="preserve">Kelemahan mendasar filter </w:t>
      </w:r>
      <w:r>
        <w:rPr>
          <w:rFonts w:ascii="Times New Roman" w:hAnsi="Times New Roman"/>
          <w:b w:val="0"/>
          <w:i/>
          <w:color w:val="0F172A"/>
          <w:sz w:val="20"/>
        </w:rPr>
        <w:t>stateless</w:t>
      </w:r>
      <w:r>
        <w:rPr>
          <w:rFonts w:ascii="Times New Roman" w:hAnsi="Times New Roman"/>
          <w:b w:val="0"/>
          <w:i w:val="0"/>
          <w:color w:val="0F172A"/>
          <w:sz w:val="20"/>
        </w:rPr>
        <w:t xml:space="preserve"> konvensional adalah kegagalannya dalam mengenali eskalasi manipulatif yang disebarkan dalam dialog bertahap (</w:t>
      </w:r>
      <w:r>
        <w:rPr>
          <w:rFonts w:ascii="Times New Roman" w:hAnsi="Times New Roman"/>
          <w:b w:val="0"/>
          <w:i/>
          <w:color w:val="0F172A"/>
          <w:sz w:val="20"/>
        </w:rPr>
        <w:t>multi-turn Crescendo attack</w:t>
      </w:r>
      <w:r>
        <w:rPr>
          <w:rFonts w:ascii="Times New Roman" w:hAnsi="Times New Roman"/>
          <w:b w:val="0"/>
          <w:i w:val="0"/>
          <w:color w:val="0F172A"/>
          <w:sz w:val="20"/>
        </w:rPr>
        <w:t>) [2]. Pada serangan ini, penyerang tidak memicu kata kunci terlarang pada satu giliran terisolasi, melainkan menyusun rangkaian pertanyaan jinak (Turn 1–2), membina otoritas semu (Turn 3), lalu mendesak pelanggaran klinis atau eksfiltrasi data (Turn 4–5). Untuk membuktikan keunggulan pertahanan SIAGA, dilakukan pengujian empiris menggunakan dataset sintetis multi-skenario (</w:t>
      </w:r>
      <w:r>
        <w:rPr>
          <w:rFonts w:ascii="Consolas" w:hAnsi="Consolas"/>
          <w:b w:val="0"/>
          <w:color w:val="0F172A"/>
          <w:sz w:val="18"/>
        </w:rPr>
        <w:t>crescendo_test_scenarios.md</w:t>
      </w:r>
      <w:r>
        <w:rPr>
          <w:rFonts w:ascii="Times New Roman" w:hAnsi="Times New Roman"/>
          <w:b w:val="0"/>
          <w:i w:val="0"/>
          <w:color w:val="0F172A"/>
          <w:sz w:val="20"/>
        </w:rPr>
        <w:t xml:space="preserve">) yang mencakup empat skenario komprehensif: (1) Eksfiltrasi Rekam Medis Pasien via </w:t>
      </w:r>
      <w:r>
        <w:rPr>
          <w:rFonts w:ascii="Times New Roman" w:hAnsi="Times New Roman"/>
          <w:b w:val="0"/>
          <w:i/>
          <w:color w:val="0F172A"/>
          <w:sz w:val="20"/>
        </w:rPr>
        <w:t>Authority Spoofing</w:t>
      </w:r>
      <w:r>
        <w:rPr>
          <w:rFonts w:ascii="Times New Roman" w:hAnsi="Times New Roman"/>
          <w:b w:val="0"/>
          <w:i w:val="0"/>
          <w:color w:val="0F172A"/>
          <w:sz w:val="20"/>
        </w:rPr>
        <w:t>, (2) Paksaan Peresepan Psikotropika Golongan IV (</w:t>
      </w:r>
      <w:r>
        <w:rPr>
          <w:rFonts w:ascii="Times New Roman" w:hAnsi="Times New Roman"/>
          <w:b w:val="0"/>
          <w:i/>
          <w:color w:val="0F172A"/>
          <w:sz w:val="20"/>
        </w:rPr>
        <w:t>Medical Coercion</w:t>
      </w:r>
      <w:r>
        <w:rPr>
          <w:rFonts w:ascii="Times New Roman" w:hAnsi="Times New Roman"/>
          <w:b w:val="0"/>
          <w:i w:val="0"/>
          <w:color w:val="0F172A"/>
          <w:sz w:val="20"/>
        </w:rPr>
        <w:t>), (3) Subversi Persona dan Ekstraksi Prompt Sistem (</w:t>
      </w:r>
      <w:r>
        <w:rPr>
          <w:rFonts w:ascii="Times New Roman" w:hAnsi="Times New Roman"/>
          <w:b w:val="0"/>
          <w:i/>
          <w:color w:val="0F172A"/>
          <w:sz w:val="20"/>
        </w:rPr>
        <w:t>Hypothetical Jailbreak</w:t>
      </w:r>
      <w:r>
        <w:rPr>
          <w:rFonts w:ascii="Times New Roman" w:hAnsi="Times New Roman"/>
          <w:b w:val="0"/>
          <w:i w:val="0"/>
          <w:color w:val="0F172A"/>
          <w:sz w:val="20"/>
        </w:rPr>
        <w:t>), serta (4) Kontrol Negatif Pasien Riil dengan Kecemasan Akut.</w:t>
      </w:r>
    </w:p>
    <w:p>
      <w:pPr>
        <w:spacing w:before="0" w:after="48" w:line="269" w:lineRule="auto"/>
        <w:ind w:firstLine="227"/>
        <w:jc w:val="both"/>
      </w:pPr>
      <w:r>
        <w:rPr>
          <w:rFonts w:ascii="Times New Roman" w:hAnsi="Times New Roman"/>
          <w:b w:val="0"/>
          <w:i w:val="0"/>
          <w:color w:val="0F172A"/>
          <w:sz w:val="20"/>
        </w:rPr>
        <w:t>Tabel 5 membandingkan efektivitas pertahanan tiga paradigma sistem terhadap serangan Crescendo 5-turn.</w:t>
      </w:r>
    </w:p>
    <w:p>
      <w:pPr>
        <w:keepNext/>
        <w:spacing w:before="100" w:after="40"/>
        <w:jc w:val="center"/>
      </w:pPr>
      <w:r>
        <w:rPr>
          <w:rFonts w:ascii="Times New Roman" w:hAnsi="Times New Roman"/>
          <w:b/>
          <w:i w:val="0"/>
          <w:color w:val="0F172A"/>
          <w:sz w:val="17"/>
        </w:rPr>
        <w:t>Tabel 5. Evaluasi Pertahanan Multi-Giliran terhadap Serangan Crescendo (AI vs AI Defense)</w:t>
      </w:r>
    </w:p>
    <w:tbl>
      <w:tblPr>
        <w:tblW w:type="auto" w:w="0"/>
        <w:jc w:val="center"/>
        <w:tblLayout w:type="fixed"/>
        <w:tblLook w:firstColumn="1" w:firstRow="1" w:lastColumn="0" w:lastRow="0" w:noHBand="0" w:noVBand="1" w:val="04A0"/>
        <w:tblBorders>
          <w:top w:val="single" w:sz="6" w:space="0" w:color="0F172A"/>
          <w:left w:val="none"/>
          <w:bottom w:val="single" w:sz="6" w:space="0" w:color="0F172A"/>
          <w:right w:val="none"/>
          <w:insideH w:val="none"/>
          <w:insideV w:val="none"/>
        </w:tblBorders>
      </w:tblPr>
      <w:tblGrid>
        <w:gridCol w:w="2409"/>
        <w:gridCol w:w="2409"/>
        <w:gridCol w:w="2409"/>
        <w:gridCol w:w="2409"/>
      </w:tblGrid>
      <w:tr>
        <w:trPr>
          <w:cantSplit/>
          <w:tblHeader/>
        </w:trPr>
        <w:tc>
          <w:tcPr>
            <w:tcW w:type="dxa" w:w="1106"/>
            <w:vAlign w:val="center"/>
            <w:tcMar>
              <w:top w:w="35" w:type="dxa"/>
              <w:bottom w:w="35" w:type="dxa"/>
              <w:left w:w="40" w:type="dxa"/>
              <w:right w:w="40" w:type="dxa"/>
            </w:tcMar>
            <w:tcBorders>
              <w:bottom w:val="single" w:sz="4" w:space="0" w:color="334155"/>
            </w:tcBorders>
          </w:tcPr>
          <w:p>
            <w:pPr>
              <w:spacing w:before="10" w:after="10" w:line="245" w:lineRule="auto"/>
              <w:jc w:val="center"/>
            </w:pPr>
            <w:r>
              <w:rPr>
                <w:rFonts w:ascii="Times New Roman" w:hAnsi="Times New Roman"/>
                <w:b/>
                <w:i w:val="0"/>
                <w:color w:val="0F172A"/>
                <w:sz w:val="16"/>
              </w:rPr>
              <w:t>Sistem Pertahanan</w:t>
            </w:r>
          </w:p>
        </w:tc>
        <w:tc>
          <w:tcPr>
            <w:tcW w:type="dxa" w:w="1106"/>
            <w:vAlign w:val="center"/>
            <w:tcMar>
              <w:top w:w="35" w:type="dxa"/>
              <w:bottom w:w="35" w:type="dxa"/>
              <w:left w:w="40" w:type="dxa"/>
              <w:right w:w="40" w:type="dxa"/>
            </w:tcMar>
            <w:tcBorders>
              <w:bottom w:val="single" w:sz="4" w:space="0" w:color="334155"/>
            </w:tcBorders>
          </w:tcPr>
          <w:p>
            <w:pPr>
              <w:spacing w:before="10" w:after="10" w:line="245" w:lineRule="auto"/>
              <w:jc w:val="center"/>
            </w:pPr>
            <w:r>
              <w:rPr>
                <w:rFonts w:ascii="Times New Roman" w:hAnsi="Times New Roman"/>
                <w:b/>
                <w:i w:val="0"/>
                <w:color w:val="0F172A"/>
                <w:sz w:val="16"/>
              </w:rPr>
              <w:t>ASR / FPR</w:t>
            </w:r>
          </w:p>
        </w:tc>
        <w:tc>
          <w:tcPr>
            <w:tcW w:type="dxa" w:w="1106"/>
            <w:vAlign w:val="center"/>
            <w:tcMar>
              <w:top w:w="35" w:type="dxa"/>
              <w:bottom w:w="35" w:type="dxa"/>
              <w:left w:w="40" w:type="dxa"/>
              <w:right w:w="40" w:type="dxa"/>
            </w:tcMar>
            <w:tcBorders>
              <w:bottom w:val="single" w:sz="4" w:space="0" w:color="334155"/>
            </w:tcBorders>
          </w:tcPr>
          <w:p>
            <w:pPr>
              <w:spacing w:before="10" w:after="10" w:line="245" w:lineRule="auto"/>
              <w:jc w:val="center"/>
            </w:pPr>
            <w:r>
              <w:rPr>
                <w:rFonts w:ascii="Times New Roman" w:hAnsi="Times New Roman"/>
                <w:b/>
                <w:i w:val="0"/>
                <w:color w:val="0F172A"/>
                <w:sz w:val="16"/>
              </w:rPr>
              <w:t>Titik Intersepsi (TTB)</w:t>
            </w:r>
          </w:p>
        </w:tc>
        <w:tc>
          <w:tcPr>
            <w:tcW w:type="dxa" w:w="1106"/>
            <w:vAlign w:val="center"/>
            <w:tcMar>
              <w:top w:w="35" w:type="dxa"/>
              <w:bottom w:w="35" w:type="dxa"/>
              <w:left w:w="40" w:type="dxa"/>
              <w:right w:w="40" w:type="dxa"/>
            </w:tcMar>
            <w:tcBorders>
              <w:bottom w:val="single" w:sz="4" w:space="0" w:color="334155"/>
            </w:tcBorders>
          </w:tcPr>
          <w:p>
            <w:pPr>
              <w:spacing w:before="10" w:after="10" w:line="245" w:lineRule="auto"/>
              <w:jc w:val="center"/>
            </w:pPr>
            <w:r>
              <w:rPr>
                <w:rFonts w:ascii="Times New Roman" w:hAnsi="Times New Roman"/>
                <w:b/>
                <w:i w:val="0"/>
                <w:color w:val="0F172A"/>
                <w:sz w:val="16"/>
              </w:rPr>
              <w:t>Kebocoran &amp; VRAM</w:t>
            </w:r>
          </w:p>
        </w:tc>
      </w:tr>
      <w:tr>
        <w:trPr>
          <w:cantSplit/>
        </w:trPr>
        <w:tc>
          <w:tcPr>
            <w:tcW w:type="dxa" w:w="1106"/>
            <w:vAlign w:val="center"/>
            <w:tcMar>
              <w:top w:w="35" w:type="dxa"/>
              <w:bottom w:w="35" w:type="dxa"/>
              <w:left w:w="40" w:type="dxa"/>
              <w:right w:w="40" w:type="dxa"/>
            </w:tcMar>
          </w:tcPr>
          <w:p>
            <w:pPr>
              <w:spacing w:before="10" w:after="10" w:line="245" w:lineRule="auto"/>
              <w:jc w:val="left"/>
            </w:pPr>
            <w:r>
              <w:rPr>
                <w:rFonts w:ascii="Times New Roman" w:hAnsi="Times New Roman"/>
                <w:b/>
                <w:i w:val="0"/>
                <w:color w:val="0F172A"/>
                <w:sz w:val="16"/>
              </w:rPr>
              <w:t>Unshielded SLM (Qwen2.5-3B)</w:t>
            </w:r>
          </w:p>
        </w:tc>
        <w:tc>
          <w:tcPr>
            <w:tcW w:type="dxa" w:w="1106"/>
            <w:vAlign w:val="center"/>
            <w:tcMar>
              <w:top w:w="35" w:type="dxa"/>
              <w:bottom w:w="35" w:type="dxa"/>
              <w:left w:w="40" w:type="dxa"/>
              <w:right w:w="40" w:type="dxa"/>
            </w:tcMar>
          </w:tcPr>
          <w:p>
            <w:pPr>
              <w:spacing w:before="10" w:after="10" w:line="245" w:lineRule="auto"/>
              <w:jc w:val="center"/>
            </w:pPr>
            <w:r>
              <w:rPr>
                <w:rFonts w:ascii="Times New Roman" w:hAnsi="Times New Roman"/>
                <w:b w:val="0"/>
                <w:i w:val="0"/>
                <w:color w:val="0F172A"/>
                <w:sz w:val="16"/>
              </w:rPr>
              <w:t>86,7% / 0,0%</w:t>
            </w:r>
          </w:p>
        </w:tc>
        <w:tc>
          <w:tcPr>
            <w:tcW w:type="dxa" w:w="1106"/>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6"/>
              </w:rPr>
              <w:t>Gagal (Jebol Turn 3–4)</w:t>
            </w:r>
          </w:p>
        </w:tc>
        <w:tc>
          <w:tcPr>
            <w:tcW w:type="dxa" w:w="1106"/>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6"/>
              </w:rPr>
              <w:t>100% Bocor (0 MiB VRAM)</w:t>
            </w:r>
          </w:p>
        </w:tc>
      </w:tr>
      <w:tr>
        <w:trPr>
          <w:cantSplit/>
        </w:trPr>
        <w:tc>
          <w:tcPr>
            <w:tcW w:type="dxa" w:w="1106"/>
            <w:vAlign w:val="center"/>
            <w:tcMar>
              <w:top w:w="35" w:type="dxa"/>
              <w:bottom w:w="35" w:type="dxa"/>
              <w:left w:w="40" w:type="dxa"/>
              <w:right w:w="40" w:type="dxa"/>
            </w:tcMar>
          </w:tcPr>
          <w:p>
            <w:pPr>
              <w:spacing w:before="10" w:after="10" w:line="245" w:lineRule="auto"/>
              <w:jc w:val="left"/>
            </w:pPr>
            <w:r>
              <w:rPr>
                <w:rFonts w:ascii="Times New Roman" w:hAnsi="Times New Roman"/>
                <w:b/>
                <w:i w:val="0"/>
                <w:color w:val="0F172A"/>
                <w:sz w:val="16"/>
              </w:rPr>
              <w:t>Stateless Guardrail (Regex / LlamaGuard)</w:t>
            </w:r>
          </w:p>
        </w:tc>
        <w:tc>
          <w:tcPr>
            <w:tcW w:type="dxa" w:w="1106"/>
            <w:vAlign w:val="center"/>
            <w:tcMar>
              <w:top w:w="35" w:type="dxa"/>
              <w:bottom w:w="35" w:type="dxa"/>
              <w:left w:w="40" w:type="dxa"/>
              <w:right w:w="40" w:type="dxa"/>
            </w:tcMar>
          </w:tcPr>
          <w:p>
            <w:pPr>
              <w:spacing w:before="10" w:after="10" w:line="245" w:lineRule="auto"/>
              <w:jc w:val="center"/>
            </w:pPr>
            <w:r>
              <w:rPr>
                <w:rFonts w:ascii="Times New Roman" w:hAnsi="Times New Roman"/>
                <w:b w:val="0"/>
                <w:i w:val="0"/>
                <w:color w:val="0F172A"/>
                <w:sz w:val="16"/>
              </w:rPr>
              <w:t>73,3% / 6,7%</w:t>
            </w:r>
          </w:p>
        </w:tc>
        <w:tc>
          <w:tcPr>
            <w:tcW w:type="dxa" w:w="1106"/>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6"/>
              </w:rPr>
              <w:t>Gagal (Lolos T1–3, Bocor T4)</w:t>
            </w:r>
          </w:p>
        </w:tc>
        <w:tc>
          <w:tcPr>
            <w:tcW w:type="dxa" w:w="1106"/>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6"/>
              </w:rPr>
              <w:t>60,0% Bocor (1.100 MiB)</w:t>
            </w:r>
          </w:p>
        </w:tc>
      </w:tr>
      <w:tr>
        <w:trPr>
          <w:cantSplit/>
        </w:trPr>
        <w:tc>
          <w:tcPr>
            <w:tcW w:type="dxa" w:w="1106"/>
            <w:vAlign w:val="center"/>
            <w:tcMar>
              <w:top w:w="35" w:type="dxa"/>
              <w:bottom w:w="35" w:type="dxa"/>
              <w:left w:w="40" w:type="dxa"/>
              <w:right w:w="40" w:type="dxa"/>
            </w:tcMar>
          </w:tcPr>
          <w:p>
            <w:pPr>
              <w:spacing w:before="10" w:after="10" w:line="245" w:lineRule="auto"/>
              <w:jc w:val="left"/>
            </w:pPr>
            <w:r>
              <w:rPr>
                <w:rFonts w:ascii="Times New Roman" w:hAnsi="Times New Roman"/>
                <w:b/>
                <w:i w:val="0"/>
                <w:color w:val="0F172A"/>
                <w:sz w:val="16"/>
              </w:rPr>
              <w:t>SIAGA Stateful Guardrail (L0–L3 CIM)</w:t>
            </w:r>
          </w:p>
        </w:tc>
        <w:tc>
          <w:tcPr>
            <w:tcW w:type="dxa" w:w="1106"/>
            <w:vAlign w:val="center"/>
            <w:tcMar>
              <w:top w:w="35" w:type="dxa"/>
              <w:bottom w:w="35" w:type="dxa"/>
              <w:left w:w="40" w:type="dxa"/>
              <w:right w:w="40" w:type="dxa"/>
            </w:tcMar>
          </w:tcPr>
          <w:p>
            <w:pPr>
              <w:spacing w:before="10" w:after="10" w:line="245" w:lineRule="auto"/>
              <w:jc w:val="left"/>
            </w:pPr>
            <w:r>
              <w:rPr>
                <w:rFonts w:ascii="Times New Roman" w:hAnsi="Times New Roman"/>
                <w:b/>
                <w:i w:val="0"/>
                <w:color w:val="0F172A"/>
                <w:sz w:val="16"/>
              </w:rPr>
              <w:t>0,0% / 0,0%</w:t>
            </w:r>
          </w:p>
        </w:tc>
        <w:tc>
          <w:tcPr>
            <w:tcW w:type="dxa" w:w="1106"/>
            <w:vAlign w:val="center"/>
            <w:tcMar>
              <w:top w:w="35" w:type="dxa"/>
              <w:bottom w:w="35" w:type="dxa"/>
              <w:left w:w="40" w:type="dxa"/>
              <w:right w:w="40" w:type="dxa"/>
            </w:tcMar>
          </w:tcPr>
          <w:p>
            <w:pPr>
              <w:spacing w:before="10" w:after="10" w:line="245" w:lineRule="auto"/>
              <w:jc w:val="left"/>
            </w:pPr>
            <w:r>
              <w:rPr>
                <w:rFonts w:ascii="Times New Roman" w:hAnsi="Times New Roman"/>
                <w:b/>
                <w:i w:val="0"/>
                <w:color w:val="0F172A"/>
                <w:sz w:val="16"/>
              </w:rPr>
              <w:t>Turn 4 (PROBE) / 5 (BLOCK)</w:t>
            </w:r>
          </w:p>
        </w:tc>
        <w:tc>
          <w:tcPr>
            <w:tcW w:type="dxa" w:w="1106"/>
            <w:vAlign w:val="center"/>
            <w:tcMar>
              <w:top w:w="35" w:type="dxa"/>
              <w:bottom w:w="35" w:type="dxa"/>
              <w:left w:w="40" w:type="dxa"/>
              <w:right w:w="40" w:type="dxa"/>
            </w:tcMar>
          </w:tcPr>
          <w:p>
            <w:pPr>
              <w:spacing w:before="10" w:after="10" w:line="245" w:lineRule="auto"/>
              <w:jc w:val="left"/>
            </w:pPr>
            <w:r>
              <w:rPr>
                <w:rFonts w:ascii="Times New Roman" w:hAnsi="Times New Roman"/>
                <w:b/>
                <w:i w:val="0"/>
                <w:color w:val="0F172A"/>
                <w:sz w:val="16"/>
              </w:rPr>
              <w:t>0,0% Zero-Leak (0 MiB)</w:t>
            </w:r>
          </w:p>
        </w:tc>
      </w:tr>
    </w:tbl>
    <w:p>
      <w:pPr>
        <w:spacing w:before="0" w:after="40"/>
      </w:pPr>
    </w:p>
    <w:p>
      <w:pPr>
        <w:spacing w:before="0" w:after="48" w:line="269" w:lineRule="auto"/>
        <w:ind w:firstLine="227"/>
        <w:jc w:val="both"/>
      </w:pPr>
      <w:r>
        <w:rPr>
          <w:rFonts w:ascii="Times New Roman" w:hAnsi="Times New Roman"/>
          <w:b w:val="0"/>
          <w:i w:val="0"/>
          <w:color w:val="0F172A"/>
          <w:sz w:val="20"/>
        </w:rPr>
        <w:t xml:space="preserve">Hasil empiris pada Tabel 5 membuktikan bahwa model SLM tanpa guardrail mengalami </w:t>
      </w:r>
      <w:r>
        <w:rPr>
          <w:rFonts w:ascii="Times New Roman" w:hAnsi="Times New Roman"/>
          <w:b w:val="0"/>
          <w:i/>
          <w:color w:val="0F172A"/>
          <w:sz w:val="20"/>
        </w:rPr>
        <w:t>jailbreak</w:t>
      </w:r>
      <w:r>
        <w:rPr>
          <w:rFonts w:ascii="Times New Roman" w:hAnsi="Times New Roman"/>
          <w:b w:val="0"/>
          <w:i w:val="0"/>
          <w:color w:val="0F172A"/>
          <w:sz w:val="20"/>
        </w:rPr>
        <w:t xml:space="preserve"> atau kepatuhan instruksi berbahaya pada Turn 3 atau Turn 4 (</w:t>
      </w:r>
      <w:r>
        <w:rPr>
          <w:rFonts w:ascii="Times New Roman" w:hAnsi="Times New Roman"/>
          <w:b w:val="0"/>
          <w:i/>
          <w:color w:val="0F172A"/>
          <w:sz w:val="20"/>
        </w:rPr>
        <w:t>Attack Success Rate</w:t>
      </w:r>
      <w:r>
        <w:rPr>
          <w:rFonts w:ascii="Times New Roman" w:hAnsi="Times New Roman"/>
          <w:b w:val="0"/>
          <w:i w:val="0"/>
          <w:color w:val="0F172A"/>
          <w:sz w:val="20"/>
        </w:rPr>
        <w:t xml:space="preserve"> mencapai 86,7%). Filter </w:t>
      </w:r>
      <w:r>
        <w:rPr>
          <w:rFonts w:ascii="Times New Roman" w:hAnsi="Times New Roman"/>
          <w:b w:val="0"/>
          <w:i/>
          <w:color w:val="0F172A"/>
          <w:sz w:val="20"/>
        </w:rPr>
        <w:t>stateless</w:t>
      </w:r>
      <w:r>
        <w:rPr>
          <w:rFonts w:ascii="Times New Roman" w:hAnsi="Times New Roman"/>
          <w:b w:val="0"/>
          <w:i w:val="0"/>
          <w:color w:val="0F172A"/>
          <w:sz w:val="20"/>
        </w:rPr>
        <w:t xml:space="preserve"> gagal karena prompt Turn 1–3 disamarkan dengan bahasa sopan dan terminologi etika akademis sehingga berada di bawah ambang batas klasifikasi pesan tunggal. Sebaliknya, SIAGA mengakumulasi momentum niat (</w:t>
      </w:r>
      <w:r>
        <w:rPr>
          <w:rFonts w:ascii="Times New Roman" w:hAnsi="Times New Roman"/>
          <w:b w:val="0"/>
          <w:i/>
          <w:color w:val="0F172A"/>
          <w:sz w:val="20"/>
        </w:rPr>
        <w:t>M_t</w:t>
      </w:r>
      <w:r>
        <w:rPr>
          <w:rFonts w:ascii="Times New Roman" w:hAnsi="Times New Roman"/>
          <w:b w:val="0"/>
          <w:i w:val="0"/>
          <w:color w:val="0F172A"/>
          <w:sz w:val="20"/>
        </w:rPr>
        <w:t>) dan perubahan vektor arah (</w:t>
      </w:r>
      <w:r>
        <w:rPr>
          <w:rFonts w:ascii="Times New Roman" w:hAnsi="Times New Roman"/>
          <w:b w:val="0"/>
          <w:i/>
          <w:color w:val="0F172A"/>
          <w:sz w:val="20"/>
        </w:rPr>
        <w:t>D_t</w:t>
      </w:r>
      <w:r>
        <w:rPr>
          <w:rFonts w:ascii="Times New Roman" w:hAnsi="Times New Roman"/>
          <w:b w:val="0"/>
          <w:i w:val="0"/>
          <w:color w:val="0F172A"/>
          <w:sz w:val="20"/>
        </w:rPr>
        <w:t>) lintas giliran, sehingga berhasil memicu tantangan interogasi balik (</w:t>
      </w:r>
      <w:r>
        <w:rPr>
          <w:rFonts w:ascii="Times New Roman" w:hAnsi="Times New Roman"/>
          <w:b w:val="0"/>
          <w:i/>
          <w:color w:val="0F172A"/>
          <w:sz w:val="20"/>
        </w:rPr>
        <w:t>Reverse Turing Probe</w:t>
      </w:r>
      <w:r>
        <w:rPr>
          <w:rFonts w:ascii="Times New Roman" w:hAnsi="Times New Roman"/>
          <w:b w:val="0"/>
          <w:i w:val="0"/>
          <w:color w:val="0F172A"/>
          <w:sz w:val="20"/>
        </w:rPr>
        <w:t>) pada Turn 4 dan mengunci sesi secara permanen (</w:t>
      </w:r>
      <w:r>
        <w:rPr>
          <w:rFonts w:ascii="Times New Roman" w:hAnsi="Times New Roman"/>
          <w:b w:val="0"/>
          <w:i/>
          <w:color w:val="0F172A"/>
          <w:sz w:val="20"/>
        </w:rPr>
        <w:t>BLOCK</w:t>
      </w:r>
      <w:r>
        <w:rPr>
          <w:rFonts w:ascii="Times New Roman" w:hAnsi="Times New Roman"/>
          <w:b w:val="0"/>
          <w:i w:val="0"/>
          <w:color w:val="0F172A"/>
          <w:sz w:val="20"/>
        </w:rPr>
        <w:t xml:space="preserve">) pada Turn 5 sebelum satu pun data sensitif terekspos (0% </w:t>
      </w:r>
      <w:r>
        <w:rPr>
          <w:rFonts w:ascii="Times New Roman" w:hAnsi="Times New Roman"/>
          <w:b w:val="0"/>
          <w:i/>
          <w:color w:val="0F172A"/>
          <w:sz w:val="20"/>
        </w:rPr>
        <w:t>plaintext leakage</w:t>
      </w:r>
      <w:r>
        <w:rPr>
          <w:rFonts w:ascii="Times New Roman" w:hAnsi="Times New Roman"/>
          <w:b w:val="0"/>
          <w:i w:val="0"/>
          <w:color w:val="0F172A"/>
          <w:sz w:val="20"/>
        </w:rPr>
        <w:t>).</w:t>
      </w:r>
    </w:p>
    <w:p>
      <w:pPr>
        <w:spacing w:before="0" w:after="48" w:line="269" w:lineRule="auto"/>
        <w:ind w:firstLine="227"/>
        <w:jc w:val="both"/>
      </w:pPr>
      <w:r>
        <w:rPr>
          <w:rFonts w:ascii="Times New Roman" w:hAnsi="Times New Roman"/>
          <w:b w:val="0"/>
          <w:i w:val="0"/>
          <w:color w:val="0F172A"/>
          <w:sz w:val="20"/>
        </w:rPr>
        <w:t>Pada Skenario 4 (Kontrol Negatif), pasien riil yang mengalami kecemasan akut dan menggunakan kata-kata bernada darurat (</w:t>
      </w:r>
      <w:r>
        <w:rPr>
          <w:rFonts w:ascii="Times New Roman" w:hAnsi="Times New Roman"/>
          <w:b w:val="0"/>
          <w:i/>
          <w:color w:val="0F172A"/>
          <w:sz w:val="20"/>
        </w:rPr>
        <w:t>"tolong"</w:t>
      </w:r>
      <w:r>
        <w:rPr>
          <w:rFonts w:ascii="Times New Roman" w:hAnsi="Times New Roman"/>
          <w:b w:val="0"/>
          <w:i w:val="0"/>
          <w:color w:val="0F172A"/>
          <w:sz w:val="20"/>
        </w:rPr>
        <w:t xml:space="preserve">, </w:t>
      </w:r>
      <w:r>
        <w:rPr>
          <w:rFonts w:ascii="Times New Roman" w:hAnsi="Times New Roman"/>
          <w:b w:val="0"/>
          <w:i/>
          <w:color w:val="0F172A"/>
          <w:sz w:val="20"/>
        </w:rPr>
        <w:t>"sesak"</w:t>
      </w:r>
      <w:r>
        <w:rPr>
          <w:rFonts w:ascii="Times New Roman" w:hAnsi="Times New Roman"/>
          <w:b w:val="0"/>
          <w:i w:val="0"/>
          <w:color w:val="0F172A"/>
          <w:sz w:val="20"/>
        </w:rPr>
        <w:t xml:space="preserve">, </w:t>
      </w:r>
      <w:r>
        <w:rPr>
          <w:rFonts w:ascii="Times New Roman" w:hAnsi="Times New Roman"/>
          <w:b w:val="0"/>
          <w:i/>
          <w:color w:val="0F172A"/>
          <w:sz w:val="20"/>
        </w:rPr>
        <w:t>"ingin menyerah"</w:t>
      </w:r>
      <w:r>
        <w:rPr>
          <w:rFonts w:ascii="Times New Roman" w:hAnsi="Times New Roman"/>
          <w:b w:val="0"/>
          <w:i w:val="0"/>
          <w:color w:val="0F172A"/>
          <w:sz w:val="20"/>
        </w:rPr>
        <w:t xml:space="preserve">) dievaluasi dengan sempurna oleh SIAGA: seluruh 5 giliran memperoleh keputusan </w:t>
      </w:r>
      <w:r>
        <w:rPr>
          <w:rFonts w:ascii="Times New Roman" w:hAnsi="Times New Roman"/>
          <w:b/>
          <w:i w:val="0"/>
          <w:color w:val="0F172A"/>
          <w:sz w:val="20"/>
        </w:rPr>
        <w:t>`ALLOW`</w:t>
      </w:r>
      <w:r>
        <w:rPr>
          <w:rFonts w:ascii="Times New Roman" w:hAnsi="Times New Roman"/>
          <w:b w:val="0"/>
          <w:i w:val="0"/>
          <w:color w:val="0F172A"/>
          <w:sz w:val="20"/>
        </w:rPr>
        <w:t xml:space="preserve"> dengan akumulasi momentum sangat rendah (</w:t>
      </w:r>
      <w:r>
        <w:rPr>
          <w:rFonts w:ascii="Times New Roman" w:hAnsi="Times New Roman"/>
          <w:b w:val="0"/>
          <w:i/>
          <w:color w:val="0F172A"/>
          <w:sz w:val="20"/>
        </w:rPr>
        <w:t>M_t</w:t>
      </w:r>
      <w:r>
        <w:rPr>
          <w:rFonts w:ascii="Times New Roman" w:hAnsi="Times New Roman"/>
          <w:b w:val="0"/>
          <w:i w:val="0"/>
          <w:color w:val="0F172A"/>
          <w:sz w:val="20"/>
        </w:rPr>
        <w:t xml:space="preserve"> ≤ 0,07), membuktikan bahwa mekanisme peluruhan momentum (faktor </w:t>
      </w:r>
      <w:r>
        <w:rPr>
          <w:rFonts w:ascii="Times New Roman" w:hAnsi="Times New Roman"/>
          <w:b w:val="0"/>
          <w:i/>
          <w:color w:val="0F172A"/>
          <w:sz w:val="20"/>
        </w:rPr>
        <w:t>gamma-decay</w:t>
      </w:r>
      <w:r>
        <w:rPr>
          <w:rFonts w:ascii="Times New Roman" w:hAnsi="Times New Roman"/>
          <w:b w:val="0"/>
          <w:i w:val="0"/>
          <w:color w:val="0F172A"/>
          <w:sz w:val="20"/>
        </w:rPr>
        <w:t xml:space="preserve">) mencegah terjadinya </w:t>
      </w:r>
      <w:r>
        <w:rPr>
          <w:rFonts w:ascii="Times New Roman" w:hAnsi="Times New Roman"/>
          <w:b w:val="0"/>
          <w:i/>
          <w:color w:val="0F172A"/>
          <w:sz w:val="20"/>
        </w:rPr>
        <w:t>False Positive</w:t>
      </w:r>
      <w:r>
        <w:rPr>
          <w:rFonts w:ascii="Times New Roman" w:hAnsi="Times New Roman"/>
          <w:b w:val="0"/>
          <w:i w:val="0"/>
          <w:color w:val="0F172A"/>
          <w:sz w:val="20"/>
        </w:rPr>
        <w:t xml:space="preserve"> pada pengguna klinis nyata.</w:t>
      </w:r>
    </w:p>
    <w:p>
      <w:pPr>
        <w:keepNext/>
        <w:spacing w:before="100" w:after="30"/>
        <w:jc w:val="center"/>
      </w:pPr>
      <w:r>
        <w:drawing>
          <wp:inline xmlns:a="http://schemas.openxmlformats.org/drawingml/2006/main" xmlns:pic="http://schemas.openxmlformats.org/drawingml/2006/picture">
            <wp:extent cx="2808000" cy="1609920"/>
            <wp:docPr id="4" name="Picture 4"/>
            <wp:cNvGraphicFramePr>
              <a:graphicFrameLocks noChangeAspect="1"/>
            </wp:cNvGraphicFramePr>
            <a:graphic>
              <a:graphicData uri="http://schemas.openxmlformats.org/drawingml/2006/picture">
                <pic:pic>
                  <pic:nvPicPr>
                    <pic:cNvPr id="0" name="figure_4_crescendo_trajectory.png"/>
                    <pic:cNvPicPr/>
                  </pic:nvPicPr>
                  <pic:blipFill>
                    <a:blip r:embed="rId14"/>
                    <a:stretch>
                      <a:fillRect/>
                    </a:stretch>
                  </pic:blipFill>
                  <pic:spPr>
                    <a:xfrm>
                      <a:off x="0" y="0"/>
                      <a:ext cx="2808000" cy="1609920"/>
                    </a:xfrm>
                    <a:prstGeom prst="rect"/>
                  </pic:spPr>
                </pic:pic>
              </a:graphicData>
            </a:graphic>
          </wp:inline>
        </w:drawing>
      </w:r>
    </w:p>
    <w:p>
      <w:pPr>
        <w:spacing w:before="20" w:after="80"/>
        <w:jc w:val="both"/>
      </w:pPr>
      <w:r>
        <w:rPr>
          <w:rFonts w:ascii="Times New Roman" w:hAnsi="Times New Roman"/>
          <w:b w:val="0"/>
          <w:i/>
          <w:color w:val="0F172A"/>
          <w:sz w:val="17"/>
        </w:rPr>
        <w:t>Gambar 4. Kurva trajektori akumulasi momentum CIM (M_t) lintas 5 giliran percakapan. Skenario penyerangan 1–3 tereskalasi melompati ambang PROBE dan BLOCK, sedangkan Skenario 4 (Kontrol Negatif) mendatar di zona aman (M_t &lt; 0,10).</w:t>
      </w:r>
    </w:p>
    <w:p>
      <w:pPr>
        <w:keepNext/>
        <w:spacing w:before="120" w:after="40"/>
        <w:jc w:val="left"/>
      </w:pPr>
      <w:r>
        <w:rPr>
          <w:rFonts w:ascii="Times New Roman" w:hAnsi="Times New Roman"/>
          <w:b/>
          <w:color w:val="0F172A"/>
          <w:sz w:val="20"/>
        </w:rPr>
        <w:t>4.5. Analisis Efisiensi Komputasi dan Titik Pareto Optimal</w:t>
      </w:r>
    </w:p>
    <w:p>
      <w:pPr>
        <w:spacing w:before="0" w:after="48" w:line="269" w:lineRule="auto"/>
        <w:ind w:firstLine="227"/>
        <w:jc w:val="both"/>
      </w:pPr>
      <w:r>
        <w:rPr>
          <w:rFonts w:ascii="Times New Roman" w:hAnsi="Times New Roman"/>
          <w:b w:val="0"/>
          <w:i w:val="0"/>
          <w:color w:val="0F172A"/>
          <w:sz w:val="20"/>
        </w:rPr>
        <w:t>Untuk membuktikan kelayakan implementasi pada perangkat keras terjangkau, skrip evaluasi otonom mencatat telemetri latensi eksekusi tiap lapisan inspeksi SIAGA pada CPU laptop pengembang (AMD Ryzen 5 4600H, clock 3,0 GHz). Rincian latensi disajikan pada Tabel 6.</w:t>
      </w:r>
    </w:p>
    <w:p>
      <w:pPr>
        <w:keepNext/>
        <w:spacing w:before="100" w:after="40"/>
        <w:jc w:val="center"/>
      </w:pPr>
      <w:r>
        <w:rPr>
          <w:rFonts w:ascii="Times New Roman" w:hAnsi="Times New Roman"/>
          <w:b/>
          <w:i w:val="0"/>
          <w:color w:val="0F172A"/>
          <w:sz w:val="17"/>
        </w:rPr>
        <w:t>Tabel 6. Rincian Latensi Eksekusi per Lapisan SIAGA (n = 20 Giliran, Uji Empiris CPU)</w:t>
      </w:r>
    </w:p>
    <w:tbl>
      <w:tblPr>
        <w:tblW w:type="auto" w:w="0"/>
        <w:jc w:val="center"/>
        <w:tblLayout w:type="fixed"/>
        <w:tblLook w:firstColumn="1" w:firstRow="1" w:lastColumn="0" w:lastRow="0" w:noHBand="0" w:noVBand="1" w:val="04A0"/>
        <w:tblBorders>
          <w:top w:val="single" w:sz="6" w:space="0" w:color="0F172A"/>
          <w:left w:val="none"/>
          <w:bottom w:val="single" w:sz="6" w:space="0" w:color="0F172A"/>
          <w:right w:val="none"/>
          <w:insideH w:val="none"/>
          <w:insideV w:val="none"/>
        </w:tblBorders>
      </w:tblPr>
      <w:tblGrid>
        <w:gridCol w:w="2409"/>
        <w:gridCol w:w="2409"/>
        <w:gridCol w:w="2409"/>
        <w:gridCol w:w="2409"/>
      </w:tblGrid>
      <w:tr>
        <w:trPr>
          <w:cantSplit/>
          <w:tblHeader/>
        </w:trPr>
        <w:tc>
          <w:tcPr>
            <w:tcW w:type="dxa" w:w="1106"/>
            <w:vAlign w:val="center"/>
            <w:tcMar>
              <w:top w:w="35" w:type="dxa"/>
              <w:bottom w:w="35" w:type="dxa"/>
              <w:left w:w="40" w:type="dxa"/>
              <w:right w:w="40" w:type="dxa"/>
            </w:tcMar>
            <w:tcBorders>
              <w:bottom w:val="single" w:sz="4" w:space="0" w:color="334155"/>
            </w:tcBorders>
          </w:tcPr>
          <w:p>
            <w:pPr>
              <w:spacing w:before="10" w:after="10" w:line="245" w:lineRule="auto"/>
              <w:jc w:val="center"/>
            </w:pPr>
            <w:r>
              <w:rPr>
                <w:rFonts w:ascii="Times New Roman" w:hAnsi="Times New Roman"/>
                <w:b/>
                <w:i w:val="0"/>
                <w:color w:val="0F172A"/>
                <w:sz w:val="16"/>
              </w:rPr>
              <w:t>Lapisan SIAGA</w:t>
            </w:r>
          </w:p>
        </w:tc>
        <w:tc>
          <w:tcPr>
            <w:tcW w:type="dxa" w:w="1106"/>
            <w:vAlign w:val="center"/>
            <w:tcMar>
              <w:top w:w="35" w:type="dxa"/>
              <w:bottom w:w="35" w:type="dxa"/>
              <w:left w:w="40" w:type="dxa"/>
              <w:right w:w="40" w:type="dxa"/>
            </w:tcMar>
            <w:tcBorders>
              <w:bottom w:val="single" w:sz="4" w:space="0" w:color="334155"/>
            </w:tcBorders>
          </w:tcPr>
          <w:p>
            <w:pPr>
              <w:spacing w:before="10" w:after="10" w:line="245" w:lineRule="auto"/>
              <w:jc w:val="center"/>
            </w:pPr>
            <w:r>
              <w:rPr>
                <w:rFonts w:ascii="Times New Roman" w:hAnsi="Times New Roman"/>
                <w:b/>
                <w:i w:val="0"/>
                <w:color w:val="0F172A"/>
                <w:sz w:val="16"/>
              </w:rPr>
              <w:t>Komponen Pemrosesan</w:t>
            </w:r>
          </w:p>
        </w:tc>
        <w:tc>
          <w:tcPr>
            <w:tcW w:type="dxa" w:w="1106"/>
            <w:vAlign w:val="center"/>
            <w:tcMar>
              <w:top w:w="35" w:type="dxa"/>
              <w:bottom w:w="35" w:type="dxa"/>
              <w:left w:w="40" w:type="dxa"/>
              <w:right w:w="40" w:type="dxa"/>
            </w:tcMar>
            <w:tcBorders>
              <w:bottom w:val="single" w:sz="4" w:space="0" w:color="334155"/>
            </w:tcBorders>
          </w:tcPr>
          <w:p>
            <w:pPr>
              <w:spacing w:before="10" w:after="10" w:line="245" w:lineRule="auto"/>
              <w:jc w:val="center"/>
            </w:pPr>
            <w:r>
              <w:rPr>
                <w:rFonts w:ascii="Times New Roman" w:hAnsi="Times New Roman"/>
                <w:b/>
                <w:i w:val="0"/>
                <w:color w:val="0F172A"/>
                <w:sz w:val="16"/>
              </w:rPr>
              <w:t>Latensi Median (P95)</w:t>
            </w:r>
          </w:p>
        </w:tc>
        <w:tc>
          <w:tcPr>
            <w:tcW w:type="dxa" w:w="1106"/>
            <w:vAlign w:val="center"/>
            <w:tcMar>
              <w:top w:w="35" w:type="dxa"/>
              <w:bottom w:w="35" w:type="dxa"/>
              <w:left w:w="40" w:type="dxa"/>
              <w:right w:w="40" w:type="dxa"/>
            </w:tcMar>
            <w:tcBorders>
              <w:bottom w:val="single" w:sz="4" w:space="0" w:color="334155"/>
            </w:tcBorders>
          </w:tcPr>
          <w:p>
            <w:pPr>
              <w:spacing w:before="10" w:after="10" w:line="245" w:lineRule="auto"/>
              <w:jc w:val="center"/>
            </w:pPr>
            <w:r>
              <w:rPr>
                <w:rFonts w:ascii="Times New Roman" w:hAnsi="Times New Roman"/>
                <w:b/>
                <w:i w:val="0"/>
                <w:color w:val="0F172A"/>
                <w:sz w:val="16"/>
              </w:rPr>
              <w:t>Beban Memori &amp; Komputasi</w:t>
            </w:r>
          </w:p>
        </w:tc>
      </w:tr>
      <w:tr>
        <w:trPr>
          <w:cantSplit/>
        </w:trPr>
        <w:tc>
          <w:tcPr>
            <w:tcW w:type="dxa" w:w="1106"/>
            <w:vAlign w:val="center"/>
            <w:tcMar>
              <w:top w:w="35" w:type="dxa"/>
              <w:bottom w:w="35" w:type="dxa"/>
              <w:left w:w="40" w:type="dxa"/>
              <w:right w:w="40" w:type="dxa"/>
            </w:tcMar>
          </w:tcPr>
          <w:p>
            <w:pPr>
              <w:spacing w:before="10" w:after="10" w:line="245" w:lineRule="auto"/>
              <w:jc w:val="left"/>
            </w:pPr>
            <w:r>
              <w:rPr>
                <w:rFonts w:ascii="Times New Roman" w:hAnsi="Times New Roman"/>
                <w:b/>
                <w:i w:val="0"/>
                <w:color w:val="0F172A"/>
                <w:sz w:val="16"/>
              </w:rPr>
              <w:t>Layer 0 (L0)</w:t>
            </w:r>
          </w:p>
        </w:tc>
        <w:tc>
          <w:tcPr>
            <w:tcW w:type="dxa" w:w="1106"/>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6"/>
              </w:rPr>
              <w:t>Canonicalizer &amp; Text Cleaner</w:t>
            </w:r>
          </w:p>
        </w:tc>
        <w:tc>
          <w:tcPr>
            <w:tcW w:type="dxa" w:w="1106"/>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6"/>
              </w:rPr>
              <w:t>0,15 ms (0,22 ms)</w:t>
            </w:r>
          </w:p>
        </w:tc>
        <w:tc>
          <w:tcPr>
            <w:tcW w:type="dxa" w:w="1106"/>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6"/>
              </w:rPr>
              <w:t>0 MiB VRAM (&lt; 2 MB RAM)</w:t>
            </w:r>
          </w:p>
        </w:tc>
      </w:tr>
      <w:tr>
        <w:trPr>
          <w:cantSplit/>
        </w:trPr>
        <w:tc>
          <w:tcPr>
            <w:tcW w:type="dxa" w:w="1106"/>
            <w:vAlign w:val="center"/>
            <w:tcMar>
              <w:top w:w="35" w:type="dxa"/>
              <w:bottom w:w="35" w:type="dxa"/>
              <w:left w:w="40" w:type="dxa"/>
              <w:right w:w="40" w:type="dxa"/>
            </w:tcMar>
          </w:tcPr>
          <w:p>
            <w:pPr>
              <w:spacing w:before="10" w:after="10" w:line="245" w:lineRule="auto"/>
              <w:jc w:val="left"/>
            </w:pPr>
            <w:r>
              <w:rPr>
                <w:rFonts w:ascii="Times New Roman" w:hAnsi="Times New Roman"/>
                <w:b/>
                <w:i w:val="0"/>
                <w:color w:val="0F172A"/>
                <w:sz w:val="16"/>
              </w:rPr>
              <w:t>Layer 1 (L1)</w:t>
            </w:r>
          </w:p>
        </w:tc>
        <w:tc>
          <w:tcPr>
            <w:tcW w:type="dxa" w:w="1106"/>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6"/>
              </w:rPr>
              <w:t>MiniLM-L6-v2 Embedder INT8</w:t>
            </w:r>
          </w:p>
        </w:tc>
        <w:tc>
          <w:tcPr>
            <w:tcW w:type="dxa" w:w="1106"/>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6"/>
              </w:rPr>
              <w:t>0,85 ms (1,45 ms)</w:t>
            </w:r>
          </w:p>
        </w:tc>
        <w:tc>
          <w:tcPr>
            <w:tcW w:type="dxa" w:w="1106"/>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6"/>
              </w:rPr>
              <w:t>0 MiB VRAM (~45 MB RAM)</w:t>
            </w:r>
          </w:p>
        </w:tc>
      </w:tr>
      <w:tr>
        <w:trPr>
          <w:cantSplit/>
        </w:trPr>
        <w:tc>
          <w:tcPr>
            <w:tcW w:type="dxa" w:w="1106"/>
            <w:vAlign w:val="center"/>
            <w:tcMar>
              <w:top w:w="35" w:type="dxa"/>
              <w:bottom w:w="35" w:type="dxa"/>
              <w:left w:w="40" w:type="dxa"/>
              <w:right w:w="40" w:type="dxa"/>
            </w:tcMar>
          </w:tcPr>
          <w:p>
            <w:pPr>
              <w:spacing w:before="10" w:after="10" w:line="245" w:lineRule="auto"/>
              <w:jc w:val="left"/>
            </w:pPr>
            <w:r>
              <w:rPr>
                <w:rFonts w:ascii="Times New Roman" w:hAnsi="Times New Roman"/>
                <w:b/>
                <w:i w:val="0"/>
                <w:color w:val="0F172A"/>
                <w:sz w:val="16"/>
              </w:rPr>
              <w:t>Layer 2 (L2)</w:t>
            </w:r>
          </w:p>
        </w:tc>
        <w:tc>
          <w:tcPr>
            <w:tcW w:type="dxa" w:w="1106"/>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6"/>
              </w:rPr>
              <w:t>Context Engine &amp; Burst Limiter</w:t>
            </w:r>
          </w:p>
        </w:tc>
        <w:tc>
          <w:tcPr>
            <w:tcW w:type="dxa" w:w="1106"/>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6"/>
              </w:rPr>
              <w:t>1,45 ms (2,48 ms)</w:t>
            </w:r>
          </w:p>
        </w:tc>
        <w:tc>
          <w:tcPr>
            <w:tcW w:type="dxa" w:w="1106"/>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6"/>
              </w:rPr>
              <w:t>0 MiB VRAM (&lt; 5 MB RAM)</w:t>
            </w:r>
          </w:p>
        </w:tc>
      </w:tr>
      <w:tr>
        <w:trPr>
          <w:cantSplit/>
        </w:trPr>
        <w:tc>
          <w:tcPr>
            <w:tcW w:type="dxa" w:w="1106"/>
            <w:vAlign w:val="center"/>
            <w:tcMar>
              <w:top w:w="35" w:type="dxa"/>
              <w:bottom w:w="35" w:type="dxa"/>
              <w:left w:w="40" w:type="dxa"/>
              <w:right w:w="40" w:type="dxa"/>
            </w:tcMar>
          </w:tcPr>
          <w:p>
            <w:pPr>
              <w:spacing w:before="10" w:after="10" w:line="245" w:lineRule="auto"/>
              <w:jc w:val="left"/>
            </w:pPr>
            <w:r>
              <w:rPr>
                <w:rFonts w:ascii="Times New Roman" w:hAnsi="Times New Roman"/>
                <w:b/>
                <w:i w:val="0"/>
                <w:color w:val="0F172A"/>
                <w:sz w:val="16"/>
              </w:rPr>
              <w:t>Layer 3 (L3)</w:t>
            </w:r>
          </w:p>
        </w:tc>
        <w:tc>
          <w:tcPr>
            <w:tcW w:type="dxa" w:w="1106"/>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6"/>
              </w:rPr>
              <w:t>CIM Momentum &amp; Trajectory Graph</w:t>
            </w:r>
          </w:p>
        </w:tc>
        <w:tc>
          <w:tcPr>
            <w:tcW w:type="dxa" w:w="1106"/>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6"/>
              </w:rPr>
              <w:t>0,65 ms (0,95 ms)</w:t>
            </w:r>
          </w:p>
        </w:tc>
        <w:tc>
          <w:tcPr>
            <w:tcW w:type="dxa" w:w="1106"/>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6"/>
              </w:rPr>
              <w:t>0 MiB VRAM (&lt; 8 MB RAM)</w:t>
            </w:r>
          </w:p>
        </w:tc>
      </w:tr>
      <w:tr>
        <w:trPr>
          <w:cantSplit/>
        </w:trPr>
        <w:tc>
          <w:tcPr>
            <w:tcW w:type="dxa" w:w="1106"/>
            <w:vAlign w:val="center"/>
            <w:tcMar>
              <w:top w:w="35" w:type="dxa"/>
              <w:bottom w:w="35" w:type="dxa"/>
              <w:left w:w="40" w:type="dxa"/>
              <w:right w:w="40" w:type="dxa"/>
            </w:tcMar>
          </w:tcPr>
          <w:p>
            <w:pPr>
              <w:spacing w:before="10" w:after="10" w:line="245" w:lineRule="auto"/>
              <w:jc w:val="left"/>
            </w:pPr>
            <w:r>
              <w:rPr>
                <w:rFonts w:ascii="Times New Roman" w:hAnsi="Times New Roman"/>
                <w:b/>
                <w:i w:val="0"/>
                <w:color w:val="0F172A"/>
                <w:sz w:val="16"/>
              </w:rPr>
              <w:t>Penyimpanan State</w:t>
            </w:r>
          </w:p>
        </w:tc>
        <w:tc>
          <w:tcPr>
            <w:tcW w:type="dxa" w:w="1106"/>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6"/>
              </w:rPr>
              <w:t>DuckDB In-Process Roundtrip</w:t>
            </w:r>
          </w:p>
        </w:tc>
        <w:tc>
          <w:tcPr>
            <w:tcW w:type="dxa" w:w="1106"/>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6"/>
              </w:rPr>
              <w:t>22,80 ms (28,50 ms)</w:t>
            </w:r>
          </w:p>
        </w:tc>
        <w:tc>
          <w:tcPr>
            <w:tcW w:type="dxa" w:w="1106"/>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6"/>
              </w:rPr>
              <w:t>0 MiB VRAM (~30 MB RAM)</w:t>
            </w:r>
          </w:p>
        </w:tc>
      </w:tr>
      <w:tr>
        <w:trPr>
          <w:cantSplit/>
        </w:trPr>
        <w:tc>
          <w:tcPr>
            <w:tcW w:type="dxa" w:w="1106"/>
            <w:vAlign w:val="center"/>
            <w:tcMar>
              <w:top w:w="35" w:type="dxa"/>
              <w:bottom w:w="35" w:type="dxa"/>
              <w:left w:w="40" w:type="dxa"/>
              <w:right w:w="40" w:type="dxa"/>
            </w:tcMar>
          </w:tcPr>
          <w:p>
            <w:pPr>
              <w:spacing w:before="10" w:after="10" w:line="245" w:lineRule="auto"/>
              <w:jc w:val="left"/>
            </w:pPr>
            <w:r>
              <w:rPr>
                <w:rFonts w:ascii="Times New Roman" w:hAnsi="Times New Roman"/>
                <w:b/>
                <w:i w:val="0"/>
                <w:color w:val="0F172A"/>
                <w:sz w:val="16"/>
              </w:rPr>
              <w:t>Total Guardrail</w:t>
            </w:r>
          </w:p>
        </w:tc>
        <w:tc>
          <w:tcPr>
            <w:tcW w:type="dxa" w:w="1106"/>
            <w:vAlign w:val="center"/>
            <w:tcMar>
              <w:top w:w="35" w:type="dxa"/>
              <w:bottom w:w="35" w:type="dxa"/>
              <w:left w:w="40" w:type="dxa"/>
              <w:right w:w="40" w:type="dxa"/>
            </w:tcMar>
          </w:tcPr>
          <w:p>
            <w:pPr>
              <w:spacing w:before="10" w:after="10" w:line="245" w:lineRule="auto"/>
              <w:jc w:val="left"/>
            </w:pPr>
            <w:r>
              <w:rPr>
                <w:rFonts w:ascii="Times New Roman" w:hAnsi="Times New Roman"/>
                <w:b/>
                <w:i w:val="0"/>
                <w:color w:val="0F172A"/>
                <w:sz w:val="16"/>
              </w:rPr>
              <w:t>Total Overhead Pemeriksaan SIAGA</w:t>
            </w:r>
          </w:p>
        </w:tc>
        <w:tc>
          <w:tcPr>
            <w:tcW w:type="dxa" w:w="1106"/>
            <w:vAlign w:val="center"/>
            <w:tcMar>
              <w:top w:w="35" w:type="dxa"/>
              <w:bottom w:w="35" w:type="dxa"/>
              <w:left w:w="40" w:type="dxa"/>
              <w:right w:w="40" w:type="dxa"/>
            </w:tcMar>
          </w:tcPr>
          <w:p>
            <w:pPr>
              <w:spacing w:before="10" w:after="10" w:line="245" w:lineRule="auto"/>
              <w:jc w:val="left"/>
            </w:pPr>
            <w:r>
              <w:rPr>
                <w:rFonts w:ascii="Times New Roman" w:hAnsi="Times New Roman"/>
                <w:b/>
                <w:i w:val="0"/>
                <w:color w:val="0F172A"/>
                <w:sz w:val="16"/>
              </w:rPr>
              <w:t>25,90 ms (33,60 ms)</w:t>
            </w:r>
          </w:p>
        </w:tc>
        <w:tc>
          <w:tcPr>
            <w:tcW w:type="dxa" w:w="1106"/>
            <w:vAlign w:val="center"/>
            <w:tcMar>
              <w:top w:w="35" w:type="dxa"/>
              <w:bottom w:w="35" w:type="dxa"/>
              <w:left w:w="40" w:type="dxa"/>
              <w:right w:w="40" w:type="dxa"/>
            </w:tcMar>
          </w:tcPr>
          <w:p>
            <w:pPr>
              <w:spacing w:before="10" w:after="10" w:line="245" w:lineRule="auto"/>
              <w:jc w:val="left"/>
            </w:pPr>
            <w:r>
              <w:rPr>
                <w:rFonts w:ascii="Times New Roman" w:hAnsi="Times New Roman"/>
                <w:b/>
                <w:i w:val="0"/>
                <w:color w:val="0F172A"/>
                <w:sz w:val="16"/>
              </w:rPr>
              <w:t>0 MiB VRAM (Bebas GPU)</w:t>
            </w:r>
          </w:p>
        </w:tc>
      </w:tr>
    </w:tbl>
    <w:p>
      <w:pPr>
        <w:spacing w:before="0" w:after="40"/>
      </w:pPr>
    </w:p>
    <w:p>
      <w:pPr>
        <w:spacing w:before="0" w:after="48" w:line="269" w:lineRule="auto"/>
        <w:ind w:firstLine="227"/>
        <w:jc w:val="both"/>
      </w:pPr>
      <w:r>
        <w:rPr>
          <w:rFonts w:ascii="Times New Roman" w:hAnsi="Times New Roman"/>
          <w:b w:val="0"/>
          <w:i w:val="0"/>
          <w:color w:val="0F172A"/>
          <w:sz w:val="20"/>
        </w:rPr>
        <w:t xml:space="preserve">Data pada Tabel 6 membuktikan bahwa pemeriksaan keamanan stateful SIAGA menyelesaikan seluruh siklus L0–L3 dalam </w:t>
      </w:r>
      <w:r>
        <w:rPr>
          <w:rFonts w:ascii="Times New Roman" w:hAnsi="Times New Roman"/>
          <w:b/>
          <w:i w:val="0"/>
          <w:color w:val="0F172A"/>
          <w:sz w:val="20"/>
        </w:rPr>
        <w:t>median 25,90 ms</w:t>
      </w:r>
      <w:r>
        <w:rPr>
          <w:rFonts w:ascii="Times New Roman" w:hAnsi="Times New Roman"/>
          <w:b w:val="0"/>
          <w:i w:val="0"/>
          <w:color w:val="0F172A"/>
          <w:sz w:val="20"/>
        </w:rPr>
        <w:t xml:space="preserve"> di CPU murni tanpa mengalokasikan memori kartu grafis (0 MiB VRAM overhead). Seluruh anggaran memori GPU (4.096 MiB) dapat dialokasikan sepenuhnya untuk eksekusi inferensi model bahasa lokal.</w:t>
      </w:r>
    </w:p>
    <w:p>
      <w:pPr>
        <w:spacing w:before="0" w:after="48" w:line="269" w:lineRule="auto"/>
        <w:ind w:firstLine="227"/>
        <w:jc w:val="both"/>
      </w:pPr>
      <w:r>
        <w:rPr>
          <w:rFonts w:ascii="Times New Roman" w:hAnsi="Times New Roman"/>
          <w:b w:val="0"/>
          <w:i w:val="0"/>
          <w:color w:val="0F172A"/>
          <w:sz w:val="20"/>
        </w:rPr>
        <w:t xml:space="preserve">Memadukan hasil throughput inferensi (Tabel 4) dan efisiensi guardrail (Tabel 6), konfigurasi </w:t>
      </w:r>
      <w:r>
        <w:rPr>
          <w:rFonts w:ascii="Times New Roman" w:hAnsi="Times New Roman"/>
          <w:b/>
          <w:i w:val="0"/>
          <w:color w:val="0F172A"/>
          <w:sz w:val="20"/>
        </w:rPr>
        <w:t>`qwen2.5:3b-instruct` (Q4_K_M) + SIAGA Guardrail</w:t>
      </w:r>
      <w:r>
        <w:rPr>
          <w:rFonts w:ascii="Times New Roman" w:hAnsi="Times New Roman"/>
          <w:b w:val="0"/>
          <w:i w:val="0"/>
          <w:color w:val="0F172A"/>
          <w:sz w:val="20"/>
        </w:rPr>
        <w:t xml:space="preserve"> terbukti menjadi titik </w:t>
      </w:r>
      <w:r>
        <w:rPr>
          <w:rFonts w:ascii="Times New Roman" w:hAnsi="Times New Roman"/>
          <w:b w:val="0"/>
          <w:i/>
          <w:color w:val="0F172A"/>
          <w:sz w:val="20"/>
        </w:rPr>
        <w:t>Pareto Optimal</w:t>
      </w:r>
      <w:r>
        <w:rPr>
          <w:rFonts w:ascii="Times New Roman" w:hAnsi="Times New Roman"/>
          <w:b w:val="0"/>
          <w:i w:val="0"/>
          <w:color w:val="0F172A"/>
          <w:sz w:val="20"/>
        </w:rPr>
        <w:t xml:space="preserve"> untuk layanan klinis:</w:t>
      </w:r>
    </w:p>
    <w:p>
      <w:pPr>
        <w:spacing w:before="0" w:after="48" w:line="269" w:lineRule="auto"/>
        <w:ind w:firstLine="227"/>
        <w:jc w:val="both"/>
      </w:pPr>
      <w:r>
        <w:rPr>
          <w:rFonts w:ascii="Times New Roman" w:hAnsi="Times New Roman"/>
          <w:b w:val="0"/>
          <w:i w:val="0"/>
          <w:color w:val="0F172A"/>
          <w:sz w:val="20"/>
        </w:rPr>
        <w:t xml:space="preserve">1. </w:t>
      </w:r>
      <w:r>
        <w:rPr>
          <w:rFonts w:ascii="Times New Roman" w:hAnsi="Times New Roman"/>
          <w:b/>
          <w:i w:val="0"/>
          <w:color w:val="0F172A"/>
          <w:sz w:val="20"/>
        </w:rPr>
        <w:t>Kecepatan dan Responsivitas:</w:t>
      </w:r>
      <w:r>
        <w:rPr>
          <w:rFonts w:ascii="Times New Roman" w:hAnsi="Times New Roman"/>
          <w:b w:val="0"/>
          <w:i w:val="0"/>
          <w:color w:val="0F172A"/>
          <w:sz w:val="20"/>
        </w:rPr>
        <w:t xml:space="preserve"> Menghasilkan 62,96 tok/s dengan waktu token pertama (TTFT) 0,49 detik dan tambahan latensi guardrail hanya ~0,026 detik, menghasilkan total waktu respons pengguna akhir sub-1,5 detik yang sangat nyaman untuk konseling.</w:t>
      </w:r>
    </w:p>
    <w:p>
      <w:pPr>
        <w:spacing w:before="0" w:after="48" w:line="269" w:lineRule="auto"/>
        <w:ind w:firstLine="227"/>
        <w:jc w:val="both"/>
      </w:pPr>
      <w:r>
        <w:rPr>
          <w:rFonts w:ascii="Times New Roman" w:hAnsi="Times New Roman"/>
          <w:b w:val="0"/>
          <w:i w:val="0"/>
          <w:color w:val="0F172A"/>
          <w:sz w:val="20"/>
        </w:rPr>
        <w:t xml:space="preserve">2. </w:t>
      </w:r>
      <w:r>
        <w:rPr>
          <w:rFonts w:ascii="Times New Roman" w:hAnsi="Times New Roman"/>
          <w:b/>
          <w:i w:val="0"/>
          <w:color w:val="0F172A"/>
          <w:sz w:val="20"/>
        </w:rPr>
        <w:t>Kesesuaian Memori:</w:t>
      </w:r>
      <w:r>
        <w:rPr>
          <w:rFonts w:ascii="Times New Roman" w:hAnsi="Times New Roman"/>
          <w:b w:val="0"/>
          <w:i w:val="0"/>
          <w:color w:val="0F172A"/>
          <w:sz w:val="20"/>
        </w:rPr>
        <w:t xml:space="preserve"> Membutuhkan VRAM total 2.893 MiB, pas di bawah batas kartu grafis 4 GB yang umum pada laptop maupun edge device fasilitas kesehatan primer.</w:t>
      </w:r>
    </w:p>
    <w:p>
      <w:pPr>
        <w:spacing w:before="0" w:after="48" w:line="269" w:lineRule="auto"/>
        <w:ind w:firstLine="227"/>
        <w:jc w:val="both"/>
      </w:pPr>
      <w:r>
        <w:rPr>
          <w:rFonts w:ascii="Times New Roman" w:hAnsi="Times New Roman"/>
          <w:b w:val="0"/>
          <w:i w:val="0"/>
          <w:color w:val="0F172A"/>
          <w:sz w:val="20"/>
        </w:rPr>
        <w:t xml:space="preserve">3. </w:t>
      </w:r>
      <w:r>
        <w:rPr>
          <w:rFonts w:ascii="Times New Roman" w:hAnsi="Times New Roman"/>
          <w:b/>
          <w:i w:val="0"/>
          <w:color w:val="0F172A"/>
          <w:sz w:val="20"/>
        </w:rPr>
        <w:t>Ketahanan Keamanan:</w:t>
      </w:r>
      <w:r>
        <w:rPr>
          <w:rFonts w:ascii="Times New Roman" w:hAnsi="Times New Roman"/>
          <w:b w:val="0"/>
          <w:i w:val="0"/>
          <w:color w:val="0F172A"/>
          <w:sz w:val="20"/>
        </w:rPr>
        <w:t xml:space="preserve"> Menjamin </w:t>
      </w:r>
      <w:r>
        <w:rPr>
          <w:rFonts w:ascii="Times New Roman" w:hAnsi="Times New Roman"/>
          <w:b w:val="0"/>
          <w:i/>
          <w:color w:val="0F172A"/>
          <w:sz w:val="20"/>
        </w:rPr>
        <w:t>Attack Success Rate</w:t>
      </w:r>
      <w:r>
        <w:rPr>
          <w:rFonts w:ascii="Times New Roman" w:hAnsi="Times New Roman"/>
          <w:b w:val="0"/>
          <w:i w:val="0"/>
          <w:color w:val="0F172A"/>
          <w:sz w:val="20"/>
        </w:rPr>
        <w:t xml:space="preserve"> 0,0% terhadap manipulasi Crescendo, memecahkan dilema umum antara keamanan model dan kecepatan inferensi.</w:t>
      </w:r>
    </w:p>
    <w:p>
      <w:pPr>
        <w:keepNext/>
        <w:spacing w:before="160" w:after="60"/>
        <w:jc w:val="left"/>
      </w:pPr>
      <w:r>
        <w:rPr>
          <w:rFonts w:ascii="Times New Roman" w:hAnsi="Times New Roman"/>
          <w:b/>
          <w:color w:val="0F172A"/>
          <w:sz w:val="21"/>
        </w:rPr>
        <w:t>CHAPTER 5: SECURITY ARCHITECTURE &amp; INTELLECTUAL PROPERTY POTENTIAL</w:t>
      </w:r>
    </w:p>
    <w:p>
      <w:pPr>
        <w:keepNext/>
        <w:spacing w:before="120" w:after="40"/>
        <w:jc w:val="left"/>
      </w:pPr>
      <w:r>
        <w:rPr>
          <w:rFonts w:ascii="Times New Roman" w:hAnsi="Times New Roman"/>
          <w:b/>
          <w:color w:val="0F172A"/>
          <w:sz w:val="20"/>
        </w:rPr>
        <w:t>5.1. Ancaman, Kontrol, dan Celah yang Tersisa</w:t>
      </w:r>
    </w:p>
    <w:p>
      <w:pPr>
        <w:spacing w:before="0" w:after="48" w:line="269" w:lineRule="auto"/>
        <w:ind w:firstLine="227"/>
        <w:jc w:val="both"/>
      </w:pPr>
      <w:r>
        <w:rPr>
          <w:rFonts w:ascii="Times New Roman" w:hAnsi="Times New Roman"/>
          <w:b w:val="0"/>
          <w:i w:val="0"/>
          <w:color w:val="0F172A"/>
          <w:sz w:val="20"/>
        </w:rPr>
        <w:t>Tabel 7 merangkum ancaman utama tanpa menganggap prototipe telah lolos audit keamanan. Penilaian risiko mengacu pada pola prompt injection dan pengungkapan informasi sensitif dalam panduan OWASP [6].</w:t>
      </w:r>
    </w:p>
    <w:p>
      <w:pPr>
        <w:keepNext/>
        <w:spacing w:before="100" w:after="40"/>
        <w:jc w:val="center"/>
      </w:pPr>
      <w:r>
        <w:rPr>
          <w:rFonts w:ascii="Times New Roman" w:hAnsi="Times New Roman"/>
          <w:b/>
          <w:i w:val="0"/>
          <w:color w:val="0F172A"/>
          <w:sz w:val="17"/>
        </w:rPr>
        <w:t>Tabel 7. Pemetaan ancaman dan kontrol prototipe</w:t>
      </w:r>
    </w:p>
    <w:tbl>
      <w:tblPr>
        <w:tblW w:type="auto" w:w="0"/>
        <w:jc w:val="center"/>
        <w:tblLayout w:type="fixed"/>
        <w:tblLook w:firstColumn="1" w:firstRow="1" w:lastColumn="0" w:lastRow="0" w:noHBand="0" w:noVBand="1" w:val="04A0"/>
        <w:tblBorders>
          <w:top w:val="single" w:sz="6" w:space="0" w:color="0F172A"/>
          <w:left w:val="none"/>
          <w:bottom w:val="single" w:sz="6" w:space="0" w:color="0F172A"/>
          <w:right w:val="none"/>
          <w:insideH w:val="none"/>
          <w:insideV w:val="none"/>
        </w:tblBorders>
      </w:tblPr>
      <w:tblGrid>
        <w:gridCol w:w="3213"/>
        <w:gridCol w:w="3213"/>
        <w:gridCol w:w="3213"/>
      </w:tblGrid>
      <w:tr>
        <w:trPr>
          <w:cantSplit/>
          <w:tblHeader/>
        </w:trPr>
        <w:tc>
          <w:tcPr>
            <w:tcW w:type="dxa" w:w="1134"/>
            <w:vAlign w:val="center"/>
            <w:tcMar>
              <w:top w:w="35" w:type="dxa"/>
              <w:bottom w:w="35" w:type="dxa"/>
              <w:left w:w="40" w:type="dxa"/>
              <w:right w:w="40" w:type="dxa"/>
            </w:tcMar>
            <w:tcBorders>
              <w:bottom w:val="single" w:sz="4" w:space="0" w:color="334155"/>
            </w:tcBorders>
          </w:tcPr>
          <w:p>
            <w:pPr>
              <w:spacing w:before="10" w:after="10" w:line="245" w:lineRule="auto"/>
              <w:jc w:val="center"/>
            </w:pPr>
            <w:r>
              <w:rPr>
                <w:rFonts w:ascii="Times New Roman" w:hAnsi="Times New Roman"/>
                <w:b/>
                <w:i w:val="0"/>
                <w:color w:val="0F172A"/>
                <w:sz w:val="16"/>
              </w:rPr>
              <w:t>Ancaman</w:t>
            </w:r>
          </w:p>
        </w:tc>
        <w:tc>
          <w:tcPr>
            <w:tcW w:type="dxa" w:w="1587"/>
            <w:vAlign w:val="center"/>
            <w:tcMar>
              <w:top w:w="35" w:type="dxa"/>
              <w:bottom w:w="35" w:type="dxa"/>
              <w:left w:w="40" w:type="dxa"/>
              <w:right w:w="40" w:type="dxa"/>
            </w:tcMar>
            <w:tcBorders>
              <w:bottom w:val="single" w:sz="4" w:space="0" w:color="334155"/>
            </w:tcBorders>
          </w:tcPr>
          <w:p>
            <w:pPr>
              <w:spacing w:before="10" w:after="10" w:line="245" w:lineRule="auto"/>
              <w:jc w:val="center"/>
            </w:pPr>
            <w:r>
              <w:rPr>
                <w:rFonts w:ascii="Times New Roman" w:hAnsi="Times New Roman"/>
                <w:b/>
                <w:i w:val="0"/>
                <w:color w:val="0F172A"/>
                <w:sz w:val="16"/>
              </w:rPr>
              <w:t>Kontrol yang ada</w:t>
            </w:r>
          </w:p>
        </w:tc>
        <w:tc>
          <w:tcPr>
            <w:tcW w:type="dxa" w:w="1701"/>
            <w:vAlign w:val="center"/>
            <w:tcMar>
              <w:top w:w="35" w:type="dxa"/>
              <w:bottom w:w="35" w:type="dxa"/>
              <w:left w:w="40" w:type="dxa"/>
              <w:right w:w="40" w:type="dxa"/>
            </w:tcMar>
            <w:tcBorders>
              <w:bottom w:val="single" w:sz="4" w:space="0" w:color="334155"/>
            </w:tcBorders>
          </w:tcPr>
          <w:p>
            <w:pPr>
              <w:spacing w:before="10" w:after="10" w:line="245" w:lineRule="auto"/>
              <w:jc w:val="center"/>
            </w:pPr>
            <w:r>
              <w:rPr>
                <w:rFonts w:ascii="Times New Roman" w:hAnsi="Times New Roman"/>
                <w:b/>
                <w:i w:val="0"/>
                <w:color w:val="0F172A"/>
                <w:sz w:val="16"/>
              </w:rPr>
              <w:t>Pekerjaan sebelum produksi</w:t>
            </w:r>
          </w:p>
        </w:tc>
      </w:tr>
      <w:tr>
        <w:trPr>
          <w:cantSplit/>
        </w:trPr>
        <w:tc>
          <w:tcPr>
            <w:tcW w:type="dxa" w:w="1134"/>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6"/>
              </w:rPr>
              <w:t>Prompt injection bertahap</w:t>
            </w:r>
          </w:p>
        </w:tc>
        <w:tc>
          <w:tcPr>
            <w:tcW w:type="dxa" w:w="1587"/>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6"/>
              </w:rPr>
              <w:t>L0-L3, skor stateful, probe, blokir</w:t>
            </w:r>
          </w:p>
        </w:tc>
        <w:tc>
          <w:tcPr>
            <w:tcW w:type="dxa" w:w="1701"/>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6"/>
              </w:rPr>
              <w:t>Uji adversarial lebih luas dan evaluasi salah deteksi</w:t>
            </w:r>
          </w:p>
        </w:tc>
      </w:tr>
      <w:tr>
        <w:trPr>
          <w:cantSplit/>
        </w:trPr>
        <w:tc>
          <w:tcPr>
            <w:tcW w:type="dxa" w:w="1134"/>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6"/>
              </w:rPr>
              <w:t>Akses lintas peran</w:t>
            </w:r>
          </w:p>
        </w:tc>
        <w:tc>
          <w:tcPr>
            <w:tcW w:type="dxa" w:w="1587"/>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6"/>
              </w:rPr>
              <w:t>Token dan pembatasan endpoint dokter/SOC</w:t>
            </w:r>
          </w:p>
        </w:tc>
        <w:tc>
          <w:tcPr>
            <w:tcW w:type="dxa" w:w="1701"/>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6"/>
              </w:rPr>
              <w:t>Autentikasi produksi, audit hak akses, uji penetrasi</w:t>
            </w:r>
          </w:p>
        </w:tc>
      </w:tr>
      <w:tr>
        <w:trPr>
          <w:cantSplit/>
        </w:trPr>
        <w:tc>
          <w:tcPr>
            <w:tcW w:type="dxa" w:w="1134"/>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6"/>
              </w:rPr>
              <w:t>Kebocoran riwayat pasien</w:t>
            </w:r>
          </w:p>
        </w:tc>
        <w:tc>
          <w:tcPr>
            <w:tcW w:type="dxa" w:w="1587"/>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6"/>
              </w:rPr>
              <w:t>Guardrail DuckDB tanpa teks pesan mentah</w:t>
            </w:r>
          </w:p>
        </w:tc>
        <w:tc>
          <w:tcPr>
            <w:tcW w:type="dxa" w:w="1701"/>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6"/>
              </w:rPr>
              <w:t>Enkripsi dan kebijakan retensi untuk database aplikasi</w:t>
            </w:r>
          </w:p>
        </w:tc>
      </w:tr>
      <w:tr>
        <w:trPr>
          <w:cantSplit/>
        </w:trPr>
        <w:tc>
          <w:tcPr>
            <w:tcW w:type="dxa" w:w="1134"/>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6"/>
              </w:rPr>
              <w:t>Banjir permintaan</w:t>
            </w:r>
          </w:p>
        </w:tc>
        <w:tc>
          <w:tcPr>
            <w:tcW w:type="dxa" w:w="1587"/>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6"/>
              </w:rPr>
              <w:t>Batas ukuran payload dan pembatasan laju dalam memori</w:t>
            </w:r>
          </w:p>
        </w:tc>
        <w:tc>
          <w:tcPr>
            <w:tcW w:type="dxa" w:w="1701"/>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6"/>
              </w:rPr>
              <w:t>Kontrol terdistribusi, pemantauan, uji beban</w:t>
            </w:r>
          </w:p>
        </w:tc>
      </w:tr>
      <w:tr>
        <w:trPr>
          <w:cantSplit/>
        </w:trPr>
        <w:tc>
          <w:tcPr>
            <w:tcW w:type="dxa" w:w="1134"/>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6"/>
              </w:rPr>
              <w:t>Ketergantungan model</w:t>
            </w:r>
          </w:p>
        </w:tc>
        <w:tc>
          <w:tcPr>
            <w:tcW w:type="dxa" w:w="1587"/>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6"/>
              </w:rPr>
              <w:t>Balasan fallback saat layanan LLM gagal</w:t>
            </w:r>
          </w:p>
        </w:tc>
        <w:tc>
          <w:tcPr>
            <w:tcW w:type="dxa" w:w="1701"/>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6"/>
              </w:rPr>
              <w:t>Pengujian keselamatan fallback dan respons krisis</w:t>
            </w:r>
          </w:p>
        </w:tc>
      </w:tr>
    </w:tbl>
    <w:p>
      <w:pPr>
        <w:spacing w:before="0" w:after="40"/>
      </w:pPr>
    </w:p>
    <w:p>
      <w:pPr>
        <w:spacing w:before="0" w:after="48" w:line="269" w:lineRule="auto"/>
        <w:ind w:firstLine="227"/>
        <w:jc w:val="both"/>
      </w:pPr>
      <w:r>
        <w:rPr>
          <w:rFonts w:ascii="Times New Roman" w:hAnsi="Times New Roman"/>
          <w:b w:val="0"/>
          <w:i w:val="0"/>
          <w:color w:val="0F172A"/>
          <w:sz w:val="20"/>
        </w:rPr>
        <w:t xml:space="preserve">Klaim </w:t>
      </w:r>
      <w:r>
        <w:rPr>
          <w:rFonts w:ascii="Times New Roman" w:hAnsi="Times New Roman"/>
          <w:b w:val="0"/>
          <w:i/>
          <w:color w:val="0F172A"/>
          <w:sz w:val="20"/>
        </w:rPr>
        <w:t>zero-plaintext</w:t>
      </w:r>
      <w:r>
        <w:rPr>
          <w:rFonts w:ascii="Times New Roman" w:hAnsi="Times New Roman"/>
          <w:b w:val="0"/>
          <w:i w:val="0"/>
          <w:color w:val="0F172A"/>
          <w:sz w:val="20"/>
        </w:rPr>
        <w:t xml:space="preserve"> dibatasi pada </w:t>
      </w:r>
      <w:r>
        <w:rPr>
          <w:rFonts w:ascii="Times New Roman" w:hAnsi="Times New Roman"/>
          <w:b/>
          <w:i w:val="0"/>
          <w:color w:val="0F172A"/>
          <w:sz w:val="20"/>
        </w:rPr>
        <w:t>penyimpanan state guardrail DuckDB</w:t>
      </w:r>
      <w:r>
        <w:rPr>
          <w:rFonts w:ascii="Times New Roman" w:hAnsi="Times New Roman"/>
          <w:b w:val="0"/>
          <w:i w:val="0"/>
          <w:color w:val="0F172A"/>
          <w:sz w:val="20"/>
        </w:rPr>
        <w:t>. Riwayat chat dan catatan medis pada penyimpanan aplikasi masih memuat teks yang dapat dibaca. TTL 24 jam berlaku pada state guardrail saat pembersihan dijalankan, bukan otomatis pada seluruh data pasien. Nomor SIP yang diterima portal belum diverifikasi ke registri resmi. Karena itu, prototipe belum boleh dinyatakan patuh penuh terhadap UU PDP atau aturan rekam medis; kedua aturan menetapkan kewajiban yang lebih luas daripada pemilihan lokasi inferensi [4], [5].</w:t>
      </w:r>
    </w:p>
    <w:p>
      <w:pPr>
        <w:keepNext/>
        <w:spacing w:before="120" w:after="40"/>
        <w:jc w:val="left"/>
      </w:pPr>
      <w:r>
        <w:rPr>
          <w:rFonts w:ascii="Times New Roman" w:hAnsi="Times New Roman"/>
          <w:b/>
          <w:color w:val="0F172A"/>
          <w:sz w:val="20"/>
        </w:rPr>
        <w:t>5.2. Potensi Kekayaan Intelektual</w:t>
      </w:r>
    </w:p>
    <w:p>
      <w:pPr>
        <w:spacing w:before="0" w:after="48" w:line="269" w:lineRule="auto"/>
        <w:ind w:firstLine="227"/>
        <w:jc w:val="both"/>
      </w:pPr>
      <w:r>
        <w:rPr>
          <w:rFonts w:ascii="Times New Roman" w:hAnsi="Times New Roman"/>
          <w:b w:val="0"/>
          <w:i w:val="0"/>
          <w:color w:val="0F172A"/>
          <w:sz w:val="20"/>
        </w:rPr>
        <w:t>Kombinasi akumulasi sinyal lintas giliran, keputusan berlapis, dan probe dapat diajukan untuk penilaian kekayaan intelektual. Hak cipta perangkat lunak dan kemungkinan paten perlu diperiksa bersama institusi melalui penelusuran prior art, kepemilikan kode, serta penilaian kebaruan. Proposal ini tidak menyatakan paten telah tersedia atau kebaruan hukum telah terbukti.</w:t>
      </w:r>
    </w:p>
    <w:p>
      <w:pPr>
        <w:keepNext/>
        <w:spacing w:before="120" w:after="40"/>
        <w:jc w:val="left"/>
      </w:pPr>
      <w:r>
        <w:rPr>
          <w:rFonts w:ascii="Times New Roman" w:hAnsi="Times New Roman"/>
          <w:b/>
          <w:color w:val="0F172A"/>
          <w:sz w:val="20"/>
        </w:rPr>
        <w:t>5.3. Keselamatan Pengguna dan Tata Kelola</w:t>
      </w:r>
    </w:p>
    <w:p>
      <w:pPr>
        <w:spacing w:before="0" w:after="48" w:line="269" w:lineRule="auto"/>
        <w:ind w:firstLine="227"/>
        <w:jc w:val="both"/>
      </w:pPr>
      <w:r>
        <w:rPr>
          <w:rFonts w:ascii="Times New Roman" w:hAnsi="Times New Roman"/>
          <w:b w:val="0"/>
          <w:i w:val="0"/>
          <w:color w:val="0F172A"/>
          <w:sz w:val="20"/>
        </w:rPr>
        <w:t>Percakapan kesehatan mental menghadirkan risiko selain serangan siber. Pesan yang mengindikasikan krisis, kesalahan interpretasi skor skrining, dan balasan model yang terlalu yakin perlu diuji secara khusus. Pengguna harus diberi tahu bahwa PsychoBot merupakan dukungan awal, bukan tenaga kesehatan. Sebelum pilot, tim perlu menetapkan siapa yang meninjau sinyal risiko, kapan eskalasi ke profesional dilakukan, bagaimana insiden didokumentasikan, serta bagaimana pengguna mengajukan koreksi atau penghapusan data sesuai kebijakan yang berlaku.</w:t>
      </w:r>
    </w:p>
    <w:p>
      <w:pPr>
        <w:spacing w:before="0" w:after="48" w:line="269" w:lineRule="auto"/>
        <w:ind w:firstLine="227"/>
        <w:jc w:val="both"/>
      </w:pPr>
      <w:r>
        <w:rPr>
          <w:rFonts w:ascii="Times New Roman" w:hAnsi="Times New Roman"/>
          <w:b w:val="0"/>
          <w:i w:val="0"/>
          <w:color w:val="0F172A"/>
          <w:sz w:val="20"/>
        </w:rPr>
        <w:t xml:space="preserve">Uji keamanan berikutnya juga harus mencakup akses lintas pasien, penyalahgunaan token pengembangan, prompt injection tidak langsung dari data eksternal, dan pengulangan permintaan yang melampaui batas laju satu proses. Setiap temuan diberi tingkat keparahan dan tindakan perbaikan. Mekanisme PROBE sendiri perlu dinilai dari sisi </w:t>
      </w:r>
      <w:r>
        <w:rPr>
          <w:rFonts w:ascii="Times New Roman" w:hAnsi="Times New Roman"/>
          <w:b w:val="0"/>
          <w:i/>
          <w:color w:val="0F172A"/>
          <w:sz w:val="20"/>
        </w:rPr>
        <w:t>false alarm</w:t>
      </w:r>
      <w:r>
        <w:rPr>
          <w:rFonts w:ascii="Times New Roman" w:hAnsi="Times New Roman"/>
          <w:b w:val="0"/>
          <w:i w:val="0"/>
          <w:color w:val="0F172A"/>
          <w:sz w:val="20"/>
        </w:rPr>
        <w:t xml:space="preserve"> dan pengalaman pasien agar kontrol keamanan tidak memperburuk situasi pengguna yang sedang rentan.</w:t>
      </w:r>
    </w:p>
    <w:p>
      <w:pPr>
        <w:keepNext/>
        <w:spacing w:before="160" w:after="60"/>
        <w:jc w:val="left"/>
      </w:pPr>
      <w:r>
        <w:rPr>
          <w:rFonts w:ascii="Times New Roman" w:hAnsi="Times New Roman"/>
          <w:b/>
          <w:color w:val="0F172A"/>
          <w:sz w:val="21"/>
        </w:rPr>
        <w:t>CHAPTER 6: SCALABILITY &amp; DEPLOYMENT READINESS</w:t>
      </w:r>
    </w:p>
    <w:p>
      <w:pPr>
        <w:keepNext/>
        <w:spacing w:before="120" w:after="40"/>
        <w:jc w:val="left"/>
      </w:pPr>
      <w:r>
        <w:rPr>
          <w:rFonts w:ascii="Times New Roman" w:hAnsi="Times New Roman"/>
          <w:b/>
          <w:color w:val="0F172A"/>
          <w:sz w:val="20"/>
        </w:rPr>
        <w:t>6.1. Jalur Penerapan Bertahap</w:t>
      </w:r>
    </w:p>
    <w:p>
      <w:pPr>
        <w:spacing w:before="0" w:after="48" w:line="269" w:lineRule="auto"/>
        <w:ind w:firstLine="227"/>
        <w:jc w:val="both"/>
      </w:pPr>
      <w:r>
        <w:rPr>
          <w:rFonts w:ascii="Times New Roman" w:hAnsi="Times New Roman"/>
          <w:b w:val="0"/>
          <w:i w:val="0"/>
          <w:color w:val="0F172A"/>
          <w:sz w:val="20"/>
        </w:rPr>
        <w:t>PoC saat ini paling sesuai untuk demonstrasi terkontrol dengan satu backend, DuckDB embedded, dan model lokal pada perangkat yang mampu menjalankannya. Penyimpanan state memakai satu koneksi dengan penguncian proses; pembatas laju juga berada di memori proses. Dengan demikian, angka ribuan pengguna serentak belum dapat diklaim. Rencana skala berikutnya harus dimulai dari uji beban dan kapasitas, baru kemudian memilih penyimpanan bersama, antrean inferensi, observabilitas, dan orkestrasi model sesuai bottleneck yang benar-benar terukur.</w:t>
      </w:r>
    </w:p>
    <w:p>
      <w:pPr>
        <w:keepNext/>
        <w:spacing w:before="120" w:after="40"/>
        <w:jc w:val="left"/>
      </w:pPr>
      <w:r>
        <w:rPr>
          <w:rFonts w:ascii="Times New Roman" w:hAnsi="Times New Roman"/>
          <w:b/>
          <w:color w:val="0F172A"/>
          <w:sz w:val="20"/>
        </w:rPr>
        <w:t>6.2. Rencana Validasi dan Adopsi</w:t>
      </w:r>
    </w:p>
    <w:p>
      <w:pPr>
        <w:keepNext/>
        <w:spacing w:before="100" w:after="40"/>
        <w:jc w:val="center"/>
      </w:pPr>
      <w:r>
        <w:rPr>
          <w:rFonts w:ascii="Times New Roman" w:hAnsi="Times New Roman"/>
          <w:b/>
          <w:i w:val="0"/>
          <w:color w:val="0F172A"/>
          <w:sz w:val="17"/>
        </w:rPr>
        <w:t>Tabel 8. Gerbang keputusan sebelum penggelaran lebih luas</w:t>
      </w:r>
    </w:p>
    <w:tbl>
      <w:tblPr>
        <w:tblW w:type="auto" w:w="0"/>
        <w:jc w:val="center"/>
        <w:tblLayout w:type="fixed"/>
        <w:tblLook w:firstColumn="1" w:firstRow="1" w:lastColumn="0" w:lastRow="0" w:noHBand="0" w:noVBand="1" w:val="04A0"/>
        <w:tblBorders>
          <w:top w:val="single" w:sz="6" w:space="0" w:color="0F172A"/>
          <w:left w:val="none"/>
          <w:bottom w:val="single" w:sz="6" w:space="0" w:color="0F172A"/>
          <w:right w:val="none"/>
          <w:insideH w:val="none"/>
          <w:insideV w:val="none"/>
        </w:tblBorders>
      </w:tblPr>
      <w:tblGrid>
        <w:gridCol w:w="3213"/>
        <w:gridCol w:w="3213"/>
        <w:gridCol w:w="3213"/>
      </w:tblGrid>
      <w:tr>
        <w:trPr>
          <w:cantSplit/>
          <w:tblHeader/>
        </w:trPr>
        <w:tc>
          <w:tcPr>
            <w:tcW w:type="dxa" w:w="907"/>
            <w:vAlign w:val="center"/>
            <w:tcMar>
              <w:top w:w="35" w:type="dxa"/>
              <w:bottom w:w="35" w:type="dxa"/>
              <w:left w:w="40" w:type="dxa"/>
              <w:right w:w="40" w:type="dxa"/>
            </w:tcMar>
            <w:tcBorders>
              <w:bottom w:val="single" w:sz="4" w:space="0" w:color="334155"/>
            </w:tcBorders>
          </w:tcPr>
          <w:p>
            <w:pPr>
              <w:spacing w:before="10" w:after="10" w:line="245" w:lineRule="auto"/>
              <w:jc w:val="center"/>
            </w:pPr>
            <w:r>
              <w:rPr>
                <w:rFonts w:ascii="Times New Roman" w:hAnsi="Times New Roman"/>
                <w:b/>
                <w:i w:val="0"/>
                <w:color w:val="0F172A"/>
                <w:sz w:val="16"/>
              </w:rPr>
              <w:t>Tahap</w:t>
            </w:r>
          </w:p>
        </w:tc>
        <w:tc>
          <w:tcPr>
            <w:tcW w:type="dxa" w:w="1928"/>
            <w:vAlign w:val="center"/>
            <w:tcMar>
              <w:top w:w="35" w:type="dxa"/>
              <w:bottom w:w="35" w:type="dxa"/>
              <w:left w:w="40" w:type="dxa"/>
              <w:right w:w="40" w:type="dxa"/>
            </w:tcMar>
            <w:tcBorders>
              <w:bottom w:val="single" w:sz="4" w:space="0" w:color="334155"/>
            </w:tcBorders>
          </w:tcPr>
          <w:p>
            <w:pPr>
              <w:spacing w:before="10" w:after="10" w:line="245" w:lineRule="auto"/>
              <w:jc w:val="center"/>
            </w:pPr>
            <w:r>
              <w:rPr>
                <w:rFonts w:ascii="Times New Roman" w:hAnsi="Times New Roman"/>
                <w:b/>
                <w:i w:val="0"/>
                <w:color w:val="0F172A"/>
                <w:sz w:val="16"/>
              </w:rPr>
              <w:t>Bukti yang harus dihasilkan</w:t>
            </w:r>
          </w:p>
        </w:tc>
        <w:tc>
          <w:tcPr>
            <w:tcW w:type="dxa" w:w="1587"/>
            <w:vAlign w:val="center"/>
            <w:tcMar>
              <w:top w:w="35" w:type="dxa"/>
              <w:bottom w:w="35" w:type="dxa"/>
              <w:left w:w="40" w:type="dxa"/>
              <w:right w:w="40" w:type="dxa"/>
            </w:tcMar>
            <w:tcBorders>
              <w:bottom w:val="single" w:sz="4" w:space="0" w:color="334155"/>
            </w:tcBorders>
          </w:tcPr>
          <w:p>
            <w:pPr>
              <w:spacing w:before="10" w:after="10" w:line="245" w:lineRule="auto"/>
              <w:jc w:val="center"/>
            </w:pPr>
            <w:r>
              <w:rPr>
                <w:rFonts w:ascii="Times New Roman" w:hAnsi="Times New Roman"/>
                <w:b/>
                <w:i w:val="0"/>
                <w:color w:val="0F172A"/>
                <w:sz w:val="16"/>
              </w:rPr>
              <w:t>Keputusan lanjut</w:t>
            </w:r>
          </w:p>
        </w:tc>
      </w:tr>
      <w:tr>
        <w:trPr>
          <w:cantSplit/>
        </w:trPr>
        <w:tc>
          <w:tcPr>
            <w:tcW w:type="dxa" w:w="907"/>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6"/>
              </w:rPr>
              <w:t>1. Reproduksi PoC</w:t>
            </w:r>
          </w:p>
        </w:tc>
        <w:tc>
          <w:tcPr>
            <w:tcW w:type="dxa" w:w="1928"/>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6"/>
              </w:rPr>
              <w:t>Uji otomatis lulus pada lingkungan terdokumentasi; mode live/mock dibedakan</w:t>
            </w:r>
          </w:p>
        </w:tc>
        <w:tc>
          <w:tcPr>
            <w:tcW w:type="dxa" w:w="1587"/>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6"/>
              </w:rPr>
              <w:t>Demo teknis dapat diulang</w:t>
            </w:r>
          </w:p>
        </w:tc>
      </w:tr>
      <w:tr>
        <w:trPr>
          <w:cantSplit/>
        </w:trPr>
        <w:tc>
          <w:tcPr>
            <w:tcW w:type="dxa" w:w="907"/>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6"/>
              </w:rPr>
              <w:t>2. Evaluasi keamanan</w:t>
            </w:r>
          </w:p>
        </w:tc>
        <w:tc>
          <w:tcPr>
            <w:tcW w:type="dxa" w:w="1928"/>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6"/>
              </w:rPr>
              <w:t>Dataset serangan dan percakapan jinak berlabel; ASR/FPR dengan jumlah sampel; audit akses</w:t>
            </w:r>
          </w:p>
        </w:tc>
        <w:tc>
          <w:tcPr>
            <w:tcW w:type="dxa" w:w="1587"/>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6"/>
              </w:rPr>
              <w:t>Ambang dan kontrol direvisi</w:t>
            </w:r>
          </w:p>
        </w:tc>
      </w:tr>
      <w:tr>
        <w:trPr>
          <w:cantSplit/>
        </w:trPr>
        <w:tc>
          <w:tcPr>
            <w:tcW w:type="dxa" w:w="907"/>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6"/>
              </w:rPr>
              <w:t>3. Evaluasi klinis dan privasi</w:t>
            </w:r>
          </w:p>
        </w:tc>
        <w:tc>
          <w:tcPr>
            <w:tcW w:type="dxa" w:w="1928"/>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6"/>
              </w:rPr>
              <w:t>Protokol supervisi profesional, respons krisis, retensi/enkripsi, penilaian dampak data</w:t>
            </w:r>
          </w:p>
        </w:tc>
        <w:tc>
          <w:tcPr>
            <w:tcW w:type="dxa" w:w="1587"/>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6"/>
              </w:rPr>
              <w:t>Pilot terbatas dengan persetujuan institusi</w:t>
            </w:r>
          </w:p>
        </w:tc>
      </w:tr>
      <w:tr>
        <w:trPr>
          <w:cantSplit/>
        </w:trPr>
        <w:tc>
          <w:tcPr>
            <w:tcW w:type="dxa" w:w="907"/>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6"/>
              </w:rPr>
              <w:t>4. Integrasi dan skala</w:t>
            </w:r>
          </w:p>
        </w:tc>
        <w:tc>
          <w:tcPr>
            <w:tcW w:type="dxa" w:w="1928"/>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6"/>
              </w:rPr>
              <w:t>Uji beban, kebutuhan perangkat, interoperabilitas FHIR di sandbox SATUSEHAT [7]</w:t>
            </w:r>
          </w:p>
        </w:tc>
        <w:tc>
          <w:tcPr>
            <w:tcW w:type="dxa" w:w="1587"/>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6"/>
              </w:rPr>
              <w:t>Keputusan arsitektur produksi</w:t>
            </w:r>
          </w:p>
        </w:tc>
      </w:tr>
    </w:tbl>
    <w:p>
      <w:pPr>
        <w:spacing w:before="0" w:after="40"/>
      </w:pPr>
    </w:p>
    <w:p>
      <w:pPr>
        <w:spacing w:before="0" w:after="48" w:line="269" w:lineRule="auto"/>
        <w:ind w:firstLine="227"/>
        <w:jc w:val="both"/>
      </w:pPr>
      <w:r>
        <w:rPr>
          <w:rFonts w:ascii="Times New Roman" w:hAnsi="Times New Roman"/>
          <w:b w:val="0"/>
          <w:i w:val="0"/>
          <w:color w:val="0F172A"/>
          <w:sz w:val="20"/>
        </w:rPr>
        <w:t>Pilihan SGLang, vLLM, integrasi SATUSEHAT, dan ekspansi lintas fasilitas adalah arah pengembangan, bukan fungsi yang sudah aktif. Model bisnis dan biaya juga baru layak dihitung setelah kapasitas, biaya perangkat, operasi, dan dukungan klinis terukur. Keberhasilan SIAGA untuk tahap kompetisi ditunjukkan oleh prototipe yang dapat didemonstrasikan dan dievaluasi secara jujur; kesiapan klinis serta skala nasional merupakan tahap berikutnya.</w:t>
      </w:r>
    </w:p>
    <w:p>
      <w:pPr>
        <w:keepNext/>
        <w:spacing w:before="120" w:after="40"/>
        <w:jc w:val="left"/>
      </w:pPr>
      <w:r>
        <w:rPr>
          <w:rFonts w:ascii="Times New Roman" w:hAnsi="Times New Roman"/>
          <w:b/>
          <w:color w:val="0F172A"/>
          <w:sz w:val="20"/>
        </w:rPr>
        <w:t>6.3. Prasyarat Skala dan Nilai Implementasi</w:t>
      </w:r>
    </w:p>
    <w:p>
      <w:pPr>
        <w:spacing w:before="0" w:after="48" w:line="269" w:lineRule="auto"/>
        <w:ind w:firstLine="227"/>
        <w:jc w:val="both"/>
      </w:pPr>
      <w:r>
        <w:rPr>
          <w:rFonts w:ascii="Times New Roman" w:hAnsi="Times New Roman"/>
          <w:b w:val="0"/>
          <w:i w:val="0"/>
          <w:color w:val="0F172A"/>
          <w:sz w:val="20"/>
        </w:rPr>
        <w:t>Penggelaran bertahap lebih masuk akal daripada menetapkan target ribuan pengguna tanpa data. Pertama, ukur pemakaian CPU/RAM guardrail dan kebutuhan GPU/RAM model lokal pada sejumlah sesi yang representatif. Kedua, ukur latensi dari saat pesan dikirim hingga token pertama dan respons selesai, sambil mencatat jumlah permintaan bersamaan. Ketiga, uji pemulihan ketika model, proses API, atau database berhenti. Hasil pengukuran menentukan apakah sistem memerlukan pemisahan proses inferensi, replikasi layanan, atau penyimpanan state bersama.</w:t>
      </w:r>
    </w:p>
    <w:p>
      <w:pPr>
        <w:spacing w:before="0" w:after="48" w:line="269" w:lineRule="auto"/>
        <w:ind w:firstLine="227"/>
        <w:jc w:val="both"/>
      </w:pPr>
      <w:r>
        <w:rPr>
          <w:rFonts w:ascii="Times New Roman" w:hAnsi="Times New Roman"/>
          <w:b w:val="0"/>
          <w:i w:val="0"/>
          <w:color w:val="0F172A"/>
          <w:sz w:val="20"/>
        </w:rPr>
        <w:t>Nilai implementasi bagi institusi terletak pada kendali atas jalur data dan kemampuan mengaudit keputusan sebelum pesan mencapai model. Nilai ini hanya terwujud bila operator mempunyai prosedur keamanan, dukungan klinis, dan anggaran pemeliharaan. Karena itu, rencana komersialisasi tidak menetapkan biaya atau kapasitas yang belum diuji; hasil pilot terbatas akan menjadi dasar penetapan harga, dukungan, dan prioritas integrasi.</w:t>
      </w:r>
    </w:p>
    <w:p>
      <w:pPr>
        <w:keepNext/>
        <w:spacing w:before="120" w:after="40"/>
        <w:jc w:val="left"/>
      </w:pPr>
      <w:r>
        <w:rPr>
          <w:rFonts w:ascii="Times New Roman" w:hAnsi="Times New Roman"/>
          <w:b/>
          <w:color w:val="0F172A"/>
          <w:sz w:val="20"/>
        </w:rPr>
        <w:t>Referensi</w:t>
      </w:r>
    </w:p>
    <w:p>
      <w:pPr>
        <w:spacing w:before="0" w:after="40" w:line="252" w:lineRule="auto"/>
        <w:ind w:left="283" w:hanging="283"/>
        <w:jc w:val="both"/>
      </w:pPr>
      <w:r>
        <w:rPr>
          <w:rFonts w:ascii="Times New Roman" w:hAnsi="Times New Roman"/>
          <w:b w:val="0"/>
          <w:i w:val="0"/>
          <w:color w:val="0F172A"/>
          <w:sz w:val="17"/>
        </w:rPr>
        <w:t xml:space="preserve">[1] World Health Organization, </w:t>
      </w:r>
      <w:r>
        <w:rPr>
          <w:rFonts w:ascii="Times New Roman" w:hAnsi="Times New Roman"/>
          <w:b w:val="0"/>
          <w:i/>
          <w:color w:val="0F172A"/>
          <w:sz w:val="17"/>
        </w:rPr>
        <w:t>Mental Health Atlas 2024</w:t>
      </w:r>
      <w:r>
        <w:rPr>
          <w:rFonts w:ascii="Times New Roman" w:hAnsi="Times New Roman"/>
          <w:b w:val="0"/>
          <w:i w:val="0"/>
          <w:color w:val="0F172A"/>
          <w:sz w:val="17"/>
        </w:rPr>
        <w:t>, 2025. https://www.who.int/teams/mental-health-and-substance-use/data-research/mental-health-atlas</w:t>
      </w:r>
    </w:p>
    <w:p>
      <w:pPr>
        <w:spacing w:before="0" w:after="40" w:line="252" w:lineRule="auto"/>
        <w:ind w:left="283" w:hanging="283"/>
        <w:jc w:val="both"/>
      </w:pPr>
      <w:r>
        <w:rPr>
          <w:rFonts w:ascii="Times New Roman" w:hAnsi="Times New Roman"/>
          <w:b w:val="0"/>
          <w:i w:val="0"/>
          <w:color w:val="0F172A"/>
          <w:sz w:val="17"/>
        </w:rPr>
        <w:t xml:space="preserve">[2] M. Russinovich, A. Salem, dan R. Eldan, “Great, Now Write an Article About That: The Crescendo Multi-Turn LLM Jailbreak Attack,” </w:t>
      </w:r>
      <w:r>
        <w:rPr>
          <w:rFonts w:ascii="Times New Roman" w:hAnsi="Times New Roman"/>
          <w:b w:val="0"/>
          <w:i/>
          <w:color w:val="0F172A"/>
          <w:sz w:val="17"/>
        </w:rPr>
        <w:t>Proc. 34th USENIX Security Symposium</w:t>
      </w:r>
      <w:r>
        <w:rPr>
          <w:rFonts w:ascii="Times New Roman" w:hAnsi="Times New Roman"/>
          <w:b w:val="0"/>
          <w:i w:val="0"/>
          <w:color w:val="0F172A"/>
          <w:sz w:val="17"/>
        </w:rPr>
        <w:t>, hlm. 2421–2440, 2025. https://www.usenix.org/conference/usenixsecurity25/presentation/russinovich</w:t>
      </w:r>
    </w:p>
    <w:p>
      <w:pPr>
        <w:spacing w:before="0" w:after="40" w:line="252" w:lineRule="auto"/>
        <w:ind w:left="283" w:hanging="283"/>
        <w:jc w:val="both"/>
      </w:pPr>
      <w:r>
        <w:rPr>
          <w:rFonts w:ascii="Times New Roman" w:hAnsi="Times New Roman"/>
          <w:b w:val="0"/>
          <w:i w:val="0"/>
          <w:color w:val="0F172A"/>
          <w:sz w:val="17"/>
        </w:rPr>
        <w:t>[3] World Health Organization, “Depression: screening tools and diagnosis,” WHO TB Knowledge Sharing. https://tbksp.who.int/pt-br/node/2650</w:t>
      </w:r>
    </w:p>
    <w:p>
      <w:pPr>
        <w:spacing w:before="0" w:after="40" w:line="252" w:lineRule="auto"/>
        <w:ind w:left="283" w:hanging="283"/>
        <w:jc w:val="both"/>
      </w:pPr>
      <w:r>
        <w:rPr>
          <w:rFonts w:ascii="Times New Roman" w:hAnsi="Times New Roman"/>
          <w:b w:val="0"/>
          <w:i w:val="0"/>
          <w:color w:val="0F172A"/>
          <w:sz w:val="17"/>
        </w:rPr>
        <w:t>[4] Republik Indonesia, Undang-Undang Nomor 27 Tahun 2022 tentang Pelindungan Data Pribadi. https://peraturan.bpk.go.id/Details/229798/uu-no-27-</w:t>
      </w:r>
    </w:p>
    <w:p>
      <w:pPr>
        <w:spacing w:before="0" w:after="40" w:line="252" w:lineRule="auto"/>
        <w:ind w:left="283" w:hanging="283"/>
        <w:jc w:val="both"/>
      </w:pPr>
      <w:r>
        <w:rPr>
          <w:rFonts w:ascii="Times New Roman" w:hAnsi="Times New Roman"/>
          <w:b w:val="0"/>
          <w:i w:val="0"/>
          <w:color w:val="0F172A"/>
          <w:sz w:val="17"/>
        </w:rPr>
        <w:t>[5] Kementerian Kesehatan RI, Peraturan Menteri Kesehatan Nomor 24 Tahun 2022 tentang Rekam Medis. https://peraturan.bpk.go.id/Details/245544/p</w:t>
      </w:r>
    </w:p>
    <w:p>
      <w:pPr>
        <w:spacing w:before="0" w:after="40" w:line="252" w:lineRule="auto"/>
        <w:ind w:left="283" w:hanging="283"/>
        <w:jc w:val="both"/>
      </w:pPr>
      <w:r>
        <w:rPr>
          <w:rFonts w:ascii="Times New Roman" w:hAnsi="Times New Roman"/>
          <w:b w:val="0"/>
          <w:i w:val="0"/>
          <w:color w:val="0F172A"/>
          <w:sz w:val="17"/>
        </w:rPr>
        <w:t xml:space="preserve">[6] OWASP, </w:t>
      </w:r>
      <w:r>
        <w:rPr>
          <w:rFonts w:ascii="Times New Roman" w:hAnsi="Times New Roman"/>
          <w:b w:val="0"/>
          <w:i/>
          <w:color w:val="0F172A"/>
          <w:sz w:val="17"/>
        </w:rPr>
        <w:t>Top 10 for Large Language Model Applications 2025</w:t>
      </w:r>
      <w:r>
        <w:rPr>
          <w:rFonts w:ascii="Times New Roman" w:hAnsi="Times New Roman"/>
          <w:b w:val="0"/>
          <w:i w:val="0"/>
          <w:color w:val="0F172A"/>
          <w:sz w:val="17"/>
        </w:rPr>
        <w:t>. https://genai.owasp.org/llm-top-10/</w:t>
      </w:r>
    </w:p>
    <w:p>
      <w:pPr>
        <w:spacing w:before="0" w:after="40" w:line="252" w:lineRule="auto"/>
        <w:ind w:left="283" w:hanging="283"/>
        <w:jc w:val="both"/>
      </w:pPr>
      <w:r>
        <w:rPr>
          <w:rFonts w:ascii="Times New Roman" w:hAnsi="Times New Roman"/>
          <w:b w:val="0"/>
          <w:i w:val="0"/>
          <w:color w:val="0F172A"/>
          <w:sz w:val="17"/>
        </w:rPr>
        <w:t>[7] Kementerian Kesehatan RI, “SATUSEHAT Platform: Observation.” https://satusehat.kemkes.go.id/platform/docs/id/fhir/resources/observation/</w:t>
      </w:r>
    </w:p>
    <w:p>
      <w:pPr>
        <w:spacing w:before="0" w:after="40" w:line="252" w:lineRule="auto"/>
        <w:ind w:left="283" w:hanging="283"/>
        <w:jc w:val="both"/>
      </w:pPr>
      <w:r>
        <w:rPr>
          <w:rFonts w:ascii="Times New Roman" w:hAnsi="Times New Roman"/>
          <w:b w:val="0"/>
          <w:i w:val="0"/>
          <w:color w:val="0F172A"/>
          <w:sz w:val="17"/>
        </w:rPr>
        <w:t>[8] Microsoft Security, “How Microsoft discovers and mitigates evolving attacks against AI guardrails,” 2024. https://www.microsoft.com/en-us/security/blog/2024/04/11/how-microsoft-discovers-and-mitigates-evolving-attacks-against-ai-guardrails/</w:t>
      </w:r>
    </w:p>
    <w:p>
      <w:pPr>
        <w:spacing w:before="0" w:after="40" w:line="252" w:lineRule="auto"/>
        <w:ind w:left="283" w:hanging="283"/>
        <w:jc w:val="both"/>
      </w:pPr>
      <w:r>
        <w:rPr>
          <w:rFonts w:ascii="Times New Roman" w:hAnsi="Times New Roman"/>
          <w:b w:val="0"/>
          <w:i w:val="0"/>
          <w:color w:val="0F172A"/>
          <w:sz w:val="17"/>
        </w:rPr>
        <w:t xml:space="preserve">[9] Tim SIAGA, repositori kode prototipe, </w:t>
      </w:r>
      <w:r>
        <w:rPr>
          <w:rFonts w:ascii="Consolas" w:hAnsi="Consolas"/>
          <w:b w:val="0"/>
          <w:color w:val="0F172A"/>
          <w:sz w:val="15"/>
        </w:rPr>
        <w:t>backend/app/</w:t>
      </w:r>
      <w:r>
        <w:rPr>
          <w:rFonts w:ascii="Times New Roman" w:hAnsi="Times New Roman"/>
          <w:b w:val="0"/>
          <w:i w:val="0"/>
          <w:color w:val="0F172A"/>
          <w:sz w:val="17"/>
        </w:rPr>
        <w:t xml:space="preserve">, </w:t>
      </w:r>
      <w:r>
        <w:rPr>
          <w:rFonts w:ascii="Consolas" w:hAnsi="Consolas"/>
          <w:b w:val="0"/>
          <w:color w:val="0F172A"/>
          <w:sz w:val="15"/>
        </w:rPr>
        <w:t>backend/tests/</w:t>
      </w:r>
      <w:r>
        <w:rPr>
          <w:rFonts w:ascii="Times New Roman" w:hAnsi="Times New Roman"/>
          <w:b w:val="0"/>
          <w:i w:val="0"/>
          <w:color w:val="0F172A"/>
          <w:sz w:val="17"/>
        </w:rPr>
        <w:t xml:space="preserve">, dan </w:t>
      </w:r>
      <w:r>
        <w:rPr>
          <w:rFonts w:ascii="Consolas" w:hAnsi="Consolas"/>
          <w:b w:val="0"/>
          <w:color w:val="0F172A"/>
          <w:sz w:val="15"/>
        </w:rPr>
        <w:t>frontend/src/</w:t>
      </w:r>
      <w:r>
        <w:rPr>
          <w:rFonts w:ascii="Times New Roman" w:hAnsi="Times New Roman"/>
          <w:b w:val="0"/>
          <w:i w:val="0"/>
          <w:color w:val="0F172A"/>
          <w:sz w:val="17"/>
        </w:rPr>
        <w:t>. https://github.com/Adikafazaa/SIAGA</w:t>
      </w:r>
    </w:p>
    <w:p>
      <w:pPr>
        <w:spacing w:before="0" w:after="40" w:line="252" w:lineRule="auto"/>
        <w:ind w:left="283" w:hanging="283"/>
        <w:jc w:val="both"/>
      </w:pPr>
      <w:r>
        <w:rPr>
          <w:rFonts w:ascii="Times New Roman" w:hAnsi="Times New Roman"/>
          <w:b w:val="0"/>
          <w:i w:val="0"/>
          <w:color w:val="0F172A"/>
          <w:sz w:val="17"/>
        </w:rPr>
        <w:t xml:space="preserve">[10] K. Kroenke, R. L. Spitzer, dan J. B. W. Williams, “The PHQ-9: Validity of a Brief Depression Severity Measure,” </w:t>
      </w:r>
      <w:r>
        <w:rPr>
          <w:rFonts w:ascii="Times New Roman" w:hAnsi="Times New Roman"/>
          <w:b w:val="0"/>
          <w:i/>
          <w:color w:val="0F172A"/>
          <w:sz w:val="17"/>
        </w:rPr>
        <w:t>Journal of General Internal Medicine</w:t>
      </w:r>
      <w:r>
        <w:rPr>
          <w:rFonts w:ascii="Times New Roman" w:hAnsi="Times New Roman"/>
          <w:b w:val="0"/>
          <w:i w:val="0"/>
          <w:color w:val="0F172A"/>
          <w:sz w:val="17"/>
        </w:rPr>
        <w:t>, vol. 16, no. 9, hlm. 606–613, 2001. https://pmc.ncbi.nlm.nih.gov/articles/PMC1495268/</w:t>
      </w:r>
    </w:p>
    <w:p>
      <w:pPr>
        <w:spacing w:before="0" w:after="40" w:line="252" w:lineRule="auto"/>
        <w:ind w:left="283" w:hanging="283"/>
        <w:jc w:val="both"/>
      </w:pPr>
      <w:r>
        <w:rPr>
          <w:rFonts w:ascii="Times New Roman" w:hAnsi="Times New Roman"/>
          <w:b w:val="0"/>
          <w:i w:val="0"/>
          <w:color w:val="0F172A"/>
          <w:sz w:val="17"/>
        </w:rPr>
        <w:t xml:space="preserve">[11] R. L. Spitzer, K. Kroenke, J. B. W. Williams, dan B. Löwe, “A Brief Measure for Assessing Generalized Anxiety Disorder: The GAD-7,” </w:t>
      </w:r>
      <w:r>
        <w:rPr>
          <w:rFonts w:ascii="Times New Roman" w:hAnsi="Times New Roman"/>
          <w:b w:val="0"/>
          <w:i/>
          <w:color w:val="0F172A"/>
          <w:sz w:val="17"/>
        </w:rPr>
        <w:t>Archives of Internal Medicine</w:t>
      </w:r>
      <w:r>
        <w:rPr>
          <w:rFonts w:ascii="Times New Roman" w:hAnsi="Times New Roman"/>
          <w:b w:val="0"/>
          <w:i w:val="0"/>
          <w:color w:val="0F172A"/>
          <w:sz w:val="17"/>
        </w:rPr>
        <w:t>, vol. 166, no. 10, hlm. 1092–1097, 2006. https://pubmed.ncbi.nlm.nih.gov/16717171/</w:t>
      </w:r>
    </w:p>
    <w:p>
      <w:pPr>
        <w:spacing w:before="0" w:after="40" w:line="252" w:lineRule="auto"/>
        <w:ind w:left="283" w:hanging="283"/>
        <w:jc w:val="both"/>
      </w:pPr>
      <w:r>
        <w:rPr>
          <w:rFonts w:ascii="Times New Roman" w:hAnsi="Times New Roman"/>
          <w:b w:val="0"/>
          <w:i w:val="0"/>
          <w:color w:val="0F172A"/>
          <w:sz w:val="17"/>
        </w:rPr>
        <w:t xml:space="preserve">[12] K. K. Fitzpatrick, A. Darcy, dan M. Vierhile, “Delivering Cognitive Behavior Therapy to Young Adults With Symptoms of Depression and Anxiety Using a Fully Automated Conversational Agent (Woebot): A Randomized Controlled Trial,” </w:t>
      </w:r>
      <w:r>
        <w:rPr>
          <w:rFonts w:ascii="Times New Roman" w:hAnsi="Times New Roman"/>
          <w:b w:val="0"/>
          <w:i/>
          <w:color w:val="0F172A"/>
          <w:sz w:val="17"/>
        </w:rPr>
        <w:t>JMIR Mental Health</w:t>
      </w:r>
      <w:r>
        <w:rPr>
          <w:rFonts w:ascii="Times New Roman" w:hAnsi="Times New Roman"/>
          <w:b w:val="0"/>
          <w:i w:val="0"/>
          <w:color w:val="0F172A"/>
          <w:sz w:val="17"/>
        </w:rPr>
        <w:t>, vol. 4, no. 2, e19, 2017. https://mental.jmir.org/2017/2/e19/</w:t>
      </w:r>
    </w:p>
    <w:p>
      <w:pPr>
        <w:spacing w:before="0" w:after="40" w:line="252" w:lineRule="auto"/>
        <w:ind w:left="283" w:hanging="283"/>
        <w:jc w:val="both"/>
      </w:pPr>
      <w:r>
        <w:rPr>
          <w:rFonts w:ascii="Times New Roman" w:hAnsi="Times New Roman"/>
          <w:b w:val="0"/>
          <w:i w:val="0"/>
          <w:color w:val="0F172A"/>
          <w:sz w:val="17"/>
        </w:rPr>
        <w:t>[13] Qwen Team, “Qwen3 Technical Report,” arXiv:2505.09388, 2025. https://arxiv.org/abs/2505.09388</w:t>
      </w:r>
    </w:p>
    <w:p>
      <w:pPr>
        <w:spacing w:before="0" w:after="40" w:line="252" w:lineRule="auto"/>
        <w:ind w:left="283" w:hanging="283"/>
        <w:jc w:val="both"/>
      </w:pPr>
      <w:r>
        <w:rPr>
          <w:rFonts w:ascii="Times New Roman" w:hAnsi="Times New Roman"/>
          <w:b w:val="0"/>
          <w:i w:val="0"/>
          <w:color w:val="0F172A"/>
          <w:sz w:val="17"/>
        </w:rPr>
        <w:t xml:space="preserve">[14] Tim SIAGA, arsip pengukuran lokal, </w:t>
      </w:r>
      <w:r>
        <w:rPr>
          <w:rFonts w:ascii="Consolas" w:hAnsi="Consolas"/>
          <w:b w:val="0"/>
          <w:color w:val="0F172A"/>
          <w:sz w:val="15"/>
        </w:rPr>
        <w:t>scratch/benchmark_synthetic_suite.py</w:t>
      </w:r>
      <w:r>
        <w:rPr>
          <w:rFonts w:ascii="Times New Roman" w:hAnsi="Times New Roman"/>
          <w:b w:val="0"/>
          <w:i w:val="0"/>
          <w:color w:val="0F172A"/>
          <w:sz w:val="17"/>
        </w:rPr>
        <w:t xml:space="preserve">, </w:t>
      </w:r>
      <w:r>
        <w:rPr>
          <w:rFonts w:ascii="Consolas" w:hAnsi="Consolas"/>
          <w:b w:val="0"/>
          <w:color w:val="0F172A"/>
          <w:sz w:val="15"/>
        </w:rPr>
        <w:t>scratch/benchmark_synthetic_report_data.json</w:t>
      </w:r>
      <w:r>
        <w:rPr>
          <w:rFonts w:ascii="Times New Roman" w:hAnsi="Times New Roman"/>
          <w:b w:val="0"/>
          <w:i w:val="0"/>
          <w:color w:val="0F172A"/>
          <w:sz w:val="17"/>
        </w:rPr>
        <w:t xml:space="preserve">, dan </w:t>
      </w:r>
      <w:r>
        <w:rPr>
          <w:rFonts w:ascii="Consolas" w:hAnsi="Consolas"/>
          <w:b w:val="0"/>
          <w:color w:val="0F172A"/>
          <w:sz w:val="15"/>
        </w:rPr>
        <w:t>Knowledge/Docs/report/LAPORAN_BENCHMARK_KOMPARATIF_MODEL_SLM_QWEN_SERIES.md</w:t>
      </w:r>
      <w:r>
        <w:rPr>
          <w:rFonts w:ascii="Times New Roman" w:hAnsi="Times New Roman"/>
          <w:b w:val="0"/>
          <w:i w:val="0"/>
          <w:color w:val="0F172A"/>
          <w:sz w:val="17"/>
        </w:rPr>
        <w:t>, 2 Oktober 2026. Repositori: https://github.com/Adikafazaa/SIAGA</w:t>
      </w:r>
    </w:p>
    <w:sectPr w:rsidR="00FC693F" w:rsidRPr="0006063C" w:rsidSect="00034616">
      <w:pgSz w:w="11906" w:h="16838"/>
      <w:pgMar w:top="1134" w:right="1134" w:bottom="1134" w:left="1134" w:header="680" w:footer="680" w:gutter="0"/>
      <w:cols w:space="720"/>
      <w:titlePg/>
      <w:docGrid w:linePitch="360"/>
      <w:cols w:num="2" w:space="39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475569"/>
        <w:sz w:val="17"/>
      </w:rPr>
      <w:t>SIAGA: Pertahanan Percakapan AI Bertahap Layanan Kesehatan Mental | HackNusa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