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b/>
          <w:color w:val="2F75B5"/>
          <w:sz w:val="26"/>
        </w:rPr>
        <w:t>MACHINE LEARNING PROJECT REPORT</w:t>
      </w:r>
    </w:p>
    <w:p>
      <w:pPr>
        <w:spacing w:before="300"/>
        <w:jc w:val="center"/>
      </w:pPr>
      <w:r>
        <w:rPr>
          <w:b/>
          <w:color w:val="17365D"/>
          <w:sz w:val="68"/>
        </w:rPr>
        <w:t>SmartPrice</w:t>
      </w:r>
    </w:p>
    <w:p>
      <w:pPr>
        <w:spacing w:after="560"/>
        <w:jc w:val="center"/>
      </w:pPr>
      <w:r>
        <w:rPr>
          <w:color w:val="243247"/>
          <w:sz w:val="36"/>
        </w:rPr>
        <w:t>Smartphone Price Category Prediction</w:t>
        <w:br/>
        <w:t>and Multi-Model Benchmarking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96"/>
            <w:vAlign w:val="center"/>
            <w:shd w:fill="17365D"/>
          </w:tcPr>
          <w:p>
            <w:pPr>
              <w:spacing w:after="20"/>
            </w:pPr>
            <w:r/>
            <w:r>
              <w:rPr>
                <w:rFonts w:ascii="Calibri" w:hAnsi="Calibri"/>
                <w:b/>
                <w:color w:val="FFFFFF"/>
                <w:sz w:val="20"/>
              </w:rPr>
              <w:t>Submission details</w:t>
            </w:r>
          </w:p>
        </w:tc>
        <w:tc>
          <w:tcPr>
            <w:tcW w:type="dxa" w:w="5904"/>
            <w:vAlign w:val="center"/>
            <w:shd w:fill="17365D"/>
          </w:tcPr>
          <w:p>
            <w:pPr>
              <w:spacing w:after="20"/>
            </w:pPr>
            <w:r/>
            <w:r>
              <w:rPr>
                <w:rFonts w:ascii="Calibri" w:hAnsi="Calibri"/>
                <w:b/>
                <w:color w:val="FFFFFF"/>
                <w:sz w:val="20"/>
              </w:rPr>
              <w:t>Information</w:t>
            </w:r>
          </w:p>
        </w:tc>
      </w:tr>
      <w:tr>
        <w:tc>
          <w:tcPr>
            <w:tcW w:type="dxa" w:w="3096"/>
            <w:vAlign w:val="center"/>
          </w:tcPr>
          <w:p>
            <w:pPr>
              <w:spacing w:after="20"/>
            </w:pPr>
            <w:r/>
            <w:r>
              <w:rPr>
                <w:rFonts w:ascii="Calibri" w:hAnsi="Calibri"/>
                <w:b w:val="0"/>
                <w:color w:val="243247"/>
                <w:sz w:val="20"/>
              </w:rPr>
              <w:t>Submitted by</w:t>
            </w:r>
          </w:p>
        </w:tc>
        <w:tc>
          <w:tcPr>
            <w:tcW w:type="dxa" w:w="5904"/>
            <w:vAlign w:val="center"/>
          </w:tcPr>
          <w:p>
            <w:pPr>
              <w:spacing w:after="20"/>
            </w:pPr>
            <w:r/>
            <w:r>
              <w:rPr>
                <w:rFonts w:ascii="Calibri" w:hAnsi="Calibri"/>
                <w:b w:val="0"/>
                <w:color w:val="243247"/>
                <w:sz w:val="20"/>
              </w:rPr>
              <w:t>________________________________________</w:t>
            </w:r>
          </w:p>
        </w:tc>
      </w:tr>
      <w:tr>
        <w:tc>
          <w:tcPr>
            <w:tcW w:type="dxa" w:w="3096"/>
            <w:vAlign w:val="center"/>
            <w:shd w:fill="F3F6FA"/>
          </w:tcPr>
          <w:p>
            <w:pPr>
              <w:spacing w:after="20"/>
            </w:pPr>
            <w:r/>
            <w:r>
              <w:rPr>
                <w:rFonts w:ascii="Calibri" w:hAnsi="Calibri"/>
                <w:b w:val="0"/>
                <w:color w:val="243247"/>
                <w:sz w:val="20"/>
              </w:rPr>
              <w:t>Student ID / Roll No.</w:t>
            </w:r>
          </w:p>
        </w:tc>
        <w:tc>
          <w:tcPr>
            <w:tcW w:type="dxa" w:w="5904"/>
            <w:vAlign w:val="center"/>
            <w:shd w:fill="F3F6FA"/>
          </w:tcPr>
          <w:p>
            <w:pPr>
              <w:spacing w:after="20"/>
            </w:pPr>
            <w:r/>
            <w:r>
              <w:rPr>
                <w:rFonts w:ascii="Calibri" w:hAnsi="Calibri"/>
                <w:b w:val="0"/>
                <w:color w:val="243247"/>
                <w:sz w:val="20"/>
              </w:rPr>
              <w:t>________________________________________</w:t>
            </w:r>
          </w:p>
        </w:tc>
      </w:tr>
      <w:tr>
        <w:tc>
          <w:tcPr>
            <w:tcW w:type="dxa" w:w="3096"/>
            <w:vAlign w:val="center"/>
          </w:tcPr>
          <w:p>
            <w:pPr>
              <w:spacing w:after="20"/>
            </w:pPr>
            <w:r/>
            <w:r>
              <w:rPr>
                <w:rFonts w:ascii="Calibri" w:hAnsi="Calibri"/>
                <w:b w:val="0"/>
                <w:color w:val="243247"/>
                <w:sz w:val="20"/>
              </w:rPr>
              <w:t>Programme / Department</w:t>
            </w:r>
          </w:p>
        </w:tc>
        <w:tc>
          <w:tcPr>
            <w:tcW w:type="dxa" w:w="5904"/>
            <w:vAlign w:val="center"/>
          </w:tcPr>
          <w:p>
            <w:pPr>
              <w:spacing w:after="20"/>
            </w:pPr>
            <w:r/>
            <w:r>
              <w:rPr>
                <w:rFonts w:ascii="Calibri" w:hAnsi="Calibri"/>
                <w:b w:val="0"/>
                <w:color w:val="243247"/>
                <w:sz w:val="20"/>
              </w:rPr>
              <w:t>________________________________________</w:t>
            </w:r>
          </w:p>
        </w:tc>
      </w:tr>
      <w:tr>
        <w:tc>
          <w:tcPr>
            <w:tcW w:type="dxa" w:w="3096"/>
            <w:vAlign w:val="center"/>
            <w:shd w:fill="F3F6FA"/>
          </w:tcPr>
          <w:p>
            <w:pPr>
              <w:spacing w:after="20"/>
            </w:pPr>
            <w:r/>
            <w:r>
              <w:rPr>
                <w:rFonts w:ascii="Calibri" w:hAnsi="Calibri"/>
                <w:b w:val="0"/>
                <w:color w:val="243247"/>
                <w:sz w:val="20"/>
              </w:rPr>
              <w:t>Institution</w:t>
            </w:r>
          </w:p>
        </w:tc>
        <w:tc>
          <w:tcPr>
            <w:tcW w:type="dxa" w:w="5904"/>
            <w:vAlign w:val="center"/>
            <w:shd w:fill="F3F6FA"/>
          </w:tcPr>
          <w:p>
            <w:pPr>
              <w:spacing w:after="20"/>
            </w:pPr>
            <w:r/>
            <w:r>
              <w:rPr>
                <w:rFonts w:ascii="Calibri" w:hAnsi="Calibri"/>
                <w:b w:val="0"/>
                <w:color w:val="243247"/>
                <w:sz w:val="20"/>
              </w:rPr>
              <w:t>________________________________________</w:t>
            </w:r>
          </w:p>
        </w:tc>
      </w:tr>
      <w:tr>
        <w:tc>
          <w:tcPr>
            <w:tcW w:type="dxa" w:w="3096"/>
            <w:vAlign w:val="center"/>
          </w:tcPr>
          <w:p>
            <w:pPr>
              <w:spacing w:after="20"/>
            </w:pPr>
            <w:r/>
            <w:r>
              <w:rPr>
                <w:rFonts w:ascii="Calibri" w:hAnsi="Calibri"/>
                <w:b w:val="0"/>
                <w:color w:val="243247"/>
                <w:sz w:val="20"/>
              </w:rPr>
              <w:t>Course / Supervisor</w:t>
            </w:r>
          </w:p>
        </w:tc>
        <w:tc>
          <w:tcPr>
            <w:tcW w:type="dxa" w:w="5904"/>
            <w:vAlign w:val="center"/>
          </w:tcPr>
          <w:p>
            <w:pPr>
              <w:spacing w:after="20"/>
            </w:pPr>
            <w:r/>
            <w:r>
              <w:rPr>
                <w:rFonts w:ascii="Calibri" w:hAnsi="Calibri"/>
                <w:b w:val="0"/>
                <w:color w:val="243247"/>
                <w:sz w:val="20"/>
              </w:rPr>
              <w:t>________________________________________</w:t>
            </w:r>
          </w:p>
        </w:tc>
      </w:tr>
      <w:tr>
        <w:tc>
          <w:tcPr>
            <w:tcW w:type="dxa" w:w="3096"/>
            <w:vAlign w:val="center"/>
            <w:shd w:fill="F3F6FA"/>
          </w:tcPr>
          <w:p>
            <w:pPr>
              <w:spacing w:after="20"/>
            </w:pPr>
            <w:r/>
            <w:r>
              <w:rPr>
                <w:rFonts w:ascii="Calibri" w:hAnsi="Calibri"/>
                <w:b w:val="0"/>
                <w:color w:val="243247"/>
                <w:sz w:val="20"/>
              </w:rPr>
              <w:t>Submission date</w:t>
            </w:r>
          </w:p>
        </w:tc>
        <w:tc>
          <w:tcPr>
            <w:tcW w:type="dxa" w:w="5904"/>
            <w:vAlign w:val="center"/>
            <w:shd w:fill="F3F6FA"/>
          </w:tcPr>
          <w:p>
            <w:pPr>
              <w:spacing w:after="20"/>
            </w:pPr>
            <w:r/>
            <w:r>
              <w:rPr>
                <w:rFonts w:ascii="Calibri" w:hAnsi="Calibri"/>
                <w:b w:val="0"/>
                <w:color w:val="243247"/>
                <w:sz w:val="20"/>
              </w:rPr>
              <w:t>________________________________________</w:t>
            </w:r>
          </w:p>
        </w:tc>
      </w:tr>
    </w:tbl>
    <w:p>
      <w:pPr>
        <w:spacing w:after="0"/>
      </w:pPr>
    </w:p>
    <w:p>
      <w:pPr>
        <w:spacing w:before="480"/>
        <w:jc w:val="center"/>
      </w:pPr>
      <w:r>
        <w:rPr>
          <w:color w:val="65758B"/>
          <w:sz w:val="18"/>
        </w:rPr>
        <w:t>Project repository: Mobile-Price-Prediction-ML</w:t>
      </w:r>
    </w:p>
    <w:p>
      <w:r>
        <w:br w:type="page"/>
      </w:r>
    </w:p>
    <w:p>
      <w:pPr>
        <w:pStyle w:val="Heading1"/>
        <w:keepNext/>
      </w:pPr>
      <w:r>
        <w:t>Abstract</w:t>
      </w:r>
    </w:p>
    <w:p>
      <w:pPr>
        <w:spacing w:after="120"/>
      </w:pPr>
      <w:r>
        <w:rPr>
          <w:i w:val="0"/>
        </w:rPr>
        <w:t>SmartPrice is an end-to-end supervised machine-learning system that classifies a smartphone into one of four price tiers—Budget, Mid-Range, Premium, or Flagship—from its technical specifications. The project uses 980 smartphone records and evaluates Multinomial Logistic Regression, K-Nearest Neighbors (KNN), an RBF-kernel Support Vector Machine (SVM), and Random Forest. The recorded price is used only to construct the target label and is excluded from the predictor features. A stratified 80/20 train/test partition produces 784 training records and 196 held-out test records. The reported best model is a tuned Random Forest, with 82.65% test accuracy, 79.96% Macro F1, 82.39% Weighted F1, and 0.9613 one-vs-rest ROC-AUC in the tuning summary. A FastAPI backend loads the saved scikit-learn preprocessing and model artifacts; a React/TypeScript frontend provides prediction, model comparison, analytics, and explainability views. The results show useful tier classification but also leave room for improvement, especially on the smaller Premium class.</w:t>
      </w:r>
    </w:p>
    <w:p>
      <w:pPr>
        <w:spacing w:after="120"/>
      </w:pPr>
      <w:r>
        <w:rPr>
          <w:i w:val="0"/>
        </w:rPr>
        <w:t>Keywords: smartphone specifications; price-tier classification; Random Forest; model comparison; FastAPI; React.</w:t>
      </w:r>
    </w:p>
    <w:p>
      <w:pPr>
        <w:pStyle w:val="Heading1"/>
        <w:keepNext/>
      </w:pPr>
      <w:r>
        <w:t>Report contents</w:t>
      </w:r>
    </w:p>
    <w:p>
      <w:pPr>
        <w:pStyle w:val="ListBullet"/>
        <w:spacing w:after="60"/>
      </w:pPr>
      <w:r>
        <w:t>1. Introduction</w:t>
      </w:r>
    </w:p>
    <w:p>
      <w:pPr>
        <w:pStyle w:val="ListBullet"/>
        <w:spacing w:after="60"/>
      </w:pPr>
      <w:r>
        <w:t>2. Literature Review</w:t>
      </w:r>
    </w:p>
    <w:p>
      <w:pPr>
        <w:pStyle w:val="ListBullet"/>
        <w:spacing w:after="60"/>
      </w:pPr>
      <w:r>
        <w:t>3. Methodology</w:t>
      </w:r>
    </w:p>
    <w:p>
      <w:pPr>
        <w:pStyle w:val="ListBullet"/>
        <w:spacing w:after="60"/>
      </w:pPr>
      <w:r>
        <w:t>4. Data Cleaning and Preprocessing</w:t>
      </w:r>
    </w:p>
    <w:p>
      <w:pPr>
        <w:pStyle w:val="ListBullet"/>
        <w:spacing w:after="60"/>
      </w:pPr>
      <w:r>
        <w:t>5. Results and Discussion</w:t>
      </w:r>
    </w:p>
    <w:p>
      <w:pPr>
        <w:pStyle w:val="ListBullet"/>
        <w:spacing w:after="60"/>
      </w:pPr>
      <w:r>
        <w:t>6. State-of-the-Art Models Comparison</w:t>
      </w:r>
    </w:p>
    <w:p>
      <w:pPr>
        <w:pStyle w:val="ListBullet"/>
        <w:spacing w:after="60"/>
      </w:pPr>
      <w:r>
        <w:t>7. User Interface Development and Deployment</w:t>
      </w:r>
    </w:p>
    <w:p>
      <w:pPr>
        <w:pStyle w:val="ListBullet"/>
        <w:spacing w:after="60"/>
      </w:pPr>
      <w:r>
        <w:t>8. Conclusion and Future Work</w:t>
      </w:r>
    </w:p>
    <w:p>
      <w:pPr>
        <w:pStyle w:val="ListBullet"/>
        <w:spacing w:after="60"/>
      </w:pPr>
      <w:r>
        <w:t>9. References</w:t>
      </w:r>
    </w:p>
    <w:p>
      <w:pPr>
        <w:pStyle w:val="ListBullet"/>
        <w:spacing w:after="60"/>
      </w:pPr>
      <w:r>
        <w:t>Appendix A. Project workflow</w:t>
      </w:r>
    </w:p>
    <w:p>
      <w:r>
        <w:br w:type="page"/>
      </w:r>
    </w:p>
    <w:p>
      <w:pPr>
        <w:pStyle w:val="Heading1"/>
        <w:keepNext/>
      </w:pPr>
      <w:r>
        <w:t>1. Introduction</w:t>
      </w:r>
    </w:p>
    <w:p>
      <w:pPr>
        <w:pStyle w:val="Heading2"/>
        <w:keepNext/>
      </w:pPr>
      <w:r>
        <w:t>1.1 Background</w:t>
      </w:r>
    </w:p>
    <w:p>
      <w:pPr>
        <w:spacing w:after="120"/>
      </w:pPr>
      <w:r>
        <w:rPr>
          <w:i w:val="0"/>
        </w:rPr>
        <w:t>Smartphone models differ across processor, memory, display, camera, battery, connectivity, brand, and operating-system characteristics. These features interact, and market prices span a wide range. SmartPrice investigates whether product specifications can be used to classify a phone into a useful market segment. The project treats this as a four-class supervised classification task rather than exact-price regression.</w:t>
      </w:r>
    </w:p>
    <w:p>
      <w:pPr>
        <w:pStyle w:val="Heading2"/>
        <w:keepNext/>
      </w:pPr>
      <w:r>
        <w:t>1.2 Problem statement</w:t>
      </w:r>
    </w:p>
    <w:p>
      <w:pPr>
        <w:spacing w:after="120"/>
      </w:pPr>
      <w:r>
        <w:rPr>
          <w:i w:val="0"/>
        </w:rPr>
        <w:t>Given a smartphone's specifications, predict which predefined Indian-rupee price interval contains its recorded price. The system should provide a reproducible model comparison and an interface that accepts a new specification vector and returns the predicted tier and probability-like class scores.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vAlign w:val="center"/>
            <w:shd w:fill="17365D"/>
          </w:tcPr>
          <w:p>
            <w:pPr>
              <w:spacing w:after="20"/>
            </w:pPr>
            <w:r/>
            <w:r>
              <w:rPr>
                <w:rFonts w:ascii="Calibri" w:hAnsi="Calibri"/>
                <w:b/>
                <w:color w:val="FFFFFF"/>
                <w:sz w:val="17"/>
              </w:rPr>
              <w:t>Class</w:t>
            </w:r>
          </w:p>
        </w:tc>
        <w:tc>
          <w:tcPr>
            <w:tcW w:type="dxa" w:w="3168"/>
            <w:vAlign w:val="center"/>
            <w:shd w:fill="17365D"/>
          </w:tcPr>
          <w:p>
            <w:pPr>
              <w:spacing w:after="20"/>
            </w:pPr>
            <w:r/>
            <w:r>
              <w:rPr>
                <w:rFonts w:ascii="Calibri" w:hAnsi="Calibri"/>
                <w:b/>
                <w:color w:val="FFFFFF"/>
                <w:sz w:val="17"/>
              </w:rPr>
              <w:t>Price interval (INR)</w:t>
            </w:r>
          </w:p>
        </w:tc>
        <w:tc>
          <w:tcPr>
            <w:tcW w:type="dxa" w:w="1440"/>
            <w:vAlign w:val="center"/>
            <w:shd w:fill="17365D"/>
          </w:tcPr>
          <w:p>
            <w:pPr>
              <w:spacing w:after="20"/>
            </w:pPr>
            <w:r/>
            <w:r>
              <w:rPr>
                <w:rFonts w:ascii="Calibri" w:hAnsi="Calibri"/>
                <w:b/>
                <w:color w:val="FFFFFF"/>
                <w:sz w:val="17"/>
              </w:rPr>
              <w:t>Records</w:t>
            </w:r>
          </w:p>
        </w:tc>
        <w:tc>
          <w:tcPr>
            <w:tcW w:type="dxa" w:w="1440"/>
            <w:vAlign w:val="center"/>
            <w:shd w:fill="17365D"/>
          </w:tcPr>
          <w:p>
            <w:pPr>
              <w:spacing w:after="20"/>
            </w:pPr>
            <w:r/>
            <w:r>
              <w:rPr>
                <w:rFonts w:ascii="Calibri" w:hAnsi="Calibri"/>
                <w:b/>
                <w:color w:val="FFFFFF"/>
                <w:sz w:val="17"/>
              </w:rPr>
              <w:t>Share</w:t>
            </w:r>
          </w:p>
        </w:tc>
      </w:tr>
      <w:tr>
        <w:tc>
          <w:tcPr>
            <w:tcW w:type="dxa" w:w="1800"/>
            <w:vAlign w:val="center"/>
          </w:tcPr>
          <w:p>
            <w:pPr>
              <w:spacing w:after="20"/>
            </w:pPr>
            <w:r/>
            <w:r>
              <w:rPr>
                <w:rFonts w:ascii="Calibri" w:hAnsi="Calibri"/>
                <w:b w:val="0"/>
                <w:color w:val="243247"/>
                <w:sz w:val="17"/>
              </w:rPr>
              <w:t>Budget</w:t>
            </w:r>
          </w:p>
        </w:tc>
        <w:tc>
          <w:tcPr>
            <w:tcW w:type="dxa" w:w="3168"/>
            <w:vAlign w:val="center"/>
          </w:tcPr>
          <w:p>
            <w:pPr>
              <w:spacing w:after="20"/>
            </w:pPr>
            <w:r/>
            <w:r>
              <w:rPr>
                <w:rFonts w:ascii="Calibri" w:hAnsi="Calibri"/>
                <w:b w:val="0"/>
                <w:color w:val="243247"/>
                <w:sz w:val="17"/>
              </w:rPr>
              <w:t>≤ ₹15,000</w:t>
            </w:r>
          </w:p>
        </w:tc>
        <w:tc>
          <w:tcPr>
            <w:tcW w:type="dxa" w:w="1440"/>
            <w:vAlign w:val="center"/>
          </w:tcPr>
          <w:p>
            <w:pPr>
              <w:spacing w:after="20"/>
            </w:pPr>
            <w:r/>
            <w:r>
              <w:rPr>
                <w:rFonts w:ascii="Calibri" w:hAnsi="Calibri"/>
                <w:b w:val="0"/>
                <w:color w:val="243247"/>
                <w:sz w:val="17"/>
              </w:rPr>
              <w:t>337</w:t>
            </w:r>
          </w:p>
        </w:tc>
        <w:tc>
          <w:tcPr>
            <w:tcW w:type="dxa" w:w="1440"/>
            <w:vAlign w:val="center"/>
          </w:tcPr>
          <w:p>
            <w:pPr>
              <w:spacing w:after="20"/>
            </w:pPr>
            <w:r/>
            <w:r>
              <w:rPr>
                <w:rFonts w:ascii="Calibri" w:hAnsi="Calibri"/>
                <w:b w:val="0"/>
                <w:color w:val="243247"/>
                <w:sz w:val="17"/>
              </w:rPr>
              <w:t>34.39%</w:t>
            </w:r>
          </w:p>
        </w:tc>
      </w:tr>
      <w:tr>
        <w:tc>
          <w:tcPr>
            <w:tcW w:type="dxa" w:w="1800"/>
            <w:vAlign w:val="center"/>
            <w:shd w:fill="F3F6FA"/>
          </w:tcPr>
          <w:p>
            <w:pPr>
              <w:spacing w:after="20"/>
            </w:pPr>
            <w:r/>
            <w:r>
              <w:rPr>
                <w:rFonts w:ascii="Calibri" w:hAnsi="Calibri"/>
                <w:b w:val="0"/>
                <w:color w:val="243247"/>
                <w:sz w:val="17"/>
              </w:rPr>
              <w:t>Mid-Range</w:t>
            </w:r>
          </w:p>
        </w:tc>
        <w:tc>
          <w:tcPr>
            <w:tcW w:type="dxa" w:w="3168"/>
            <w:vAlign w:val="center"/>
            <w:shd w:fill="F3F6FA"/>
          </w:tcPr>
          <w:p>
            <w:pPr>
              <w:spacing w:after="20"/>
            </w:pPr>
            <w:r/>
            <w:r>
              <w:rPr>
                <w:rFonts w:ascii="Calibri" w:hAnsi="Calibri"/>
                <w:b w:val="0"/>
                <w:color w:val="243247"/>
                <w:sz w:val="17"/>
              </w:rPr>
              <w:t>₹15,001–₹30,000</w:t>
            </w:r>
          </w:p>
        </w:tc>
        <w:tc>
          <w:tcPr>
            <w:tcW w:type="dxa" w:w="1440"/>
            <w:vAlign w:val="center"/>
            <w:shd w:fill="F3F6FA"/>
          </w:tcPr>
          <w:p>
            <w:pPr>
              <w:spacing w:after="20"/>
            </w:pPr>
            <w:r/>
            <w:r>
              <w:rPr>
                <w:rFonts w:ascii="Calibri" w:hAnsi="Calibri"/>
                <w:b w:val="0"/>
                <w:color w:val="243247"/>
                <w:sz w:val="17"/>
              </w:rPr>
              <w:t>349</w:t>
            </w:r>
          </w:p>
        </w:tc>
        <w:tc>
          <w:tcPr>
            <w:tcW w:type="dxa" w:w="1440"/>
            <w:vAlign w:val="center"/>
            <w:shd w:fill="F3F6FA"/>
          </w:tcPr>
          <w:p>
            <w:pPr>
              <w:spacing w:after="20"/>
            </w:pPr>
            <w:r/>
            <w:r>
              <w:rPr>
                <w:rFonts w:ascii="Calibri" w:hAnsi="Calibri"/>
                <w:b w:val="0"/>
                <w:color w:val="243247"/>
                <w:sz w:val="17"/>
              </w:rPr>
              <w:t>35.61%</w:t>
            </w:r>
          </w:p>
        </w:tc>
      </w:tr>
      <w:tr>
        <w:tc>
          <w:tcPr>
            <w:tcW w:type="dxa" w:w="1800"/>
            <w:vAlign w:val="center"/>
          </w:tcPr>
          <w:p>
            <w:pPr>
              <w:spacing w:after="20"/>
            </w:pPr>
            <w:r/>
            <w:r>
              <w:rPr>
                <w:rFonts w:ascii="Calibri" w:hAnsi="Calibri"/>
                <w:b w:val="0"/>
                <w:color w:val="243247"/>
                <w:sz w:val="17"/>
              </w:rPr>
              <w:t>Premium</w:t>
            </w:r>
          </w:p>
        </w:tc>
        <w:tc>
          <w:tcPr>
            <w:tcW w:type="dxa" w:w="3168"/>
            <w:vAlign w:val="center"/>
          </w:tcPr>
          <w:p>
            <w:pPr>
              <w:spacing w:after="20"/>
            </w:pPr>
            <w:r/>
            <w:r>
              <w:rPr>
                <w:rFonts w:ascii="Calibri" w:hAnsi="Calibri"/>
                <w:b w:val="0"/>
                <w:color w:val="243247"/>
                <w:sz w:val="17"/>
              </w:rPr>
              <w:t>₹30,001–₹50,000</w:t>
            </w:r>
          </w:p>
        </w:tc>
        <w:tc>
          <w:tcPr>
            <w:tcW w:type="dxa" w:w="1440"/>
            <w:vAlign w:val="center"/>
          </w:tcPr>
          <w:p>
            <w:pPr>
              <w:spacing w:after="20"/>
            </w:pPr>
            <w:r/>
            <w:r>
              <w:rPr>
                <w:rFonts w:ascii="Calibri" w:hAnsi="Calibri"/>
                <w:b w:val="0"/>
                <w:color w:val="243247"/>
                <w:sz w:val="17"/>
              </w:rPr>
              <w:t>133</w:t>
            </w:r>
          </w:p>
        </w:tc>
        <w:tc>
          <w:tcPr>
            <w:tcW w:type="dxa" w:w="1440"/>
            <w:vAlign w:val="center"/>
          </w:tcPr>
          <w:p>
            <w:pPr>
              <w:spacing w:after="20"/>
            </w:pPr>
            <w:r/>
            <w:r>
              <w:rPr>
                <w:rFonts w:ascii="Calibri" w:hAnsi="Calibri"/>
                <w:b w:val="0"/>
                <w:color w:val="243247"/>
                <w:sz w:val="17"/>
              </w:rPr>
              <w:t>13.57%</w:t>
            </w:r>
          </w:p>
        </w:tc>
      </w:tr>
      <w:tr>
        <w:tc>
          <w:tcPr>
            <w:tcW w:type="dxa" w:w="1800"/>
            <w:vAlign w:val="center"/>
            <w:shd w:fill="F3F6FA"/>
          </w:tcPr>
          <w:p>
            <w:pPr>
              <w:spacing w:after="20"/>
            </w:pPr>
            <w:r/>
            <w:r>
              <w:rPr>
                <w:rFonts w:ascii="Calibri" w:hAnsi="Calibri"/>
                <w:b w:val="0"/>
                <w:color w:val="243247"/>
                <w:sz w:val="17"/>
              </w:rPr>
              <w:t>Flagship</w:t>
            </w:r>
          </w:p>
        </w:tc>
        <w:tc>
          <w:tcPr>
            <w:tcW w:type="dxa" w:w="3168"/>
            <w:vAlign w:val="center"/>
            <w:shd w:fill="F3F6FA"/>
          </w:tcPr>
          <w:p>
            <w:pPr>
              <w:spacing w:after="20"/>
            </w:pPr>
            <w:r/>
            <w:r>
              <w:rPr>
                <w:rFonts w:ascii="Calibri" w:hAnsi="Calibri"/>
                <w:b w:val="0"/>
                <w:color w:val="243247"/>
                <w:sz w:val="17"/>
              </w:rPr>
              <w:t>&gt; ₹50,000</w:t>
            </w:r>
          </w:p>
        </w:tc>
        <w:tc>
          <w:tcPr>
            <w:tcW w:type="dxa" w:w="1440"/>
            <w:vAlign w:val="center"/>
            <w:shd w:fill="F3F6FA"/>
          </w:tcPr>
          <w:p>
            <w:pPr>
              <w:spacing w:after="20"/>
            </w:pPr>
            <w:r/>
            <w:r>
              <w:rPr>
                <w:rFonts w:ascii="Calibri" w:hAnsi="Calibri"/>
                <w:b w:val="0"/>
                <w:color w:val="243247"/>
                <w:sz w:val="17"/>
              </w:rPr>
              <w:t>161</w:t>
            </w:r>
          </w:p>
        </w:tc>
        <w:tc>
          <w:tcPr>
            <w:tcW w:type="dxa" w:w="1440"/>
            <w:vAlign w:val="center"/>
            <w:shd w:fill="F3F6FA"/>
          </w:tcPr>
          <w:p>
            <w:pPr>
              <w:spacing w:after="20"/>
            </w:pPr>
            <w:r/>
            <w:r>
              <w:rPr>
                <w:rFonts w:ascii="Calibri" w:hAnsi="Calibri"/>
                <w:b w:val="0"/>
                <w:color w:val="243247"/>
                <w:sz w:val="17"/>
              </w:rPr>
              <w:t>16.43%</w:t>
            </w:r>
          </w:p>
        </w:tc>
      </w:tr>
      <w:tr>
        <w:tc>
          <w:tcPr>
            <w:tcW w:type="dxa" w:w="1800"/>
            <w:vAlign w:val="center"/>
          </w:tcPr>
          <w:p>
            <w:pPr>
              <w:spacing w:after="20"/>
            </w:pPr>
            <w:r/>
            <w:r>
              <w:rPr>
                <w:rFonts w:ascii="Calibri" w:hAnsi="Calibri"/>
                <w:b w:val="0"/>
                <w:color w:val="243247"/>
                <w:sz w:val="17"/>
              </w:rPr>
              <w:t>Total</w:t>
            </w:r>
          </w:p>
        </w:tc>
        <w:tc>
          <w:tcPr>
            <w:tcW w:type="dxa" w:w="3168"/>
            <w:vAlign w:val="center"/>
          </w:tcPr>
          <w:p>
            <w:pPr>
              <w:spacing w:after="20"/>
            </w:pPr>
            <w:r/>
            <w:r>
              <w:rPr>
                <w:rFonts w:ascii="Calibri" w:hAnsi="Calibri"/>
                <w:b w:val="0"/>
                <w:color w:val="243247"/>
                <w:sz w:val="17"/>
              </w:rPr>
              <w:t>—</w:t>
            </w:r>
          </w:p>
        </w:tc>
        <w:tc>
          <w:tcPr>
            <w:tcW w:type="dxa" w:w="1440"/>
            <w:vAlign w:val="center"/>
          </w:tcPr>
          <w:p>
            <w:pPr>
              <w:spacing w:after="20"/>
            </w:pPr>
            <w:r/>
            <w:r>
              <w:rPr>
                <w:rFonts w:ascii="Calibri" w:hAnsi="Calibri"/>
                <w:b w:val="0"/>
                <w:color w:val="243247"/>
                <w:sz w:val="17"/>
              </w:rPr>
              <w:t>980</w:t>
            </w:r>
          </w:p>
        </w:tc>
        <w:tc>
          <w:tcPr>
            <w:tcW w:type="dxa" w:w="1440"/>
            <w:vAlign w:val="center"/>
          </w:tcPr>
          <w:p>
            <w:pPr>
              <w:spacing w:after="20"/>
            </w:pPr>
            <w:r/>
            <w:r>
              <w:rPr>
                <w:rFonts w:ascii="Calibri" w:hAnsi="Calibri"/>
                <w:b w:val="0"/>
                <w:color w:val="243247"/>
                <w:sz w:val="17"/>
              </w:rPr>
              <w:t>100.00%</w:t>
            </w:r>
          </w:p>
        </w:tc>
      </w:tr>
    </w:tbl>
    <w:p>
      <w:pPr>
        <w:spacing w:after="0"/>
      </w:pPr>
    </w:p>
    <w:p>
      <w:pPr>
        <w:pStyle w:val="Heading2"/>
        <w:keepNext/>
      </w:pPr>
      <w:r>
        <w:t>1.3 Objectives</w:t>
      </w:r>
    </w:p>
    <w:p>
      <w:pPr>
        <w:pStyle w:val="ListBullet"/>
        <w:spacing w:after="60"/>
      </w:pPr>
      <w:r>
        <w:t>Audit the smartphone dataset, missingness, feature types, and target distribution.</w:t>
      </w:r>
    </w:p>
    <w:p>
      <w:pPr>
        <w:pStyle w:val="ListBullet"/>
        <w:spacing w:after="60"/>
      </w:pPr>
      <w:r>
        <w:t>Prepare a reproducible feature pipeline with imputation, scaling, categorical encoding, and domain-derived features.</w:t>
      </w:r>
    </w:p>
    <w:p>
      <w:pPr>
        <w:pStyle w:val="ListBullet"/>
        <w:spacing w:after="60"/>
      </w:pPr>
      <w:r>
        <w:t>Train, tune, and compare four distinct classification approaches.</w:t>
      </w:r>
    </w:p>
    <w:p>
      <w:pPr>
        <w:pStyle w:val="ListBullet"/>
        <w:spacing w:after="60"/>
      </w:pPr>
      <w:r>
        <w:t>Evaluate generalization using held-out test metrics and stratified cross-validation.</w:t>
      </w:r>
    </w:p>
    <w:p>
      <w:pPr>
        <w:pStyle w:val="ListBullet"/>
        <w:spacing w:after="60"/>
      </w:pPr>
      <w:r>
        <w:t>Explain influential features and expose prediction functionality through a web application.</w:t>
      </w:r>
    </w:p>
    <w:p>
      <w:pPr>
        <w:pStyle w:val="Heading2"/>
        <w:keepNext/>
      </w:pPr>
      <w:r>
        <w:t>1.4 Scope and assumptions</w:t>
      </w:r>
    </w:p>
    <w:p>
      <w:pPr>
        <w:spacing w:after="120"/>
      </w:pPr>
      <w:r>
        <w:rPr>
          <w:i w:val="0"/>
        </w:rPr>
        <w:t>The target is a category derived from the dataset's recorded price, not a quote for a current retail transaction. Prices can vary by date, retailer, location, offers, storage configuration, and condition. The dataset file is documented in the repository, but its upstream collection source is not identified in the available project documentation; findings should therefore be interpreted within this dataset's scope.</w:t>
      </w:r>
    </w:p>
    <w:p>
      <w:pPr>
        <w:pStyle w:val="Heading1"/>
        <w:keepNext/>
      </w:pPr>
      <w:r>
        <w:t>2. Literature Review</w:t>
      </w:r>
    </w:p>
    <w:p>
      <w:pPr>
        <w:spacing w:after="120"/>
      </w:pPr>
      <w:r>
        <w:rPr>
          <w:i w:val="0"/>
        </w:rPr>
        <w:t>Recent tabular-learning research provides context for choosing and evaluating models. The studies below are methodological references on tabular classification and are not claimed to use this project's smartphone dataset. Their numeric scores are not directly comparable to SmartPrice because their datasets, splits, tasks, and metrics differ.</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757"/>
            <w:vAlign w:val="center"/>
            <w:shd w:fill="17365D"/>
          </w:tcPr>
          <w:p>
            <w:pPr>
              <w:spacing w:after="20"/>
            </w:pPr>
            <w:r/>
            <w:r>
              <w:rPr>
                <w:rFonts w:ascii="Calibri" w:hAnsi="Calibri"/>
                <w:b/>
                <w:color w:val="FFFFFF"/>
                <w:sz w:val="14"/>
              </w:rPr>
              <w:t>Study</w:t>
            </w:r>
          </w:p>
        </w:tc>
        <w:tc>
          <w:tcPr>
            <w:tcW w:type="dxa" w:w="2592"/>
            <w:vAlign w:val="center"/>
            <w:shd w:fill="17365D"/>
          </w:tcPr>
          <w:p>
            <w:pPr>
              <w:spacing w:after="20"/>
            </w:pPr>
            <w:r/>
            <w:r>
              <w:rPr>
                <w:rFonts w:ascii="Calibri" w:hAnsi="Calibri"/>
                <w:b/>
                <w:color w:val="FFFFFF"/>
                <w:sz w:val="14"/>
              </w:rPr>
              <w:t>Focus / approach</w:t>
            </w:r>
          </w:p>
        </w:tc>
        <w:tc>
          <w:tcPr>
            <w:tcW w:type="dxa" w:w="2592"/>
            <w:vAlign w:val="center"/>
            <w:shd w:fill="17365D"/>
          </w:tcPr>
          <w:p>
            <w:pPr>
              <w:spacing w:after="20"/>
            </w:pPr>
            <w:r/>
            <w:r>
              <w:rPr>
                <w:rFonts w:ascii="Calibri" w:hAnsi="Calibri"/>
                <w:b/>
                <w:color w:val="FFFFFF"/>
                <w:sz w:val="14"/>
              </w:rPr>
              <w:t>Relevant insight</w:t>
            </w:r>
          </w:p>
        </w:tc>
        <w:tc>
          <w:tcPr>
            <w:tcW w:type="dxa" w:w="2808"/>
            <w:vAlign w:val="center"/>
            <w:shd w:fill="17365D"/>
          </w:tcPr>
          <w:p>
            <w:pPr>
              <w:spacing w:after="20"/>
            </w:pPr>
            <w:r/>
            <w:r>
              <w:rPr>
                <w:rFonts w:ascii="Calibri" w:hAnsi="Calibri"/>
                <w:b/>
                <w:color w:val="FFFFFF"/>
                <w:sz w:val="14"/>
              </w:rPr>
              <w:t>Relation / limitation</w:t>
            </w:r>
          </w:p>
        </w:tc>
      </w:tr>
      <w:tr>
        <w:tc>
          <w:tcPr>
            <w:tcW w:type="dxa" w:w="1757"/>
            <w:vAlign w:val="center"/>
          </w:tcPr>
          <w:p>
            <w:pPr>
              <w:spacing w:after="20"/>
            </w:pPr>
            <w:r/>
            <w:r>
              <w:rPr>
                <w:rFonts w:ascii="Calibri" w:hAnsi="Calibri"/>
                <w:b w:val="0"/>
                <w:color w:val="243247"/>
                <w:sz w:val="14"/>
              </w:rPr>
              <w:t>[1] Gorishniy et al. (2021)</w:t>
            </w:r>
          </w:p>
        </w:tc>
        <w:tc>
          <w:tcPr>
            <w:tcW w:type="dxa" w:w="2592"/>
            <w:vAlign w:val="center"/>
          </w:tcPr>
          <w:p>
            <w:pPr>
              <w:spacing w:after="20"/>
            </w:pPr>
            <w:r/>
            <w:r>
              <w:rPr>
                <w:rFonts w:ascii="Calibri" w:hAnsi="Calibri"/>
                <w:b w:val="0"/>
                <w:color w:val="243247"/>
                <w:sz w:val="14"/>
              </w:rPr>
              <w:t>Revisited deep-learning methods for tabular data, including MLP, ResNet, and feature-tokenization Transformer approaches.</w:t>
            </w:r>
          </w:p>
        </w:tc>
        <w:tc>
          <w:tcPr>
            <w:tcW w:type="dxa" w:w="2592"/>
            <w:vAlign w:val="center"/>
          </w:tcPr>
          <w:p>
            <w:pPr>
              <w:spacing w:after="20"/>
            </w:pPr>
            <w:r/>
            <w:r>
              <w:rPr>
                <w:rFonts w:ascii="Calibri" w:hAnsi="Calibri"/>
                <w:b w:val="0"/>
                <w:color w:val="243247"/>
                <w:sz w:val="14"/>
              </w:rPr>
              <w:t>Shows that carefully designed deep tabular models can be competitive; supports benchmarking multiple model families rather than assuming one universal winner.</w:t>
            </w:r>
          </w:p>
        </w:tc>
        <w:tc>
          <w:tcPr>
            <w:tcW w:type="dxa" w:w="2808"/>
            <w:vAlign w:val="center"/>
          </w:tcPr>
          <w:p>
            <w:pPr>
              <w:spacing w:after="20"/>
            </w:pPr>
            <w:r/>
            <w:r>
              <w:rPr>
                <w:rFonts w:ascii="Calibri" w:hAnsi="Calibri"/>
                <w:b w:val="0"/>
                <w:color w:val="243247"/>
                <w:sz w:val="14"/>
              </w:rPr>
              <w:t>SmartPrice does not implement these neural architectures; its dataset is small and its focus is reproducible classical-model comparison.</w:t>
            </w:r>
          </w:p>
        </w:tc>
      </w:tr>
      <w:tr>
        <w:tc>
          <w:tcPr>
            <w:tcW w:type="dxa" w:w="1757"/>
            <w:vAlign w:val="center"/>
            <w:shd w:fill="F3F6FA"/>
          </w:tcPr>
          <w:p>
            <w:pPr>
              <w:spacing w:after="20"/>
            </w:pPr>
            <w:r/>
            <w:r>
              <w:rPr>
                <w:rFonts w:ascii="Calibri" w:hAnsi="Calibri"/>
                <w:b w:val="0"/>
                <w:color w:val="243247"/>
                <w:sz w:val="14"/>
              </w:rPr>
              <w:t>[2] Grinsztajn et al. (2022)</w:t>
            </w:r>
          </w:p>
        </w:tc>
        <w:tc>
          <w:tcPr>
            <w:tcW w:type="dxa" w:w="2592"/>
            <w:vAlign w:val="center"/>
            <w:shd w:fill="F3F6FA"/>
          </w:tcPr>
          <w:p>
            <w:pPr>
              <w:spacing w:after="20"/>
            </w:pPr>
            <w:r/>
            <w:r>
              <w:rPr>
                <w:rFonts w:ascii="Calibri" w:hAnsi="Calibri"/>
                <w:b w:val="0"/>
                <w:color w:val="243247"/>
                <w:sz w:val="14"/>
              </w:rPr>
              <w:t>Systematically studied why tree-based methods remain strong on typical tabular datasets and identified inductive-bias and robustness differences.</w:t>
            </w:r>
          </w:p>
        </w:tc>
        <w:tc>
          <w:tcPr>
            <w:tcW w:type="dxa" w:w="2592"/>
            <w:vAlign w:val="center"/>
            <w:shd w:fill="F3F6FA"/>
          </w:tcPr>
          <w:p>
            <w:pPr>
              <w:spacing w:after="20"/>
            </w:pPr>
            <w:r/>
            <w:r>
              <w:rPr>
                <w:rFonts w:ascii="Calibri" w:hAnsi="Calibri"/>
                <w:b w:val="0"/>
                <w:color w:val="243247"/>
                <w:sz w:val="14"/>
              </w:rPr>
              <w:t>Motivates Random Forest as a candidate for nonlinear feature interactions and mixed tabular inputs.</w:t>
            </w:r>
          </w:p>
        </w:tc>
        <w:tc>
          <w:tcPr>
            <w:tcW w:type="dxa" w:w="2808"/>
            <w:vAlign w:val="center"/>
            <w:shd w:fill="F3F6FA"/>
          </w:tcPr>
          <w:p>
            <w:pPr>
              <w:spacing w:after="20"/>
            </w:pPr>
            <w:r/>
            <w:r>
              <w:rPr>
                <w:rFonts w:ascii="Calibri" w:hAnsi="Calibri"/>
                <w:b w:val="0"/>
                <w:color w:val="243247"/>
                <w:sz w:val="14"/>
              </w:rPr>
              <w:t>Evidence comes from benchmark datasets, not the SmartPrice data; it motivates but does not prove this project's winning result.</w:t>
            </w:r>
          </w:p>
        </w:tc>
      </w:tr>
      <w:tr>
        <w:tc>
          <w:tcPr>
            <w:tcW w:type="dxa" w:w="1757"/>
            <w:vAlign w:val="center"/>
          </w:tcPr>
          <w:p>
            <w:pPr>
              <w:spacing w:after="20"/>
            </w:pPr>
            <w:r/>
            <w:r>
              <w:rPr>
                <w:rFonts w:ascii="Calibri" w:hAnsi="Calibri"/>
                <w:b w:val="0"/>
                <w:color w:val="243247"/>
                <w:sz w:val="14"/>
              </w:rPr>
              <w:t>[3] Shwartz-Ziv &amp; Armon (2022)</w:t>
            </w:r>
          </w:p>
        </w:tc>
        <w:tc>
          <w:tcPr>
            <w:tcW w:type="dxa" w:w="2592"/>
            <w:vAlign w:val="center"/>
          </w:tcPr>
          <w:p>
            <w:pPr>
              <w:spacing w:after="20"/>
            </w:pPr>
            <w:r/>
            <w:r>
              <w:rPr>
                <w:rFonts w:ascii="Calibri" w:hAnsi="Calibri"/>
                <w:b w:val="0"/>
                <w:color w:val="243247"/>
                <w:sz w:val="14"/>
              </w:rPr>
              <w:t>Compared deep learning and gradient-boosted tree methods for tabular data and discussed when deep learning is not necessary.</w:t>
            </w:r>
          </w:p>
        </w:tc>
        <w:tc>
          <w:tcPr>
            <w:tcW w:type="dxa" w:w="2592"/>
            <w:vAlign w:val="center"/>
          </w:tcPr>
          <w:p>
            <w:pPr>
              <w:spacing w:after="20"/>
            </w:pPr>
            <w:r/>
            <w:r>
              <w:rPr>
                <w:rFonts w:ascii="Calibri" w:hAnsi="Calibri"/>
                <w:b w:val="0"/>
                <w:color w:val="243247"/>
                <w:sz w:val="14"/>
              </w:rPr>
              <w:t>Reinforces the need for a well-tuned tree-based baseline and dataset-specific evaluation.</w:t>
            </w:r>
          </w:p>
        </w:tc>
        <w:tc>
          <w:tcPr>
            <w:tcW w:type="dxa" w:w="2808"/>
            <w:vAlign w:val="center"/>
          </w:tcPr>
          <w:p>
            <w:pPr>
              <w:spacing w:after="20"/>
            </w:pPr>
            <w:r/>
            <w:r>
              <w:rPr>
                <w:rFonts w:ascii="Calibri" w:hAnsi="Calibri"/>
                <w:b w:val="0"/>
                <w:color w:val="243247"/>
                <w:sz w:val="14"/>
              </w:rPr>
              <w:t>Their tree-boosting experiments are not identical to the Random Forest used here.</w:t>
            </w:r>
          </w:p>
        </w:tc>
      </w:tr>
      <w:tr>
        <w:tc>
          <w:tcPr>
            <w:tcW w:type="dxa" w:w="1757"/>
            <w:vAlign w:val="center"/>
            <w:shd w:fill="F3F6FA"/>
          </w:tcPr>
          <w:p>
            <w:pPr>
              <w:spacing w:after="20"/>
            </w:pPr>
            <w:r>
              <w:t>[4] Hollmann et al. (2025)</w:t>
            </w:r>
          </w:p>
        </w:tc>
        <w:tc>
          <w:tcPr>
            <w:tcW w:type="dxa" w:w="2592"/>
            <w:vAlign w:val="center"/>
            <w:shd w:fill="F3F6FA"/>
          </w:tcPr>
          <w:p>
            <w:pPr>
              <w:spacing w:after="20"/>
            </w:pPr>
            <w:r>
              <w:t>Presented TabPFN, a Transformer-based prior-data-fitted network; the Nature study evaluates small-data classification, including datasets up to 10,000 samples.</w:t>
            </w:r>
          </w:p>
        </w:tc>
        <w:tc>
          <w:tcPr>
            <w:tcW w:type="dxa" w:w="2592"/>
            <w:vAlign w:val="center"/>
            <w:shd w:fill="F3F6FA"/>
          </w:tcPr>
          <w:p>
            <w:pPr>
              <w:spacing w:after="20"/>
            </w:pPr>
            <w:r>
              <w:t>Highly relevant to a 980-row classification problem; suggests a strong future comparator, not a model evaluated in SmartPrice.</w:t>
            </w:r>
          </w:p>
        </w:tc>
        <w:tc>
          <w:tcPr>
            <w:tcW w:type="dxa" w:w="2808"/>
            <w:vAlign w:val="center"/>
            <w:shd w:fill="F3F6FA"/>
          </w:tcPr>
          <w:p>
            <w:pPr>
              <w:spacing w:after="20"/>
            </w:pPr>
            <w:r>
              <w:t>The paper evaluates its own benchmarks; its results are not directly comparable with this project?s split or metrics.</w:t>
            </w:r>
          </w:p>
        </w:tc>
      </w:tr>
      <w:tr>
        <w:tc>
          <w:tcPr>
            <w:tcW w:type="dxa" w:w="1757"/>
            <w:vAlign w:val="center"/>
          </w:tcPr>
          <w:p>
            <w:pPr>
              <w:spacing w:after="20"/>
            </w:pPr>
            <w:r/>
            <w:r>
              <w:rPr>
                <w:rFonts w:ascii="Calibri" w:hAnsi="Calibri"/>
                <w:b w:val="0"/>
                <w:color w:val="243247"/>
                <w:sz w:val="14"/>
              </w:rPr>
              <w:t>[5] Borisov et al. (2024)</w:t>
            </w:r>
          </w:p>
        </w:tc>
        <w:tc>
          <w:tcPr>
            <w:tcW w:type="dxa" w:w="2592"/>
            <w:vAlign w:val="center"/>
          </w:tcPr>
          <w:p>
            <w:pPr>
              <w:spacing w:after="20"/>
            </w:pPr>
            <w:r/>
            <w:r>
              <w:rPr>
                <w:rFonts w:ascii="Calibri" w:hAnsi="Calibri"/>
                <w:b w:val="0"/>
                <w:color w:val="243247"/>
                <w:sz w:val="14"/>
              </w:rPr>
              <w:t>Surveyed deep neural network architectures and challenges for tabular data, including preprocessing, categorical variables, and evaluation.</w:t>
            </w:r>
          </w:p>
        </w:tc>
        <w:tc>
          <w:tcPr>
            <w:tcW w:type="dxa" w:w="2592"/>
            <w:vAlign w:val="center"/>
          </w:tcPr>
          <w:p>
            <w:pPr>
              <w:spacing w:after="20"/>
            </w:pPr>
            <w:r/>
            <w:r>
              <w:rPr>
                <w:rFonts w:ascii="Calibri" w:hAnsi="Calibri"/>
                <w:b w:val="0"/>
                <w:color w:val="243247"/>
                <w:sz w:val="14"/>
              </w:rPr>
              <w:t>Provides a recent overview of the design space and underscores that data representation and evaluation protocol affect comparisons.</w:t>
            </w:r>
          </w:p>
        </w:tc>
        <w:tc>
          <w:tcPr>
            <w:tcW w:type="dxa" w:w="2808"/>
            <w:vAlign w:val="center"/>
          </w:tcPr>
          <w:p>
            <w:pPr>
              <w:spacing w:after="20"/>
            </w:pPr>
            <w:r/>
            <w:r>
              <w:rPr>
                <w:rFonts w:ascii="Calibri" w:hAnsi="Calibri"/>
                <w:b w:val="0"/>
                <w:color w:val="243247"/>
                <w:sz w:val="14"/>
              </w:rPr>
              <w:t>A survey summarizes multiple lines of work; it is not a direct experiment on smartphone price classification.</w:t>
            </w:r>
          </w:p>
        </w:tc>
      </w:tr>
    </w:tbl>
    <w:p>
      <w:pPr>
        <w:spacing w:after="0"/>
      </w:pPr>
    </w:p>
    <w:p>
      <w:pPr>
        <w:pStyle w:val="Heading2"/>
        <w:keepNext/>
      </w:pPr>
      <w:r>
        <w:t>2.1 Synthesis and research gap</w:t>
      </w:r>
    </w:p>
    <w:p>
      <w:pPr>
        <w:spacing w:after="120"/>
      </w:pPr>
      <w:r>
        <w:rPr>
          <w:i w:val="0"/>
        </w:rPr>
        <w:t>The literature does not support declaring one algorithm best for every tabular dataset. Tree ensembles, kernel methods, linear classifiers, and specialized neural models have different inductive biases. SmartPrice addresses a practical project-level gap by evaluating four established classifiers on the same smartphone dataset, preserving a held-out test partition, reporting multiple class-sensitive metrics, and delivering an interactive inference application. A useful future extension would compare gradient-boosted trees or TabPFN under the same split and leakage controls.</w:t>
      </w:r>
    </w:p>
    <w:p>
      <w:pPr>
        <w:pStyle w:val="Heading1"/>
        <w:keepNext/>
      </w:pPr>
      <w:r>
        <w:t>3. Methodology</w:t>
      </w:r>
    </w:p>
    <w:p>
      <w:pPr>
        <w:pStyle w:val="Heading2"/>
        <w:keepNext/>
      </w:pPr>
      <w:r>
        <w:t>3.1 End-to-end design</w:t>
      </w:r>
    </w:p>
    <w:p>
      <w:pPr>
        <w:spacing w:after="120"/>
      </w:pPr>
      <w:r>
        <w:rPr>
          <w:i w:val="0"/>
        </w:rPr>
        <w:t>The workflow separates offline model development from online inference. Offline scripts inspect and transform the data, tune models, produce evaluation and explainability outputs, and serialize a preprocessor and classifiers. At runtime, the API loads those artifacts, validates the user's input, applies corresponding feature engineering and transformations, and returns a class prediction.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vAlign w:val="center"/>
            <w:shd w:fill="17365D"/>
          </w:tcPr>
          <w:p>
            <w:pPr>
              <w:spacing w:after="20"/>
            </w:pPr>
            <w:r/>
            <w:r>
              <w:rPr>
                <w:rFonts w:ascii="Calibri" w:hAnsi="Calibri"/>
                <w:b/>
                <w:color w:val="FFFFFF"/>
                <w:sz w:val="17"/>
              </w:rPr>
              <w:t>Stage</w:t>
            </w:r>
          </w:p>
        </w:tc>
        <w:tc>
          <w:tcPr>
            <w:tcW w:type="dxa" w:w="2376"/>
            <w:vAlign w:val="center"/>
            <w:shd w:fill="17365D"/>
          </w:tcPr>
          <w:p>
            <w:pPr>
              <w:spacing w:after="20"/>
            </w:pPr>
            <w:r/>
            <w:r>
              <w:rPr>
                <w:rFonts w:ascii="Calibri" w:hAnsi="Calibri"/>
                <w:b/>
                <w:color w:val="FFFFFF"/>
                <w:sz w:val="17"/>
              </w:rPr>
              <w:t>Activity</w:t>
            </w:r>
          </w:p>
        </w:tc>
        <w:tc>
          <w:tcPr>
            <w:tcW w:type="dxa" w:w="6552"/>
            <w:vAlign w:val="center"/>
            <w:shd w:fill="17365D"/>
          </w:tcPr>
          <w:p>
            <w:pPr>
              <w:spacing w:after="20"/>
            </w:pPr>
            <w:r/>
            <w:r>
              <w:rPr>
                <w:rFonts w:ascii="Calibri" w:hAnsi="Calibri"/>
                <w:b/>
                <w:color w:val="FFFFFF"/>
                <w:sz w:val="17"/>
              </w:rPr>
              <w:t>Project implementation</w:t>
            </w:r>
          </w:p>
        </w:tc>
      </w:tr>
      <w:tr>
        <w:tc>
          <w:tcPr>
            <w:tcW w:type="dxa" w:w="792"/>
            <w:vAlign w:val="center"/>
          </w:tcPr>
          <w:p>
            <w:pPr>
              <w:spacing w:after="20"/>
            </w:pPr>
            <w:r/>
            <w:r>
              <w:rPr>
                <w:rFonts w:ascii="Calibri" w:hAnsi="Calibri"/>
                <w:b w:val="0"/>
                <w:color w:val="243247"/>
                <w:sz w:val="17"/>
              </w:rPr>
              <w:t>1</w:t>
            </w:r>
          </w:p>
        </w:tc>
        <w:tc>
          <w:tcPr>
            <w:tcW w:type="dxa" w:w="2376"/>
            <w:vAlign w:val="center"/>
          </w:tcPr>
          <w:p>
            <w:pPr>
              <w:spacing w:after="20"/>
            </w:pPr>
            <w:r/>
            <w:r>
              <w:rPr>
                <w:rFonts w:ascii="Calibri" w:hAnsi="Calibri"/>
                <w:b w:val="0"/>
                <w:color w:val="243247"/>
                <w:sz w:val="17"/>
              </w:rPr>
              <w:t>Ingest CSV</w:t>
            </w:r>
          </w:p>
        </w:tc>
        <w:tc>
          <w:tcPr>
            <w:tcW w:type="dxa" w:w="6552"/>
            <w:vAlign w:val="center"/>
          </w:tcPr>
          <w:p>
            <w:pPr>
              <w:spacing w:after="20"/>
            </w:pPr>
            <w:r/>
            <w:r>
              <w:rPr>
                <w:rFonts w:ascii="Calibri" w:hAnsi="Calibri"/>
                <w:b w:val="0"/>
                <w:color w:val="243247"/>
                <w:sz w:val="17"/>
              </w:rPr>
              <w:t>980 records; 25 source columns</w:t>
            </w:r>
          </w:p>
        </w:tc>
      </w:tr>
      <w:tr>
        <w:tc>
          <w:tcPr>
            <w:tcW w:type="dxa" w:w="792"/>
            <w:vAlign w:val="center"/>
            <w:shd w:fill="F3F6FA"/>
          </w:tcPr>
          <w:p>
            <w:pPr>
              <w:spacing w:after="20"/>
            </w:pPr>
            <w:r/>
            <w:r>
              <w:rPr>
                <w:rFonts w:ascii="Calibri" w:hAnsi="Calibri"/>
                <w:b w:val="0"/>
                <w:color w:val="243247"/>
                <w:sz w:val="17"/>
              </w:rPr>
              <w:t>2</w:t>
            </w:r>
          </w:p>
        </w:tc>
        <w:tc>
          <w:tcPr>
            <w:tcW w:type="dxa" w:w="2376"/>
            <w:vAlign w:val="center"/>
            <w:shd w:fill="F3F6FA"/>
          </w:tcPr>
          <w:p>
            <w:pPr>
              <w:spacing w:after="20"/>
            </w:pPr>
            <w:r/>
            <w:r>
              <w:rPr>
                <w:rFonts w:ascii="Calibri" w:hAnsi="Calibri"/>
                <w:b w:val="0"/>
                <w:color w:val="243247"/>
                <w:sz w:val="17"/>
              </w:rPr>
              <w:t>Inspect and explore</w:t>
            </w:r>
          </w:p>
        </w:tc>
        <w:tc>
          <w:tcPr>
            <w:tcW w:type="dxa" w:w="6552"/>
            <w:vAlign w:val="center"/>
            <w:shd w:fill="F3F6FA"/>
          </w:tcPr>
          <w:p>
            <w:pPr>
              <w:spacing w:after="20"/>
            </w:pPr>
            <w:r/>
            <w:r>
              <w:rPr>
                <w:rFonts w:ascii="Calibri" w:hAnsi="Calibri"/>
                <w:b w:val="0"/>
                <w:color w:val="243247"/>
                <w:sz w:val="17"/>
              </w:rPr>
              <w:t>Quality audit, distributions, feature relationships</w:t>
            </w:r>
          </w:p>
        </w:tc>
      </w:tr>
      <w:tr>
        <w:tc>
          <w:tcPr>
            <w:tcW w:type="dxa" w:w="792"/>
            <w:vAlign w:val="center"/>
          </w:tcPr>
          <w:p>
            <w:pPr>
              <w:spacing w:after="20"/>
            </w:pPr>
            <w:r/>
            <w:r>
              <w:rPr>
                <w:rFonts w:ascii="Calibri" w:hAnsi="Calibri"/>
                <w:b w:val="0"/>
                <w:color w:val="243247"/>
                <w:sz w:val="17"/>
              </w:rPr>
              <w:t>3</w:t>
            </w:r>
          </w:p>
        </w:tc>
        <w:tc>
          <w:tcPr>
            <w:tcW w:type="dxa" w:w="2376"/>
            <w:vAlign w:val="center"/>
          </w:tcPr>
          <w:p>
            <w:pPr>
              <w:spacing w:after="20"/>
            </w:pPr>
            <w:r/>
            <w:r>
              <w:rPr>
                <w:rFonts w:ascii="Calibri" w:hAnsi="Calibri"/>
                <w:b w:val="0"/>
                <w:color w:val="243247"/>
                <w:sz w:val="17"/>
              </w:rPr>
              <w:t>Label and engineer</w:t>
            </w:r>
          </w:p>
        </w:tc>
        <w:tc>
          <w:tcPr>
            <w:tcW w:type="dxa" w:w="6552"/>
            <w:vAlign w:val="center"/>
          </w:tcPr>
          <w:p>
            <w:pPr>
              <w:spacing w:after="20"/>
            </w:pPr>
            <w:r/>
            <w:r>
              <w:rPr>
                <w:rFonts w:ascii="Calibri" w:hAnsi="Calibri"/>
                <w:b w:val="0"/>
                <w:color w:val="243247"/>
                <w:sz w:val="17"/>
              </w:rPr>
              <w:t>Four tiers; parse resolution; derive hardware features</w:t>
            </w:r>
          </w:p>
        </w:tc>
      </w:tr>
      <w:tr>
        <w:tc>
          <w:tcPr>
            <w:tcW w:type="dxa" w:w="792"/>
            <w:vAlign w:val="center"/>
            <w:shd w:fill="F3F6FA"/>
          </w:tcPr>
          <w:p>
            <w:pPr>
              <w:spacing w:after="20"/>
            </w:pPr>
            <w:r/>
            <w:r>
              <w:rPr>
                <w:rFonts w:ascii="Calibri" w:hAnsi="Calibri"/>
                <w:b w:val="0"/>
                <w:color w:val="243247"/>
                <w:sz w:val="17"/>
              </w:rPr>
              <w:t>4</w:t>
            </w:r>
          </w:p>
        </w:tc>
        <w:tc>
          <w:tcPr>
            <w:tcW w:type="dxa" w:w="2376"/>
            <w:vAlign w:val="center"/>
            <w:shd w:fill="F3F6FA"/>
          </w:tcPr>
          <w:p>
            <w:pPr>
              <w:spacing w:after="20"/>
            </w:pPr>
            <w:r/>
            <w:r>
              <w:rPr>
                <w:rFonts w:ascii="Calibri" w:hAnsi="Calibri"/>
                <w:b w:val="0"/>
                <w:color w:val="243247"/>
                <w:sz w:val="17"/>
              </w:rPr>
              <w:t>Split and preprocess</w:t>
            </w:r>
          </w:p>
        </w:tc>
        <w:tc>
          <w:tcPr>
            <w:tcW w:type="dxa" w:w="6552"/>
            <w:vAlign w:val="center"/>
            <w:shd w:fill="F3F6FA"/>
          </w:tcPr>
          <w:p>
            <w:pPr>
              <w:spacing w:after="20"/>
            </w:pPr>
            <w:r/>
            <w:r>
              <w:rPr>
                <w:rFonts w:ascii="Calibri" w:hAnsi="Calibri"/>
                <w:b w:val="0"/>
                <w:color w:val="243247"/>
                <w:sz w:val="17"/>
              </w:rPr>
              <w:t>Stratified 80/20; fit transformations on training data</w:t>
            </w:r>
          </w:p>
        </w:tc>
      </w:tr>
      <w:tr>
        <w:tc>
          <w:tcPr>
            <w:tcW w:type="dxa" w:w="792"/>
            <w:vAlign w:val="center"/>
          </w:tcPr>
          <w:p>
            <w:pPr>
              <w:spacing w:after="20"/>
            </w:pPr>
            <w:r/>
            <w:r>
              <w:rPr>
                <w:rFonts w:ascii="Calibri" w:hAnsi="Calibri"/>
                <w:b w:val="0"/>
                <w:color w:val="243247"/>
                <w:sz w:val="17"/>
              </w:rPr>
              <w:t>5</w:t>
            </w:r>
          </w:p>
        </w:tc>
        <w:tc>
          <w:tcPr>
            <w:tcW w:type="dxa" w:w="2376"/>
            <w:vAlign w:val="center"/>
          </w:tcPr>
          <w:p>
            <w:pPr>
              <w:spacing w:after="20"/>
            </w:pPr>
            <w:r/>
            <w:r>
              <w:rPr>
                <w:rFonts w:ascii="Calibri" w:hAnsi="Calibri"/>
                <w:b w:val="0"/>
                <w:color w:val="243247"/>
                <w:sz w:val="17"/>
              </w:rPr>
              <w:t>Train and tune</w:t>
            </w:r>
          </w:p>
        </w:tc>
        <w:tc>
          <w:tcPr>
            <w:tcW w:type="dxa" w:w="6552"/>
            <w:vAlign w:val="center"/>
          </w:tcPr>
          <w:p>
            <w:pPr>
              <w:spacing w:after="20"/>
            </w:pPr>
            <w:r/>
            <w:r>
              <w:rPr>
                <w:rFonts w:ascii="Calibri" w:hAnsi="Calibri"/>
                <w:b w:val="0"/>
                <w:color w:val="243247"/>
                <w:sz w:val="17"/>
              </w:rPr>
              <w:t>Four classifiers; 5-fold stratified grid search</w:t>
            </w:r>
          </w:p>
        </w:tc>
      </w:tr>
      <w:tr>
        <w:tc>
          <w:tcPr>
            <w:tcW w:type="dxa" w:w="792"/>
            <w:vAlign w:val="center"/>
            <w:shd w:fill="F3F6FA"/>
          </w:tcPr>
          <w:p>
            <w:pPr>
              <w:spacing w:after="20"/>
            </w:pPr>
            <w:r/>
            <w:r>
              <w:rPr>
                <w:rFonts w:ascii="Calibri" w:hAnsi="Calibri"/>
                <w:b w:val="0"/>
                <w:color w:val="243247"/>
                <w:sz w:val="17"/>
              </w:rPr>
              <w:t>6</w:t>
            </w:r>
          </w:p>
        </w:tc>
        <w:tc>
          <w:tcPr>
            <w:tcW w:type="dxa" w:w="2376"/>
            <w:vAlign w:val="center"/>
            <w:shd w:fill="F3F6FA"/>
          </w:tcPr>
          <w:p>
            <w:pPr>
              <w:spacing w:after="20"/>
            </w:pPr>
            <w:r/>
            <w:r>
              <w:rPr>
                <w:rFonts w:ascii="Calibri" w:hAnsi="Calibri"/>
                <w:b w:val="0"/>
                <w:color w:val="243247"/>
                <w:sz w:val="17"/>
              </w:rPr>
              <w:t>Evaluate and explain</w:t>
            </w:r>
          </w:p>
        </w:tc>
        <w:tc>
          <w:tcPr>
            <w:tcW w:type="dxa" w:w="6552"/>
            <w:vAlign w:val="center"/>
            <w:shd w:fill="F3F6FA"/>
          </w:tcPr>
          <w:p>
            <w:pPr>
              <w:spacing w:after="20"/>
            </w:pPr>
            <w:r/>
            <w:r>
              <w:rPr>
                <w:rFonts w:ascii="Calibri" w:hAnsi="Calibri"/>
                <w:b w:val="0"/>
                <w:color w:val="243247"/>
                <w:sz w:val="17"/>
              </w:rPr>
              <w:t>Held-out metrics, class errors, feature importance</w:t>
            </w:r>
          </w:p>
        </w:tc>
      </w:tr>
      <w:tr>
        <w:tc>
          <w:tcPr>
            <w:tcW w:type="dxa" w:w="792"/>
            <w:vAlign w:val="center"/>
          </w:tcPr>
          <w:p>
            <w:pPr>
              <w:spacing w:after="20"/>
            </w:pPr>
            <w:r/>
            <w:r>
              <w:rPr>
                <w:rFonts w:ascii="Calibri" w:hAnsi="Calibri"/>
                <w:b w:val="0"/>
                <w:color w:val="243247"/>
                <w:sz w:val="17"/>
              </w:rPr>
              <w:t>7</w:t>
            </w:r>
          </w:p>
        </w:tc>
        <w:tc>
          <w:tcPr>
            <w:tcW w:type="dxa" w:w="2376"/>
            <w:vAlign w:val="center"/>
          </w:tcPr>
          <w:p>
            <w:pPr>
              <w:spacing w:after="20"/>
            </w:pPr>
            <w:r/>
            <w:r>
              <w:rPr>
                <w:rFonts w:ascii="Calibri" w:hAnsi="Calibri"/>
                <w:b w:val="0"/>
                <w:color w:val="243247"/>
                <w:sz w:val="17"/>
              </w:rPr>
              <w:t>Deploy artifacts</w:t>
            </w:r>
          </w:p>
        </w:tc>
        <w:tc>
          <w:tcPr>
            <w:tcW w:type="dxa" w:w="6552"/>
            <w:vAlign w:val="center"/>
          </w:tcPr>
          <w:p>
            <w:pPr>
              <w:spacing w:after="20"/>
            </w:pPr>
            <w:r/>
            <w:r>
              <w:rPr>
                <w:rFonts w:ascii="Calibri" w:hAnsi="Calibri"/>
                <w:b w:val="0"/>
                <w:color w:val="243247"/>
                <w:sz w:val="17"/>
              </w:rPr>
              <w:t>FastAPI inference API and React/TypeScript dashboard</w:t>
            </w:r>
          </w:p>
        </w:tc>
      </w:tr>
    </w:tbl>
    <w:p>
      <w:pPr>
        <w:spacing w:after="0"/>
      </w:pPr>
    </w:p>
    <w:p>
      <w:pPr>
        <w:pStyle w:val="Heading2"/>
        <w:keepNext/>
      </w:pPr>
      <w:r>
        <w:t>3.2 Target definition</w:t>
      </w:r>
    </w:p>
    <w:p>
      <w:pPr>
        <w:spacing w:after="120"/>
      </w:pPr>
      <w:r>
        <w:rPr>
          <w:i w:val="0"/>
        </w:rPr>
        <w:t>The recorded `price` becomes the label: Budget for price ≤ ₹15,000; Mid-Range for ₹15,000 &lt; price ≤ ₹30,000; Premium for ₹30,000 &lt; price ≤ ₹50,000; and Flagship for price &gt; ₹50,000. Class indices are 0, 1, 2, and 3 respectively. The original `price` and phone `model` columns are not used as predictors.</w:t>
      </w:r>
    </w:p>
    <w:p>
      <w:pPr>
        <w:pStyle w:val="Heading2"/>
        <w:keepNext/>
      </w:pPr>
      <w:r>
        <w:t>3.3 Candidate models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7365D"/>
          </w:tcPr>
          <w:p>
            <w:pPr>
              <w:spacing w:after="20"/>
            </w:pPr>
            <w:r/>
            <w:r>
              <w:rPr>
                <w:rFonts w:ascii="Calibri" w:hAnsi="Calibri"/>
                <w:b/>
                <w:color w:val="FFFFFF"/>
                <w:sz w:val="17"/>
              </w:rPr>
              <w:t>Model</w:t>
            </w:r>
          </w:p>
        </w:tc>
        <w:tc>
          <w:tcPr>
            <w:tcW w:type="dxa" w:w="4032"/>
            <w:vAlign w:val="center"/>
            <w:shd w:fill="17365D"/>
          </w:tcPr>
          <w:p>
            <w:pPr>
              <w:spacing w:after="20"/>
            </w:pPr>
            <w:r/>
            <w:r>
              <w:rPr>
                <w:rFonts w:ascii="Calibri" w:hAnsi="Calibri"/>
                <w:b/>
                <w:color w:val="FFFFFF"/>
                <w:sz w:val="17"/>
              </w:rPr>
              <w:t>Learning principle</w:t>
            </w:r>
          </w:p>
        </w:tc>
        <w:tc>
          <w:tcPr>
            <w:tcW w:type="dxa" w:w="3312"/>
            <w:vAlign w:val="center"/>
            <w:shd w:fill="17365D"/>
          </w:tcPr>
          <w:p>
            <w:pPr>
              <w:spacing w:after="20"/>
            </w:pPr>
            <w:r/>
            <w:r>
              <w:rPr>
                <w:rFonts w:ascii="Calibri" w:hAnsi="Calibri"/>
                <w:b/>
                <w:color w:val="FFFFFF"/>
                <w:sz w:val="17"/>
              </w:rPr>
              <w:t>Why it is included</w:t>
            </w:r>
          </w:p>
        </w:tc>
      </w:tr>
      <w:tr>
        <w:tc>
          <w:tcPr>
            <w:tcW w:type="dxa" w:w="2376"/>
            <w:vAlign w:val="center"/>
          </w:tcPr>
          <w:p>
            <w:pPr>
              <w:spacing w:after="20"/>
            </w:pPr>
            <w:r/>
            <w:r>
              <w:rPr>
                <w:rFonts w:ascii="Calibri" w:hAnsi="Calibri"/>
                <w:b w:val="0"/>
                <w:color w:val="243247"/>
                <w:sz w:val="17"/>
              </w:rPr>
              <w:t>Multinomial Logistic Regression</w:t>
            </w:r>
          </w:p>
        </w:tc>
        <w:tc>
          <w:tcPr>
            <w:tcW w:type="dxa" w:w="4032"/>
            <w:vAlign w:val="center"/>
          </w:tcPr>
          <w:p>
            <w:pPr>
              <w:spacing w:after="20"/>
            </w:pPr>
            <w:r/>
            <w:r>
              <w:rPr>
                <w:rFonts w:ascii="Calibri" w:hAnsi="Calibri"/>
                <w:b w:val="0"/>
                <w:color w:val="243247"/>
                <w:sz w:val="17"/>
              </w:rPr>
              <w:t>Linear class boundaries; estimates class scores/probabilities.</w:t>
            </w:r>
          </w:p>
        </w:tc>
        <w:tc>
          <w:tcPr>
            <w:tcW w:type="dxa" w:w="3312"/>
            <w:vAlign w:val="center"/>
          </w:tcPr>
          <w:p>
            <w:pPr>
              <w:spacing w:after="20"/>
            </w:pPr>
            <w:r/>
            <w:r>
              <w:rPr>
                <w:rFonts w:ascii="Calibri" w:hAnsi="Calibri"/>
                <w:b w:val="0"/>
                <w:color w:val="243247"/>
                <w:sz w:val="17"/>
              </w:rPr>
              <w:t>Interpretable, efficient linear baseline.</w:t>
            </w:r>
          </w:p>
        </w:tc>
      </w:tr>
      <w:tr>
        <w:tc>
          <w:tcPr>
            <w:tcW w:type="dxa" w:w="2376"/>
            <w:vAlign w:val="center"/>
            <w:shd w:fill="F3F6FA"/>
          </w:tcPr>
          <w:p>
            <w:pPr>
              <w:spacing w:after="20"/>
            </w:pPr>
            <w:r/>
            <w:r>
              <w:rPr>
                <w:rFonts w:ascii="Calibri" w:hAnsi="Calibri"/>
                <w:b w:val="0"/>
                <w:color w:val="243247"/>
                <w:sz w:val="17"/>
              </w:rPr>
              <w:t>K-Nearest Neighbors</w:t>
            </w:r>
          </w:p>
        </w:tc>
        <w:tc>
          <w:tcPr>
            <w:tcW w:type="dxa" w:w="4032"/>
            <w:vAlign w:val="center"/>
            <w:shd w:fill="F3F6FA"/>
          </w:tcPr>
          <w:p>
            <w:pPr>
              <w:spacing w:after="20"/>
            </w:pPr>
            <w:r/>
            <w:r>
              <w:rPr>
                <w:rFonts w:ascii="Calibri" w:hAnsi="Calibri"/>
                <w:b w:val="0"/>
                <w:color w:val="243247"/>
                <w:sz w:val="17"/>
              </w:rPr>
              <w:t>Predicts from nearby labeled samples using a distance metric.</w:t>
            </w:r>
          </w:p>
        </w:tc>
        <w:tc>
          <w:tcPr>
            <w:tcW w:type="dxa" w:w="3312"/>
            <w:vAlign w:val="center"/>
            <w:shd w:fill="F3F6FA"/>
          </w:tcPr>
          <w:p>
            <w:pPr>
              <w:spacing w:after="20"/>
            </w:pPr>
            <w:r/>
            <w:r>
              <w:rPr>
                <w:rFonts w:ascii="Calibri" w:hAnsi="Calibri"/>
                <w:b w:val="0"/>
                <w:color w:val="243247"/>
                <w:sz w:val="17"/>
              </w:rPr>
              <w:t>Non-parametric, instance-based comparison.</w:t>
            </w:r>
          </w:p>
        </w:tc>
      </w:tr>
      <w:tr>
        <w:tc>
          <w:tcPr>
            <w:tcW w:type="dxa" w:w="2376"/>
            <w:vAlign w:val="center"/>
          </w:tcPr>
          <w:p>
            <w:pPr>
              <w:spacing w:after="20"/>
            </w:pPr>
            <w:r/>
            <w:r>
              <w:rPr>
                <w:rFonts w:ascii="Calibri" w:hAnsi="Calibri"/>
                <w:b w:val="0"/>
                <w:color w:val="243247"/>
                <w:sz w:val="17"/>
              </w:rPr>
              <w:t>RBF Support Vector Machine</w:t>
            </w:r>
          </w:p>
        </w:tc>
        <w:tc>
          <w:tcPr>
            <w:tcW w:type="dxa" w:w="4032"/>
            <w:vAlign w:val="center"/>
          </w:tcPr>
          <w:p>
            <w:pPr>
              <w:spacing w:after="20"/>
            </w:pPr>
            <w:r/>
            <w:r>
              <w:rPr>
                <w:rFonts w:ascii="Calibri" w:hAnsi="Calibri"/>
                <w:b w:val="0"/>
                <w:color w:val="243247"/>
                <w:sz w:val="17"/>
              </w:rPr>
              <w:t>Maximum-margin classifier with nonlinear RBF kernel.</w:t>
            </w:r>
          </w:p>
        </w:tc>
        <w:tc>
          <w:tcPr>
            <w:tcW w:type="dxa" w:w="3312"/>
            <w:vAlign w:val="center"/>
          </w:tcPr>
          <w:p>
            <w:pPr>
              <w:spacing w:after="20"/>
            </w:pPr>
            <w:r/>
            <w:r>
              <w:rPr>
                <w:rFonts w:ascii="Calibri" w:hAnsi="Calibri"/>
                <w:b w:val="0"/>
                <w:color w:val="243247"/>
                <w:sz w:val="17"/>
              </w:rPr>
              <w:t>Tests a kernel method for nonlinear boundaries.</w:t>
            </w:r>
          </w:p>
        </w:tc>
      </w:tr>
      <w:tr>
        <w:tc>
          <w:tcPr>
            <w:tcW w:type="dxa" w:w="2376"/>
            <w:vAlign w:val="center"/>
            <w:shd w:fill="F3F6FA"/>
          </w:tcPr>
          <w:p>
            <w:pPr>
              <w:spacing w:after="20"/>
            </w:pPr>
            <w:r/>
            <w:r>
              <w:rPr>
                <w:rFonts w:ascii="Calibri" w:hAnsi="Calibri"/>
                <w:b w:val="0"/>
                <w:color w:val="243247"/>
                <w:sz w:val="17"/>
              </w:rPr>
              <w:t>Random Forest</w:t>
            </w:r>
          </w:p>
        </w:tc>
        <w:tc>
          <w:tcPr>
            <w:tcW w:type="dxa" w:w="4032"/>
            <w:vAlign w:val="center"/>
            <w:shd w:fill="F3F6FA"/>
          </w:tcPr>
          <w:p>
            <w:pPr>
              <w:spacing w:after="20"/>
            </w:pPr>
            <w:r/>
            <w:r>
              <w:rPr>
                <w:rFonts w:ascii="Calibri" w:hAnsi="Calibri"/>
                <w:b w:val="0"/>
                <w:color w:val="243247"/>
                <w:sz w:val="17"/>
              </w:rPr>
              <w:t>Aggregates randomized decision trees.</w:t>
            </w:r>
          </w:p>
        </w:tc>
        <w:tc>
          <w:tcPr>
            <w:tcW w:type="dxa" w:w="3312"/>
            <w:vAlign w:val="center"/>
            <w:shd w:fill="F3F6FA"/>
          </w:tcPr>
          <w:p>
            <w:pPr>
              <w:spacing w:after="20"/>
            </w:pPr>
            <w:r/>
            <w:r>
              <w:rPr>
                <w:rFonts w:ascii="Calibri" w:hAnsi="Calibri"/>
                <w:b w:val="0"/>
                <w:color w:val="243247"/>
                <w:sz w:val="17"/>
              </w:rPr>
              <w:t>Captures nonlinear splits and feature interactions.</w:t>
            </w:r>
          </w:p>
        </w:tc>
      </w:tr>
    </w:tbl>
    <w:p>
      <w:pPr>
        <w:spacing w:after="0"/>
      </w:pPr>
    </w:p>
    <w:p>
      <w:pPr>
        <w:pStyle w:val="Heading1"/>
        <w:keepNext/>
      </w:pPr>
      <w:r>
        <w:t>4. Data Cleaning and Preprocessing</w:t>
      </w:r>
    </w:p>
    <w:p>
      <w:pPr>
        <w:pStyle w:val="Heading2"/>
        <w:keepNext/>
      </w:pPr>
      <w:r>
        <w:t>4.1 Dataset audit</w:t>
      </w:r>
    </w:p>
    <w:p>
      <w:pPr>
        <w:spacing w:after="120"/>
      </w:pPr>
      <w:r>
        <w:rPr>
          <w:i w:val="0"/>
        </w:rPr>
        <w:t>The inspection report describes 980 rows, 25 columns, and zero exact duplicate rows. Numeric, categorical, Boolean, and composite-text fields are mixed in the original CSV. Price is strongly right-skewed (reported skewness 6.59; maximum ₹650,000), so robust price segmentation is more suitable for the stated task than interpreting a single mean price.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vAlign w:val="center"/>
            <w:shd w:fill="17365D"/>
          </w:tcPr>
          <w:p>
            <w:pPr>
              <w:spacing w:after="20"/>
            </w:pPr>
            <w:r/>
            <w:r>
              <w:rPr>
                <w:rFonts w:ascii="Calibri" w:hAnsi="Calibri"/>
                <w:b/>
                <w:color w:val="FFFFFF"/>
                <w:sz w:val="16"/>
              </w:rPr>
              <w:t>Data issue</w:t>
            </w:r>
          </w:p>
        </w:tc>
        <w:tc>
          <w:tcPr>
            <w:tcW w:type="dxa" w:w="3600"/>
            <w:vAlign w:val="center"/>
            <w:shd w:fill="17365D"/>
          </w:tcPr>
          <w:p>
            <w:pPr>
              <w:spacing w:after="20"/>
            </w:pPr>
            <w:r/>
            <w:r>
              <w:rPr>
                <w:rFonts w:ascii="Calibri" w:hAnsi="Calibri"/>
                <w:b/>
                <w:color w:val="FFFFFF"/>
                <w:sz w:val="16"/>
              </w:rPr>
              <w:t>Example from audit</w:t>
            </w:r>
          </w:p>
        </w:tc>
        <w:tc>
          <w:tcPr>
            <w:tcW w:type="dxa" w:w="4176"/>
            <w:vAlign w:val="center"/>
            <w:shd w:fill="17365D"/>
          </w:tcPr>
          <w:p>
            <w:pPr>
              <w:spacing w:after="20"/>
            </w:pPr>
            <w:r/>
            <w:r>
              <w:rPr>
                <w:rFonts w:ascii="Calibri" w:hAnsi="Calibri"/>
                <w:b/>
                <w:color w:val="FFFFFF"/>
                <w:sz w:val="16"/>
              </w:rPr>
              <w:t>Handling in pipeline</w:t>
            </w:r>
          </w:p>
        </w:tc>
      </w:tr>
      <w:tr>
        <w:tc>
          <w:tcPr>
            <w:tcW w:type="dxa" w:w="1944"/>
            <w:vAlign w:val="center"/>
          </w:tcPr>
          <w:p>
            <w:pPr>
              <w:spacing w:after="20"/>
            </w:pPr>
            <w:r/>
            <w:r>
              <w:rPr>
                <w:rFonts w:ascii="Calibri" w:hAnsi="Calibri"/>
                <w:b w:val="0"/>
                <w:color w:val="243247"/>
                <w:sz w:val="16"/>
              </w:rPr>
              <w:t>Missing numeric values</w:t>
            </w:r>
          </w:p>
        </w:tc>
        <w:tc>
          <w:tcPr>
            <w:tcW w:type="dxa" w:w="3600"/>
            <w:vAlign w:val="center"/>
          </w:tcPr>
          <w:p>
            <w:pPr>
              <w:spacing w:after="20"/>
            </w:pPr>
            <w:r/>
            <w:r>
              <w:rPr>
                <w:rFonts w:ascii="Calibri" w:hAnsi="Calibri"/>
                <w:b w:val="0"/>
                <w:color w:val="243247"/>
                <w:sz w:val="16"/>
              </w:rPr>
              <w:t>Rating: 101; fast charging: 211; extended_upto: 480.</w:t>
            </w:r>
          </w:p>
        </w:tc>
        <w:tc>
          <w:tcPr>
            <w:tcW w:type="dxa" w:w="4176"/>
            <w:vAlign w:val="center"/>
          </w:tcPr>
          <w:p>
            <w:pPr>
              <w:spacing w:after="20"/>
            </w:pPr>
            <w:r/>
            <w:r>
              <w:rPr>
                <w:rFonts w:ascii="Calibri" w:hAnsi="Calibri"/>
                <w:b w:val="0"/>
                <w:color w:val="243247"/>
                <w:sz w:val="16"/>
              </w:rPr>
              <w:t>Median imputation in numeric pipeline; selected domain fallbacks for derived fields.</w:t>
            </w:r>
          </w:p>
        </w:tc>
      </w:tr>
      <w:tr>
        <w:tc>
          <w:tcPr>
            <w:tcW w:type="dxa" w:w="1944"/>
            <w:vAlign w:val="center"/>
            <w:shd w:fill="F3F6FA"/>
          </w:tcPr>
          <w:p>
            <w:pPr>
              <w:spacing w:after="20"/>
            </w:pPr>
            <w:r/>
            <w:r>
              <w:rPr>
                <w:rFonts w:ascii="Calibri" w:hAnsi="Calibri"/>
                <w:b w:val="0"/>
                <w:color w:val="243247"/>
                <w:sz w:val="16"/>
              </w:rPr>
              <w:t>Boolean fields</w:t>
            </w:r>
          </w:p>
        </w:tc>
        <w:tc>
          <w:tcPr>
            <w:tcW w:type="dxa" w:w="3600"/>
            <w:vAlign w:val="center"/>
            <w:shd w:fill="F3F6FA"/>
          </w:tcPr>
          <w:p>
            <w:pPr>
              <w:spacing w:after="20"/>
            </w:pPr>
            <w:r/>
            <w:r>
              <w:rPr>
                <w:rFonts w:ascii="Calibri" w:hAnsi="Calibri"/>
                <w:b w:val="0"/>
                <w:color w:val="243247"/>
                <w:sz w:val="16"/>
              </w:rPr>
              <w:t>5G, NFC, IR blaster represented as Boolean/text variants.</w:t>
            </w:r>
          </w:p>
        </w:tc>
        <w:tc>
          <w:tcPr>
            <w:tcW w:type="dxa" w:w="4176"/>
            <w:vAlign w:val="center"/>
            <w:shd w:fill="F3F6FA"/>
          </w:tcPr>
          <w:p>
            <w:pPr>
              <w:spacing w:after="20"/>
            </w:pPr>
            <w:r/>
            <w:r>
              <w:rPr>
                <w:rFonts w:ascii="Calibri" w:hAnsi="Calibri"/>
                <w:b w:val="0"/>
                <w:color w:val="243247"/>
                <w:sz w:val="16"/>
              </w:rPr>
              <w:t>Normalize to integer 1/0.</w:t>
            </w:r>
          </w:p>
        </w:tc>
      </w:tr>
      <w:tr>
        <w:tc>
          <w:tcPr>
            <w:tcW w:type="dxa" w:w="1944"/>
            <w:vAlign w:val="center"/>
          </w:tcPr>
          <w:p>
            <w:pPr>
              <w:spacing w:after="20"/>
            </w:pPr>
            <w:r/>
            <w:r>
              <w:rPr>
                <w:rFonts w:ascii="Calibri" w:hAnsi="Calibri"/>
                <w:b w:val="0"/>
                <w:color w:val="243247"/>
                <w:sz w:val="16"/>
              </w:rPr>
              <w:t>Resolution stored as text</w:t>
            </w:r>
          </w:p>
        </w:tc>
        <w:tc>
          <w:tcPr>
            <w:tcW w:type="dxa" w:w="3600"/>
            <w:vAlign w:val="center"/>
          </w:tcPr>
          <w:p>
            <w:pPr>
              <w:spacing w:after="20"/>
            </w:pPr>
            <w:r/>
            <w:r>
              <w:rPr>
                <w:rFonts w:ascii="Calibri" w:hAnsi="Calibri"/>
                <w:b w:val="0"/>
                <w:color w:val="243247"/>
                <w:sz w:val="16"/>
              </w:rPr>
              <w:t>Example: “1080 x 2400”.</w:t>
            </w:r>
          </w:p>
        </w:tc>
        <w:tc>
          <w:tcPr>
            <w:tcW w:type="dxa" w:w="4176"/>
            <w:vAlign w:val="center"/>
          </w:tcPr>
          <w:p>
            <w:pPr>
              <w:spacing w:after="20"/>
            </w:pPr>
            <w:r/>
            <w:r>
              <w:rPr>
                <w:rFonts w:ascii="Calibri" w:hAnsi="Calibri"/>
                <w:b w:val="0"/>
                <w:color w:val="243247"/>
                <w:sz w:val="16"/>
              </w:rPr>
              <w:t>Parse dimensions; derive pixel count, aspect ratio, and PPI.</w:t>
            </w:r>
          </w:p>
        </w:tc>
      </w:tr>
      <w:tr>
        <w:tc>
          <w:tcPr>
            <w:tcW w:type="dxa" w:w="1944"/>
            <w:vAlign w:val="center"/>
            <w:shd w:fill="F3F6FA"/>
          </w:tcPr>
          <w:p>
            <w:pPr>
              <w:spacing w:after="20"/>
            </w:pPr>
            <w:r/>
            <w:r>
              <w:rPr>
                <w:rFonts w:ascii="Calibri" w:hAnsi="Calibri"/>
                <w:b w:val="0"/>
                <w:color w:val="243247"/>
                <w:sz w:val="16"/>
              </w:rPr>
              <w:t>Rare categories</w:t>
            </w:r>
          </w:p>
        </w:tc>
        <w:tc>
          <w:tcPr>
            <w:tcW w:type="dxa" w:w="3600"/>
            <w:vAlign w:val="center"/>
            <w:shd w:fill="F3F6FA"/>
          </w:tcPr>
          <w:p>
            <w:pPr>
              <w:spacing w:after="20"/>
            </w:pPr>
            <w:r/>
            <w:r>
              <w:rPr>
                <w:rFonts w:ascii="Calibri" w:hAnsi="Calibri"/>
                <w:b w:val="0"/>
                <w:color w:val="243247"/>
                <w:sz w:val="16"/>
              </w:rPr>
              <w:t>Infrequent brand and processor names.</w:t>
            </w:r>
          </w:p>
        </w:tc>
        <w:tc>
          <w:tcPr>
            <w:tcW w:type="dxa" w:w="4176"/>
            <w:vAlign w:val="center"/>
            <w:shd w:fill="F3F6FA"/>
          </w:tcPr>
          <w:p>
            <w:pPr>
              <w:spacing w:after="20"/>
            </w:pPr>
            <w:r/>
            <w:r>
              <w:rPr>
                <w:rFonts w:ascii="Calibri" w:hAnsi="Calibri"/>
                <w:b w:val="0"/>
                <w:color w:val="243247"/>
                <w:sz w:val="16"/>
              </w:rPr>
              <w:t>Group rare brands/processors; normalize OS categories.</w:t>
            </w:r>
          </w:p>
        </w:tc>
      </w:tr>
      <w:tr>
        <w:tc>
          <w:tcPr>
            <w:tcW w:type="dxa" w:w="1944"/>
            <w:vAlign w:val="center"/>
          </w:tcPr>
          <w:p>
            <w:pPr>
              <w:spacing w:after="20"/>
            </w:pPr>
            <w:r/>
            <w:r>
              <w:rPr>
                <w:rFonts w:ascii="Calibri" w:hAnsi="Calibri"/>
                <w:b w:val="0"/>
                <w:color w:val="243247"/>
                <w:sz w:val="16"/>
              </w:rPr>
              <w:t>Price target leakage</w:t>
            </w:r>
          </w:p>
        </w:tc>
        <w:tc>
          <w:tcPr>
            <w:tcW w:type="dxa" w:w="3600"/>
            <w:vAlign w:val="center"/>
          </w:tcPr>
          <w:p>
            <w:pPr>
              <w:spacing w:after="20"/>
            </w:pPr>
            <w:r/>
            <w:r>
              <w:rPr>
                <w:rFonts w:ascii="Calibri" w:hAnsi="Calibri"/>
                <w:b w:val="0"/>
                <w:color w:val="243247"/>
                <w:sz w:val="16"/>
              </w:rPr>
              <w:t>Price generates the category label.</w:t>
            </w:r>
          </w:p>
        </w:tc>
        <w:tc>
          <w:tcPr>
            <w:tcW w:type="dxa" w:w="4176"/>
            <w:vAlign w:val="center"/>
          </w:tcPr>
          <w:p>
            <w:pPr>
              <w:spacing w:after="20"/>
            </w:pPr>
            <w:r/>
            <w:r>
              <w:rPr>
                <w:rFonts w:ascii="Calibri" w:hAnsi="Calibri"/>
                <w:b w:val="0"/>
                <w:color w:val="243247"/>
                <w:sz w:val="16"/>
              </w:rPr>
              <w:t>Exclude price from X; exclude model name as a predictor.</w:t>
            </w:r>
          </w:p>
        </w:tc>
      </w:tr>
    </w:tbl>
    <w:p>
      <w:pPr>
        <w:spacing w:after="0"/>
      </w:pPr>
    </w:p>
    <w:p>
      <w:pPr>
        <w:pStyle w:val="Heading2"/>
        <w:keepNext/>
      </w:pPr>
      <w:r>
        <w:t>4.2 Feature engineering</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vAlign w:val="center"/>
            <w:shd w:fill="17365D"/>
          </w:tcPr>
          <w:p>
            <w:pPr>
              <w:spacing w:after="20"/>
            </w:pPr>
            <w:r/>
            <w:r>
              <w:rPr>
                <w:rFonts w:ascii="Calibri" w:hAnsi="Calibri"/>
                <w:b/>
                <w:color w:val="FFFFFF"/>
                <w:sz w:val="17"/>
              </w:rPr>
              <w:t>Engineered feature</w:t>
            </w:r>
          </w:p>
        </w:tc>
        <w:tc>
          <w:tcPr>
            <w:tcW w:type="dxa" w:w="6696"/>
            <w:vAlign w:val="center"/>
            <w:shd w:fill="17365D"/>
          </w:tcPr>
          <w:p>
            <w:pPr>
              <w:spacing w:after="20"/>
            </w:pPr>
            <w:r/>
            <w:r>
              <w:rPr>
                <w:rFonts w:ascii="Calibri" w:hAnsi="Calibri"/>
                <w:b/>
                <w:color w:val="FFFFFF"/>
                <w:sz w:val="17"/>
              </w:rPr>
              <w:t>Definition / purpose</w:t>
            </w:r>
          </w:p>
        </w:tc>
      </w:tr>
      <w:tr>
        <w:tc>
          <w:tcPr>
            <w:tcW w:type="dxa" w:w="3024"/>
            <w:vAlign w:val="center"/>
          </w:tcPr>
          <w:p>
            <w:pPr>
              <w:spacing w:after="20"/>
            </w:pPr>
            <w:r/>
            <w:r>
              <w:rPr>
                <w:rFonts w:ascii="Calibri" w:hAnsi="Calibri"/>
                <w:b w:val="0"/>
                <w:color w:val="243247"/>
                <w:sz w:val="17"/>
              </w:rPr>
              <w:t>resolution_width, resolution_height</w:t>
            </w:r>
          </w:p>
        </w:tc>
        <w:tc>
          <w:tcPr>
            <w:tcW w:type="dxa" w:w="6696"/>
            <w:vAlign w:val="center"/>
          </w:tcPr>
          <w:p>
            <w:pPr>
              <w:spacing w:after="20"/>
            </w:pPr>
            <w:r/>
            <w:r>
              <w:rPr>
                <w:rFonts w:ascii="Calibri" w:hAnsi="Calibri"/>
                <w:b w:val="0"/>
                <w:color w:val="243247"/>
                <w:sz w:val="17"/>
              </w:rPr>
              <w:t>Parsed pixel dimensions from the resolution string.</w:t>
            </w:r>
          </w:p>
        </w:tc>
      </w:tr>
      <w:tr>
        <w:tc>
          <w:tcPr>
            <w:tcW w:type="dxa" w:w="3024"/>
            <w:vAlign w:val="center"/>
            <w:shd w:fill="F3F6FA"/>
          </w:tcPr>
          <w:p>
            <w:pPr>
              <w:spacing w:after="20"/>
            </w:pPr>
            <w:r/>
            <w:r>
              <w:rPr>
                <w:rFonts w:ascii="Calibri" w:hAnsi="Calibri"/>
                <w:b w:val="0"/>
                <w:color w:val="243247"/>
                <w:sz w:val="17"/>
              </w:rPr>
              <w:t>pixel_count</w:t>
            </w:r>
          </w:p>
        </w:tc>
        <w:tc>
          <w:tcPr>
            <w:tcW w:type="dxa" w:w="6696"/>
            <w:vAlign w:val="center"/>
            <w:shd w:fill="F3F6FA"/>
          </w:tcPr>
          <w:p>
            <w:pPr>
              <w:spacing w:after="20"/>
            </w:pPr>
            <w:r/>
            <w:r>
              <w:rPr>
                <w:rFonts w:ascii="Calibri" w:hAnsi="Calibri"/>
                <w:b w:val="0"/>
                <w:color w:val="243247"/>
                <w:sz w:val="17"/>
              </w:rPr>
              <w:t>Width × height; approximate total display pixels.</w:t>
            </w:r>
          </w:p>
        </w:tc>
      </w:tr>
      <w:tr>
        <w:tc>
          <w:tcPr>
            <w:tcW w:type="dxa" w:w="3024"/>
            <w:vAlign w:val="center"/>
          </w:tcPr>
          <w:p>
            <w:pPr>
              <w:spacing w:after="20"/>
            </w:pPr>
            <w:r/>
            <w:r>
              <w:rPr>
                <w:rFonts w:ascii="Calibri" w:hAnsi="Calibri"/>
                <w:b w:val="0"/>
                <w:color w:val="243247"/>
                <w:sz w:val="17"/>
              </w:rPr>
              <w:t>aspect_ratio</w:t>
            </w:r>
          </w:p>
        </w:tc>
        <w:tc>
          <w:tcPr>
            <w:tcW w:type="dxa" w:w="6696"/>
            <w:vAlign w:val="center"/>
          </w:tcPr>
          <w:p>
            <w:pPr>
              <w:spacing w:after="20"/>
            </w:pPr>
            <w:r/>
            <w:r>
              <w:rPr>
                <w:rFonts w:ascii="Calibri" w:hAnsi="Calibri"/>
                <w:b w:val="0"/>
                <w:color w:val="243247"/>
                <w:sz w:val="17"/>
              </w:rPr>
              <w:t>Height ÷ width.</w:t>
            </w:r>
          </w:p>
        </w:tc>
      </w:tr>
      <w:tr>
        <w:tc>
          <w:tcPr>
            <w:tcW w:type="dxa" w:w="3024"/>
            <w:vAlign w:val="center"/>
            <w:shd w:fill="F3F6FA"/>
          </w:tcPr>
          <w:p>
            <w:pPr>
              <w:spacing w:after="20"/>
            </w:pPr>
            <w:r/>
            <w:r>
              <w:rPr>
                <w:rFonts w:ascii="Calibri" w:hAnsi="Calibri"/>
                <w:b w:val="0"/>
                <w:color w:val="243247"/>
                <w:sz w:val="17"/>
              </w:rPr>
              <w:t>ppi</w:t>
            </w:r>
          </w:p>
        </w:tc>
        <w:tc>
          <w:tcPr>
            <w:tcW w:type="dxa" w:w="6696"/>
            <w:vAlign w:val="center"/>
            <w:shd w:fill="F3F6FA"/>
          </w:tcPr>
          <w:p>
            <w:pPr>
              <w:spacing w:after="20"/>
            </w:pPr>
            <w:r/>
            <w:r>
              <w:rPr>
                <w:rFonts w:ascii="Calibri" w:hAnsi="Calibri"/>
                <w:b w:val="0"/>
                <w:color w:val="243247"/>
                <w:sz w:val="17"/>
              </w:rPr>
              <w:t>√(width² + height²) ÷ screen diagonal in inches.</w:t>
            </w:r>
          </w:p>
        </w:tc>
      </w:tr>
      <w:tr>
        <w:tc>
          <w:tcPr>
            <w:tcW w:type="dxa" w:w="3024"/>
            <w:vAlign w:val="center"/>
          </w:tcPr>
          <w:p>
            <w:pPr>
              <w:spacing w:after="20"/>
            </w:pPr>
            <w:r/>
            <w:r>
              <w:rPr>
                <w:rFonts w:ascii="Calibri" w:hAnsi="Calibri"/>
                <w:b w:val="0"/>
                <w:color w:val="243247"/>
                <w:sz w:val="17"/>
              </w:rPr>
              <w:t>total_cameras</w:t>
            </w:r>
          </w:p>
        </w:tc>
        <w:tc>
          <w:tcPr>
            <w:tcW w:type="dxa" w:w="6696"/>
            <w:vAlign w:val="center"/>
          </w:tcPr>
          <w:p>
            <w:pPr>
              <w:spacing w:after="20"/>
            </w:pPr>
            <w:r/>
            <w:r>
              <w:rPr>
                <w:rFonts w:ascii="Calibri" w:hAnsi="Calibri"/>
                <w:b w:val="0"/>
                <w:color w:val="243247"/>
                <w:sz w:val="17"/>
              </w:rPr>
              <w:t>Rear camera count + front camera count.</w:t>
            </w:r>
          </w:p>
        </w:tc>
      </w:tr>
      <w:tr>
        <w:tc>
          <w:tcPr>
            <w:tcW w:type="dxa" w:w="3024"/>
            <w:vAlign w:val="center"/>
            <w:shd w:fill="F3F6FA"/>
          </w:tcPr>
          <w:p>
            <w:pPr>
              <w:spacing w:after="20"/>
            </w:pPr>
            <w:r/>
            <w:r>
              <w:rPr>
                <w:rFonts w:ascii="Calibri" w:hAnsi="Calibri"/>
                <w:b w:val="0"/>
                <w:color w:val="243247"/>
                <w:sz w:val="17"/>
              </w:rPr>
              <w:t>screen_to_battery_ratio</w:t>
            </w:r>
          </w:p>
        </w:tc>
        <w:tc>
          <w:tcPr>
            <w:tcW w:type="dxa" w:w="6696"/>
            <w:vAlign w:val="center"/>
            <w:shd w:fill="F3F6FA"/>
          </w:tcPr>
          <w:p>
            <w:pPr>
              <w:spacing w:after="20"/>
            </w:pPr>
            <w:r/>
            <w:r>
              <w:rPr>
                <w:rFonts w:ascii="Calibri" w:hAnsi="Calibri"/>
                <w:b w:val="0"/>
                <w:color w:val="243247"/>
                <w:sz w:val="17"/>
              </w:rPr>
              <w:t>Battery capacity ÷ screen size.</w:t>
            </w:r>
          </w:p>
        </w:tc>
      </w:tr>
      <w:tr>
        <w:tc>
          <w:tcPr>
            <w:tcW w:type="dxa" w:w="3024"/>
            <w:vAlign w:val="center"/>
          </w:tcPr>
          <w:p>
            <w:pPr>
              <w:spacing w:after="20"/>
            </w:pPr>
            <w:r/>
            <w:r>
              <w:rPr>
                <w:rFonts w:ascii="Calibri" w:hAnsi="Calibri"/>
                <w:b w:val="0"/>
                <w:color w:val="243247"/>
                <w:sz w:val="17"/>
              </w:rPr>
              <w:t>ram_to_storage_ratio</w:t>
            </w:r>
          </w:p>
        </w:tc>
        <w:tc>
          <w:tcPr>
            <w:tcW w:type="dxa" w:w="6696"/>
            <w:vAlign w:val="center"/>
          </w:tcPr>
          <w:p>
            <w:pPr>
              <w:spacing w:after="20"/>
            </w:pPr>
            <w:r/>
            <w:r>
              <w:rPr>
                <w:rFonts w:ascii="Calibri" w:hAnsi="Calibri"/>
                <w:b w:val="0"/>
                <w:color w:val="243247"/>
                <w:sz w:val="17"/>
              </w:rPr>
              <w:t>RAM capacity ÷ internal storage.</w:t>
            </w:r>
          </w:p>
        </w:tc>
      </w:tr>
      <w:tr>
        <w:tc>
          <w:tcPr>
            <w:tcW w:type="dxa" w:w="3024"/>
            <w:vAlign w:val="center"/>
            <w:shd w:fill="F3F6FA"/>
          </w:tcPr>
          <w:p>
            <w:pPr>
              <w:spacing w:after="20"/>
            </w:pPr>
            <w:r/>
            <w:r>
              <w:rPr>
                <w:rFonts w:ascii="Calibri" w:hAnsi="Calibri"/>
                <w:b w:val="0"/>
                <w:color w:val="243247"/>
                <w:sz w:val="17"/>
              </w:rPr>
              <w:t>performance_score</w:t>
            </w:r>
          </w:p>
        </w:tc>
        <w:tc>
          <w:tcPr>
            <w:tcW w:type="dxa" w:w="6696"/>
            <w:vAlign w:val="center"/>
            <w:shd w:fill="F3F6FA"/>
          </w:tcPr>
          <w:p>
            <w:pPr>
              <w:spacing w:after="20"/>
            </w:pPr>
            <w:r/>
            <w:r>
              <w:rPr>
                <w:rFonts w:ascii="Calibri" w:hAnsi="Calibri"/>
                <w:b w:val="0"/>
                <w:color w:val="243247"/>
                <w:sz w:val="17"/>
              </w:rPr>
              <w:t>CPU core count × processor speed × RAM capacity.</w:t>
            </w:r>
          </w:p>
        </w:tc>
      </w:tr>
    </w:tbl>
    <w:p>
      <w:pPr>
        <w:spacing w:after="0"/>
      </w:pPr>
    </w:p>
    <w:p>
      <w:pPr>
        <w:pStyle w:val="Heading2"/>
        <w:keepNext/>
      </w:pPr>
      <w:r>
        <w:t>4.3 Partition and transformations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vAlign w:val="center"/>
            <w:shd w:fill="17365D"/>
          </w:tcPr>
          <w:p>
            <w:pPr>
              <w:spacing w:after="20"/>
            </w:pPr>
            <w:r/>
            <w:r>
              <w:rPr>
                <w:rFonts w:ascii="Calibri" w:hAnsi="Calibri"/>
                <w:b/>
                <w:color w:val="FFFFFF"/>
                <w:sz w:val="17"/>
              </w:rPr>
              <w:t>Partition / stage</w:t>
            </w:r>
          </w:p>
        </w:tc>
        <w:tc>
          <w:tcPr>
            <w:tcW w:type="dxa" w:w="1728"/>
            <w:vAlign w:val="center"/>
            <w:shd w:fill="17365D"/>
          </w:tcPr>
          <w:p>
            <w:pPr>
              <w:spacing w:after="20"/>
            </w:pPr>
            <w:r/>
            <w:r>
              <w:rPr>
                <w:rFonts w:ascii="Calibri" w:hAnsi="Calibri"/>
                <w:b/>
                <w:color w:val="FFFFFF"/>
                <w:sz w:val="17"/>
              </w:rPr>
              <w:t>Samples</w:t>
            </w:r>
          </w:p>
        </w:tc>
        <w:tc>
          <w:tcPr>
            <w:tcW w:type="dxa" w:w="5616"/>
            <w:vAlign w:val="center"/>
            <w:shd w:fill="17365D"/>
          </w:tcPr>
          <w:p>
            <w:pPr>
              <w:spacing w:after="20"/>
            </w:pPr>
            <w:r/>
            <w:r>
              <w:rPr>
                <w:rFonts w:ascii="Calibri" w:hAnsi="Calibri"/>
                <w:b/>
                <w:color w:val="FFFFFF"/>
                <w:sz w:val="17"/>
              </w:rPr>
              <w:t>Processing</w:t>
            </w:r>
          </w:p>
        </w:tc>
      </w:tr>
      <w:tr>
        <w:tc>
          <w:tcPr>
            <w:tcW w:type="dxa" w:w="2376"/>
            <w:vAlign w:val="center"/>
          </w:tcPr>
          <w:p>
            <w:pPr>
              <w:spacing w:after="20"/>
            </w:pPr>
            <w:r/>
            <w:r>
              <w:rPr>
                <w:rFonts w:ascii="Calibri" w:hAnsi="Calibri"/>
                <w:b w:val="0"/>
                <w:color w:val="243247"/>
                <w:sz w:val="17"/>
              </w:rPr>
              <w:t>Training</w:t>
            </w:r>
          </w:p>
        </w:tc>
        <w:tc>
          <w:tcPr>
            <w:tcW w:type="dxa" w:w="1728"/>
            <w:vAlign w:val="center"/>
          </w:tcPr>
          <w:p>
            <w:pPr>
              <w:spacing w:after="20"/>
            </w:pPr>
            <w:r/>
            <w:r>
              <w:rPr>
                <w:rFonts w:ascii="Calibri" w:hAnsi="Calibri"/>
                <w:b w:val="0"/>
                <w:color w:val="243247"/>
                <w:sz w:val="17"/>
              </w:rPr>
              <w:t>784 (80%)</w:t>
            </w:r>
          </w:p>
        </w:tc>
        <w:tc>
          <w:tcPr>
            <w:tcW w:type="dxa" w:w="5616"/>
            <w:vAlign w:val="center"/>
          </w:tcPr>
          <w:p>
            <w:pPr>
              <w:spacing w:after="20"/>
            </w:pPr>
            <w:r/>
            <w:r>
              <w:rPr>
                <w:rFonts w:ascii="Calibri" w:hAnsi="Calibri"/>
                <w:b w:val="0"/>
                <w:color w:val="243247"/>
                <w:sz w:val="17"/>
              </w:rPr>
              <w:t>Stratified split; random_state=42.</w:t>
            </w:r>
          </w:p>
        </w:tc>
      </w:tr>
      <w:tr>
        <w:tc>
          <w:tcPr>
            <w:tcW w:type="dxa" w:w="2376"/>
            <w:vAlign w:val="center"/>
            <w:shd w:fill="F3F6FA"/>
          </w:tcPr>
          <w:p>
            <w:pPr>
              <w:spacing w:after="20"/>
            </w:pPr>
            <w:r/>
            <w:r>
              <w:rPr>
                <w:rFonts w:ascii="Calibri" w:hAnsi="Calibri"/>
                <w:b w:val="0"/>
                <w:color w:val="243247"/>
                <w:sz w:val="17"/>
              </w:rPr>
              <w:t>Testing</w:t>
            </w:r>
          </w:p>
        </w:tc>
        <w:tc>
          <w:tcPr>
            <w:tcW w:type="dxa" w:w="1728"/>
            <w:vAlign w:val="center"/>
            <w:shd w:fill="F3F6FA"/>
          </w:tcPr>
          <w:p>
            <w:pPr>
              <w:spacing w:after="20"/>
            </w:pPr>
            <w:r/>
            <w:r>
              <w:rPr>
                <w:rFonts w:ascii="Calibri" w:hAnsi="Calibri"/>
                <w:b w:val="0"/>
                <w:color w:val="243247"/>
                <w:sz w:val="17"/>
              </w:rPr>
              <w:t>196 (20%)</w:t>
            </w:r>
          </w:p>
        </w:tc>
        <w:tc>
          <w:tcPr>
            <w:tcW w:type="dxa" w:w="5616"/>
            <w:vAlign w:val="center"/>
            <w:shd w:fill="F3F6FA"/>
          </w:tcPr>
          <w:p>
            <w:pPr>
              <w:spacing w:after="20"/>
            </w:pPr>
            <w:r/>
            <w:r>
              <w:rPr>
                <w:rFonts w:ascii="Calibri" w:hAnsi="Calibri"/>
                <w:b w:val="0"/>
                <w:color w:val="243247"/>
                <w:sz w:val="17"/>
              </w:rPr>
              <w:t>Held-out stratified partition; not used to fit the scaler/imputers/encoder.</w:t>
            </w:r>
          </w:p>
        </w:tc>
      </w:tr>
      <w:tr>
        <w:tc>
          <w:tcPr>
            <w:tcW w:type="dxa" w:w="2376"/>
            <w:vAlign w:val="center"/>
          </w:tcPr>
          <w:p>
            <w:pPr>
              <w:spacing w:after="20"/>
            </w:pPr>
            <w:r/>
            <w:r>
              <w:rPr>
                <w:rFonts w:ascii="Calibri" w:hAnsi="Calibri"/>
                <w:b w:val="0"/>
                <w:color w:val="243247"/>
                <w:sz w:val="17"/>
              </w:rPr>
              <w:t>Numeric columns</w:t>
            </w:r>
          </w:p>
        </w:tc>
        <w:tc>
          <w:tcPr>
            <w:tcW w:type="dxa" w:w="1728"/>
            <w:vAlign w:val="center"/>
          </w:tcPr>
          <w:p>
            <w:pPr>
              <w:spacing w:after="20"/>
            </w:pPr>
            <w:r/>
            <w:r>
              <w:rPr>
                <w:rFonts w:ascii="Calibri" w:hAnsi="Calibri"/>
                <w:b w:val="0"/>
                <w:color w:val="243247"/>
                <w:sz w:val="17"/>
              </w:rPr>
              <w:t>28 before encoding</w:t>
            </w:r>
          </w:p>
        </w:tc>
        <w:tc>
          <w:tcPr>
            <w:tcW w:type="dxa" w:w="5616"/>
            <w:vAlign w:val="center"/>
          </w:tcPr>
          <w:p>
            <w:pPr>
              <w:spacing w:after="20"/>
            </w:pPr>
            <w:r/>
            <w:r>
              <w:rPr>
                <w:rFonts w:ascii="Calibri" w:hAnsi="Calibri"/>
                <w:b w:val="0"/>
                <w:color w:val="243247"/>
                <w:sz w:val="17"/>
              </w:rPr>
              <w:t>Median imputation followed by StandardScaler.</w:t>
            </w:r>
          </w:p>
        </w:tc>
      </w:tr>
      <w:tr>
        <w:tc>
          <w:tcPr>
            <w:tcW w:type="dxa" w:w="2376"/>
            <w:vAlign w:val="center"/>
            <w:shd w:fill="F3F6FA"/>
          </w:tcPr>
          <w:p>
            <w:pPr>
              <w:spacing w:after="20"/>
            </w:pPr>
            <w:r/>
            <w:r>
              <w:rPr>
                <w:rFonts w:ascii="Calibri" w:hAnsi="Calibri"/>
                <w:b w:val="0"/>
                <w:color w:val="243247"/>
                <w:sz w:val="17"/>
              </w:rPr>
              <w:t>Categorical columns</w:t>
            </w:r>
          </w:p>
        </w:tc>
        <w:tc>
          <w:tcPr>
            <w:tcW w:type="dxa" w:w="1728"/>
            <w:vAlign w:val="center"/>
            <w:shd w:fill="F3F6FA"/>
          </w:tcPr>
          <w:p>
            <w:pPr>
              <w:spacing w:after="20"/>
            </w:pPr>
            <w:r/>
            <w:r>
              <w:rPr>
                <w:rFonts w:ascii="Calibri" w:hAnsi="Calibri"/>
                <w:b w:val="0"/>
                <w:color w:val="243247"/>
                <w:sz w:val="17"/>
              </w:rPr>
              <w:t>3 grouped columns</w:t>
            </w:r>
          </w:p>
        </w:tc>
        <w:tc>
          <w:tcPr>
            <w:tcW w:type="dxa" w:w="5616"/>
            <w:vAlign w:val="center"/>
            <w:shd w:fill="F3F6FA"/>
          </w:tcPr>
          <w:p>
            <w:pPr>
              <w:spacing w:after="20"/>
            </w:pPr>
            <w:r/>
            <w:r>
              <w:rPr>
                <w:rFonts w:ascii="Calibri" w:hAnsi="Calibri"/>
                <w:b w:val="0"/>
                <w:color w:val="243247"/>
                <w:sz w:val="17"/>
              </w:rPr>
              <w:t>Most-frequent imputation followed by one-hot encoding; unknown values ignored.</w:t>
            </w:r>
          </w:p>
        </w:tc>
      </w:tr>
      <w:tr>
        <w:tc>
          <w:tcPr>
            <w:tcW w:type="dxa" w:w="2376"/>
            <w:vAlign w:val="center"/>
          </w:tcPr>
          <w:p>
            <w:pPr>
              <w:spacing w:after="20"/>
            </w:pPr>
            <w:r/>
            <w:r>
              <w:rPr>
                <w:rFonts w:ascii="Calibri" w:hAnsi="Calibri"/>
                <w:b w:val="0"/>
                <w:color w:val="243247"/>
                <w:sz w:val="17"/>
              </w:rPr>
              <w:t>Transformed feature space</w:t>
            </w:r>
          </w:p>
        </w:tc>
        <w:tc>
          <w:tcPr>
            <w:tcW w:type="dxa" w:w="1728"/>
            <w:vAlign w:val="center"/>
          </w:tcPr>
          <w:p>
            <w:pPr>
              <w:spacing w:after="20"/>
            </w:pPr>
            <w:r/>
            <w:r>
              <w:rPr>
                <w:rFonts w:ascii="Calibri" w:hAnsi="Calibri"/>
                <w:b w:val="0"/>
                <w:color w:val="243247"/>
                <w:sz w:val="17"/>
              </w:rPr>
              <w:t>62 columns</w:t>
            </w:r>
          </w:p>
        </w:tc>
        <w:tc>
          <w:tcPr>
            <w:tcW w:type="dxa" w:w="5616"/>
            <w:vAlign w:val="center"/>
          </w:tcPr>
          <w:p>
            <w:pPr>
              <w:spacing w:after="20"/>
            </w:pPr>
            <w:r/>
            <w:r>
              <w:rPr>
                <w:rFonts w:ascii="Calibri" w:hAnsi="Calibri"/>
                <w:b w:val="0"/>
                <w:color w:val="243247"/>
                <w:sz w:val="17"/>
              </w:rPr>
              <w:t>Saved transformer is reused for inference.</w:t>
            </w:r>
          </w:p>
        </w:tc>
      </w:tr>
    </w:tbl>
    <w:p>
      <w:pPr>
        <w:spacing w:after="0"/>
      </w:pPr>
    </w:p>
    <w:p>
      <w:pPr>
        <w:jc w:val="center"/>
      </w:pPr>
      <w:r>
        <w:drawing>
          <wp:inline xmlns:a="http://schemas.openxmlformats.org/drawingml/2006/main" xmlns:pic="http://schemas.openxmlformats.org/drawingml/2006/picture">
            <wp:extent cx="5303520" cy="1862159"/>
            <wp:docPr id="1" name="Picture 1"/>
            <wp:cNvGraphicFramePr>
              <a:graphicFrameLocks noChangeAspect="1"/>
            </wp:cNvGraphicFramePr>
            <a:graphic>
              <a:graphicData uri="http://schemas.openxmlformats.org/drawingml/2006/picture">
                <pic:pic>
                  <pic:nvPicPr>
                    <pic:cNvPr id="0" name="02_price_by_category.png"/>
                    <pic:cNvPicPr/>
                  </pic:nvPicPr>
                  <pic:blipFill>
                    <a:blip r:embed="rId11"/>
                    <a:stretch>
                      <a:fillRect/>
                    </a:stretch>
                  </pic:blipFill>
                  <pic:spPr>
                    <a:xfrm>
                      <a:off x="0" y="0"/>
                      <a:ext cx="5303520" cy="1862159"/>
                    </a:xfrm>
                    <a:prstGeom prst="rect"/>
                  </pic:spPr>
                </pic:pic>
              </a:graphicData>
            </a:graphic>
          </wp:inline>
        </w:drawing>
      </w:r>
    </w:p>
    <w:p>
      <w:pPr>
        <w:spacing w:before="40" w:after="160"/>
        <w:jc w:val="center"/>
      </w:pPr>
      <w:r>
        <w:rPr>
          <w:i/>
          <w:color w:val="65758B"/>
          <w:sz w:val="18"/>
        </w:rPr>
        <w:t>Figure 1. Project-generated price-tier distribution and category plot.</w:t>
      </w:r>
    </w:p>
    <w:p>
      <w:pPr>
        <w:pStyle w:val="Heading1"/>
        <w:keepNext/>
      </w:pPr>
      <w:r>
        <w:t>5. Results and Discussion</w:t>
      </w:r>
    </w:p>
    <w:p>
      <w:pPr>
        <w:pStyle w:val="Heading2"/>
        <w:keepNext/>
      </w:pPr>
      <w:r>
        <w:t>5.1 Experimental protocol</w:t>
      </w:r>
    </w:p>
    <w:p>
      <w:pPr>
        <w:spacing w:after="120"/>
      </w:pPr>
      <w:r>
        <w:rPr>
          <w:i w:val="0"/>
        </w:rPr>
        <w:t>The baseline and tuning scripts train the four estimators on the 784 training records. Hyperparameters are selected with a five-fold stratified grid search; final reported test metrics are calculated on the 196-row held-out test set. The final estimator is selected using comparative performance, then exported with the preprocessing artifacts for the backend.</w:t>
      </w:r>
    </w:p>
    <w:p>
      <w:pPr>
        <w:pStyle w:val="Heading2"/>
        <w:keepNext/>
      </w:pPr>
      <w:r>
        <w:t>5.2 Metric definitions</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shd w:fill="17365D"/>
          </w:tcPr>
          <w:p>
            <w:pPr>
              <w:spacing w:after="20"/>
            </w:pPr>
            <w:r/>
            <w:r>
              <w:rPr>
                <w:rFonts w:ascii="Calibri" w:hAnsi="Calibri"/>
                <w:b/>
                <w:color w:val="FFFFFF"/>
                <w:sz w:val="17"/>
              </w:rPr>
              <w:t>Metric</w:t>
            </w:r>
          </w:p>
        </w:tc>
        <w:tc>
          <w:tcPr>
            <w:tcW w:type="dxa" w:w="7632"/>
            <w:vAlign w:val="center"/>
            <w:shd w:fill="17365D"/>
          </w:tcPr>
          <w:p>
            <w:pPr>
              <w:spacing w:after="20"/>
            </w:pPr>
            <w:r/>
            <w:r>
              <w:rPr>
                <w:rFonts w:ascii="Calibri" w:hAnsi="Calibri"/>
                <w:b/>
                <w:color w:val="FFFFFF"/>
                <w:sz w:val="17"/>
              </w:rPr>
              <w:t>Interpretation</w:t>
            </w:r>
          </w:p>
        </w:tc>
      </w:tr>
      <w:tr>
        <w:tc>
          <w:tcPr>
            <w:tcW w:type="dxa" w:w="2088"/>
            <w:vAlign w:val="center"/>
          </w:tcPr>
          <w:p>
            <w:pPr>
              <w:spacing w:after="20"/>
            </w:pPr>
            <w:r/>
            <w:r>
              <w:rPr>
                <w:rFonts w:ascii="Calibri" w:hAnsi="Calibri"/>
                <w:b w:val="0"/>
                <w:color w:val="243247"/>
                <w:sz w:val="17"/>
              </w:rPr>
              <w:t>Accuracy</w:t>
            </w:r>
          </w:p>
        </w:tc>
        <w:tc>
          <w:tcPr>
            <w:tcW w:type="dxa" w:w="7632"/>
            <w:vAlign w:val="center"/>
          </w:tcPr>
          <w:p>
            <w:pPr>
              <w:spacing w:after="20"/>
            </w:pPr>
            <w:r/>
            <w:r>
              <w:rPr>
                <w:rFonts w:ascii="Calibri" w:hAnsi="Calibri"/>
                <w:b w:val="0"/>
                <w:color w:val="243247"/>
                <w:sz w:val="17"/>
              </w:rPr>
              <w:t>Fraction of all test predictions that match the true label.</w:t>
            </w:r>
          </w:p>
        </w:tc>
      </w:tr>
      <w:tr>
        <w:tc>
          <w:tcPr>
            <w:tcW w:type="dxa" w:w="2088"/>
            <w:vAlign w:val="center"/>
            <w:shd w:fill="F3F6FA"/>
          </w:tcPr>
          <w:p>
            <w:pPr>
              <w:spacing w:after="20"/>
            </w:pPr>
            <w:r/>
            <w:r>
              <w:rPr>
                <w:rFonts w:ascii="Calibri" w:hAnsi="Calibri"/>
                <w:b w:val="0"/>
                <w:color w:val="243247"/>
                <w:sz w:val="17"/>
              </w:rPr>
              <w:t>Macro F1</w:t>
            </w:r>
          </w:p>
        </w:tc>
        <w:tc>
          <w:tcPr>
            <w:tcW w:type="dxa" w:w="7632"/>
            <w:vAlign w:val="center"/>
            <w:shd w:fill="F3F6FA"/>
          </w:tcPr>
          <w:p>
            <w:pPr>
              <w:spacing w:after="20"/>
            </w:pPr>
            <w:r/>
            <w:r>
              <w:rPr>
                <w:rFonts w:ascii="Calibri" w:hAnsi="Calibri"/>
                <w:b w:val="0"/>
                <w:color w:val="243247"/>
                <w:sz w:val="17"/>
              </w:rPr>
              <w:t>Unweighted mean of class-level F1 scores; gives each tier equal importance.</w:t>
            </w:r>
          </w:p>
        </w:tc>
      </w:tr>
      <w:tr>
        <w:tc>
          <w:tcPr>
            <w:tcW w:type="dxa" w:w="2088"/>
            <w:vAlign w:val="center"/>
          </w:tcPr>
          <w:p>
            <w:pPr>
              <w:spacing w:after="20"/>
            </w:pPr>
            <w:r/>
            <w:r>
              <w:rPr>
                <w:rFonts w:ascii="Calibri" w:hAnsi="Calibri"/>
                <w:b w:val="0"/>
                <w:color w:val="243247"/>
                <w:sz w:val="17"/>
              </w:rPr>
              <w:t>Weighted F1</w:t>
            </w:r>
          </w:p>
        </w:tc>
        <w:tc>
          <w:tcPr>
            <w:tcW w:type="dxa" w:w="7632"/>
            <w:vAlign w:val="center"/>
          </w:tcPr>
          <w:p>
            <w:pPr>
              <w:spacing w:after="20"/>
            </w:pPr>
            <w:r/>
            <w:r>
              <w:rPr>
                <w:rFonts w:ascii="Calibri" w:hAnsi="Calibri"/>
                <w:b w:val="0"/>
                <w:color w:val="243247"/>
                <w:sz w:val="17"/>
              </w:rPr>
              <w:t>Mean class F1 weighted by each class's test support.</w:t>
            </w:r>
          </w:p>
        </w:tc>
      </w:tr>
      <w:tr>
        <w:tc>
          <w:tcPr>
            <w:tcW w:type="dxa" w:w="2088"/>
            <w:vAlign w:val="center"/>
            <w:shd w:fill="F3F6FA"/>
          </w:tcPr>
          <w:p>
            <w:pPr>
              <w:spacing w:after="20"/>
            </w:pPr>
            <w:r/>
            <w:r>
              <w:rPr>
                <w:rFonts w:ascii="Calibri" w:hAnsi="Calibri"/>
                <w:b w:val="0"/>
                <w:color w:val="243247"/>
                <w:sz w:val="17"/>
              </w:rPr>
              <w:t>ROC-AUC (OvR)</w:t>
            </w:r>
          </w:p>
        </w:tc>
        <w:tc>
          <w:tcPr>
            <w:tcW w:type="dxa" w:w="7632"/>
            <w:vAlign w:val="center"/>
            <w:shd w:fill="F3F6FA"/>
          </w:tcPr>
          <w:p>
            <w:pPr>
              <w:spacing w:after="20"/>
            </w:pPr>
            <w:r/>
            <w:r>
              <w:rPr>
                <w:rFonts w:ascii="Calibri" w:hAnsi="Calibri"/>
                <w:b w:val="0"/>
                <w:color w:val="243247"/>
                <w:sz w:val="17"/>
              </w:rPr>
              <w:t>One-vs-rest discrimination, averaged across classes; evaluates ranking across thresholds.</w:t>
            </w:r>
          </w:p>
        </w:tc>
      </w:tr>
      <w:tr>
        <w:tc>
          <w:tcPr>
            <w:tcW w:type="dxa" w:w="2088"/>
            <w:vAlign w:val="center"/>
          </w:tcPr>
          <w:p>
            <w:pPr>
              <w:spacing w:after="20"/>
            </w:pPr>
            <w:r/>
            <w:r>
              <w:rPr>
                <w:rFonts w:ascii="Calibri" w:hAnsi="Calibri"/>
                <w:b w:val="0"/>
                <w:color w:val="243247"/>
                <w:sz w:val="17"/>
              </w:rPr>
              <w:t>Precision / Recall</w:t>
            </w:r>
          </w:p>
        </w:tc>
        <w:tc>
          <w:tcPr>
            <w:tcW w:type="dxa" w:w="7632"/>
            <w:vAlign w:val="center"/>
          </w:tcPr>
          <w:p>
            <w:pPr>
              <w:spacing w:after="20"/>
            </w:pPr>
            <w:r/>
            <w:r>
              <w:rPr>
                <w:rFonts w:ascii="Calibri" w:hAnsi="Calibri"/>
                <w:b w:val="0"/>
                <w:color w:val="243247"/>
                <w:sz w:val="17"/>
              </w:rPr>
              <w:t>Precision: correctness of predicted class members. Recall: fraction of true class members recovered.</w:t>
            </w:r>
          </w:p>
        </w:tc>
      </w:tr>
    </w:tbl>
    <w:p>
      <w:pPr>
        <w:spacing w:after="0"/>
      </w:pPr>
    </w:p>
    <w:p>
      <w:pPr>
        <w:pStyle w:val="Heading2"/>
        <w:keepNext/>
      </w:pPr>
      <w:r>
        <w:t>5.3 Benchmark results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088"/>
            <w:vAlign w:val="center"/>
            <w:shd w:fill="17365D"/>
          </w:tcPr>
          <w:p>
            <w:pPr>
              <w:spacing w:after="20"/>
            </w:pPr>
            <w:r/>
            <w:r>
              <w:rPr>
                <w:rFonts w:ascii="Calibri" w:hAnsi="Calibri"/>
                <w:b/>
                <w:color w:val="FFFFFF"/>
                <w:sz w:val="16"/>
              </w:rPr>
              <w:t>Model</w:t>
            </w:r>
          </w:p>
        </w:tc>
        <w:tc>
          <w:tcPr>
            <w:tcW w:type="dxa" w:w="1440"/>
            <w:vAlign w:val="center"/>
            <w:shd w:fill="17365D"/>
          </w:tcPr>
          <w:p>
            <w:pPr>
              <w:spacing w:after="20"/>
            </w:pPr>
            <w:r/>
            <w:r>
              <w:rPr>
                <w:rFonts w:ascii="Calibri" w:hAnsi="Calibri"/>
                <w:b/>
                <w:color w:val="FFFFFF"/>
                <w:sz w:val="16"/>
              </w:rPr>
              <w:t>Test accuracy</w:t>
            </w:r>
          </w:p>
        </w:tc>
        <w:tc>
          <w:tcPr>
            <w:tcW w:type="dxa" w:w="1296"/>
            <w:vAlign w:val="center"/>
            <w:shd w:fill="17365D"/>
          </w:tcPr>
          <w:p>
            <w:pPr>
              <w:spacing w:after="20"/>
            </w:pPr>
            <w:r/>
            <w:r>
              <w:rPr>
                <w:rFonts w:ascii="Calibri" w:hAnsi="Calibri"/>
                <w:b/>
                <w:color w:val="FFFFFF"/>
                <w:sz w:val="16"/>
              </w:rPr>
              <w:t>Macro F1</w:t>
            </w:r>
          </w:p>
        </w:tc>
        <w:tc>
          <w:tcPr>
            <w:tcW w:type="dxa" w:w="1512"/>
            <w:vAlign w:val="center"/>
            <w:shd w:fill="17365D"/>
          </w:tcPr>
          <w:p>
            <w:pPr>
              <w:spacing w:after="20"/>
            </w:pPr>
            <w:r/>
            <w:r>
              <w:rPr>
                <w:rFonts w:ascii="Calibri" w:hAnsi="Calibri"/>
                <w:b/>
                <w:color w:val="FFFFFF"/>
                <w:sz w:val="16"/>
              </w:rPr>
              <w:t>Weighted F1</w:t>
            </w:r>
          </w:p>
        </w:tc>
        <w:tc>
          <w:tcPr>
            <w:tcW w:type="dxa" w:w="1440"/>
            <w:vAlign w:val="center"/>
            <w:shd w:fill="17365D"/>
          </w:tcPr>
          <w:p>
            <w:pPr>
              <w:spacing w:after="20"/>
            </w:pPr>
            <w:r/>
            <w:r>
              <w:rPr>
                <w:rFonts w:ascii="Calibri" w:hAnsi="Calibri"/>
                <w:b/>
                <w:color w:val="FFFFFF"/>
                <w:sz w:val="16"/>
              </w:rPr>
              <w:t>ROC-AUC (OvR)</w:t>
            </w:r>
          </w:p>
        </w:tc>
        <w:tc>
          <w:tcPr>
            <w:tcW w:type="dxa" w:w="1656"/>
            <w:vAlign w:val="center"/>
            <w:shd w:fill="17365D"/>
          </w:tcPr>
          <w:p>
            <w:pPr>
              <w:spacing w:after="20"/>
            </w:pPr>
            <w:r/>
            <w:r>
              <w:rPr>
                <w:rFonts w:ascii="Calibri" w:hAnsi="Calibri"/>
                <w:b/>
                <w:color w:val="FFFFFF"/>
                <w:sz w:val="16"/>
              </w:rPr>
              <w:t>Decision</w:t>
            </w:r>
          </w:p>
        </w:tc>
      </w:tr>
      <w:tr>
        <w:tc>
          <w:tcPr>
            <w:tcW w:type="dxa" w:w="2088"/>
            <w:vAlign w:val="center"/>
          </w:tcPr>
          <w:p>
            <w:pPr>
              <w:spacing w:after="20"/>
            </w:pPr>
            <w:r/>
            <w:r>
              <w:rPr>
                <w:rFonts w:ascii="Calibri" w:hAnsi="Calibri"/>
                <w:b w:val="0"/>
                <w:color w:val="243247"/>
                <w:sz w:val="16"/>
              </w:rPr>
              <w:t>Random Forest</w:t>
            </w:r>
          </w:p>
        </w:tc>
        <w:tc>
          <w:tcPr>
            <w:tcW w:type="dxa" w:w="1440"/>
            <w:vAlign w:val="center"/>
          </w:tcPr>
          <w:p>
            <w:pPr>
              <w:spacing w:after="20"/>
            </w:pPr>
            <w:r/>
            <w:r>
              <w:rPr>
                <w:rFonts w:ascii="Calibri" w:hAnsi="Calibri"/>
                <w:b w:val="0"/>
                <w:color w:val="243247"/>
                <w:sz w:val="16"/>
              </w:rPr>
              <w:t>82.65%</w:t>
            </w:r>
          </w:p>
        </w:tc>
        <w:tc>
          <w:tcPr>
            <w:tcW w:type="dxa" w:w="1296"/>
            <w:vAlign w:val="center"/>
          </w:tcPr>
          <w:p>
            <w:pPr>
              <w:spacing w:after="20"/>
            </w:pPr>
            <w:r/>
            <w:r>
              <w:rPr>
                <w:rFonts w:ascii="Calibri" w:hAnsi="Calibri"/>
                <w:b w:val="0"/>
                <w:color w:val="243247"/>
                <w:sz w:val="16"/>
              </w:rPr>
              <w:t>79.96%</w:t>
            </w:r>
          </w:p>
        </w:tc>
        <w:tc>
          <w:tcPr>
            <w:tcW w:type="dxa" w:w="1512"/>
            <w:vAlign w:val="center"/>
          </w:tcPr>
          <w:p>
            <w:pPr>
              <w:spacing w:after="20"/>
            </w:pPr>
            <w:r/>
            <w:r>
              <w:rPr>
                <w:rFonts w:ascii="Calibri" w:hAnsi="Calibri"/>
                <w:b w:val="0"/>
                <w:color w:val="243247"/>
                <w:sz w:val="16"/>
              </w:rPr>
              <w:t>82.39%</w:t>
            </w:r>
          </w:p>
        </w:tc>
        <w:tc>
          <w:tcPr>
            <w:tcW w:type="dxa" w:w="1440"/>
            <w:vAlign w:val="center"/>
          </w:tcPr>
          <w:p>
            <w:pPr>
              <w:spacing w:after="20"/>
            </w:pPr>
            <w:r/>
            <w:r>
              <w:rPr>
                <w:rFonts w:ascii="Calibri" w:hAnsi="Calibri"/>
                <w:b w:val="0"/>
                <w:color w:val="243247"/>
                <w:sz w:val="16"/>
              </w:rPr>
              <w:t>0.9613</w:t>
            </w:r>
          </w:p>
        </w:tc>
        <w:tc>
          <w:tcPr>
            <w:tcW w:type="dxa" w:w="1656"/>
            <w:vAlign w:val="center"/>
          </w:tcPr>
          <w:p>
            <w:pPr>
              <w:spacing w:after="20"/>
            </w:pPr>
            <w:r/>
            <w:r>
              <w:rPr>
                <w:rFonts w:ascii="Calibri" w:hAnsi="Calibri"/>
                <w:b w:val="0"/>
                <w:color w:val="243247"/>
                <w:sz w:val="16"/>
              </w:rPr>
              <w:t>Champion</w:t>
            </w:r>
          </w:p>
        </w:tc>
      </w:tr>
      <w:tr>
        <w:tc>
          <w:tcPr>
            <w:tcW w:type="dxa" w:w="2088"/>
            <w:vAlign w:val="center"/>
            <w:shd w:fill="F3F6FA"/>
          </w:tcPr>
          <w:p>
            <w:pPr>
              <w:spacing w:after="20"/>
            </w:pPr>
            <w:r/>
            <w:r>
              <w:rPr>
                <w:rFonts w:ascii="Calibri" w:hAnsi="Calibri"/>
                <w:b w:val="0"/>
                <w:color w:val="243247"/>
                <w:sz w:val="16"/>
              </w:rPr>
              <w:t>SVM (RBF)</w:t>
            </w:r>
          </w:p>
        </w:tc>
        <w:tc>
          <w:tcPr>
            <w:tcW w:type="dxa" w:w="1440"/>
            <w:vAlign w:val="center"/>
            <w:shd w:fill="F3F6FA"/>
          </w:tcPr>
          <w:p>
            <w:pPr>
              <w:spacing w:after="20"/>
            </w:pPr>
            <w:r/>
            <w:r>
              <w:rPr>
                <w:rFonts w:ascii="Calibri" w:hAnsi="Calibri"/>
                <w:b w:val="0"/>
                <w:color w:val="243247"/>
                <w:sz w:val="16"/>
              </w:rPr>
              <w:t>80.10%</w:t>
            </w:r>
          </w:p>
        </w:tc>
        <w:tc>
          <w:tcPr>
            <w:tcW w:type="dxa" w:w="1296"/>
            <w:vAlign w:val="center"/>
            <w:shd w:fill="F3F6FA"/>
          </w:tcPr>
          <w:p>
            <w:pPr>
              <w:spacing w:after="20"/>
            </w:pPr>
            <w:r/>
            <w:r>
              <w:rPr>
                <w:rFonts w:ascii="Calibri" w:hAnsi="Calibri"/>
                <w:b w:val="0"/>
                <w:color w:val="243247"/>
                <w:sz w:val="16"/>
              </w:rPr>
              <w:t>78.07%</w:t>
            </w:r>
          </w:p>
        </w:tc>
        <w:tc>
          <w:tcPr>
            <w:tcW w:type="dxa" w:w="1512"/>
            <w:vAlign w:val="center"/>
            <w:shd w:fill="F3F6FA"/>
          </w:tcPr>
          <w:p>
            <w:pPr>
              <w:spacing w:after="20"/>
            </w:pPr>
            <w:r/>
            <w:r>
              <w:rPr>
                <w:rFonts w:ascii="Calibri" w:hAnsi="Calibri"/>
                <w:b w:val="0"/>
                <w:color w:val="243247"/>
                <w:sz w:val="16"/>
              </w:rPr>
              <w:t>80.05%</w:t>
            </w:r>
          </w:p>
        </w:tc>
        <w:tc>
          <w:tcPr>
            <w:tcW w:type="dxa" w:w="1440"/>
            <w:vAlign w:val="center"/>
            <w:shd w:fill="F3F6FA"/>
          </w:tcPr>
          <w:p>
            <w:pPr>
              <w:spacing w:after="20"/>
            </w:pPr>
            <w:r/>
            <w:r>
              <w:rPr>
                <w:rFonts w:ascii="Calibri" w:hAnsi="Calibri"/>
                <w:b w:val="0"/>
                <w:color w:val="243247"/>
                <w:sz w:val="16"/>
              </w:rPr>
              <w:t>0.9591</w:t>
            </w:r>
          </w:p>
        </w:tc>
        <w:tc>
          <w:tcPr>
            <w:tcW w:type="dxa" w:w="1656"/>
            <w:vAlign w:val="center"/>
            <w:shd w:fill="F3F6FA"/>
          </w:tcPr>
          <w:p>
            <w:pPr>
              <w:spacing w:after="20"/>
            </w:pPr>
            <w:r/>
            <w:r>
              <w:rPr>
                <w:rFonts w:ascii="Calibri" w:hAnsi="Calibri"/>
                <w:b w:val="0"/>
                <w:color w:val="243247"/>
                <w:sz w:val="16"/>
              </w:rPr>
              <w:t>Runner-up</w:t>
            </w:r>
          </w:p>
        </w:tc>
      </w:tr>
      <w:tr>
        <w:tc>
          <w:tcPr>
            <w:tcW w:type="dxa" w:w="2088"/>
            <w:vAlign w:val="center"/>
          </w:tcPr>
          <w:p>
            <w:pPr>
              <w:spacing w:after="20"/>
            </w:pPr>
            <w:r/>
            <w:r>
              <w:rPr>
                <w:rFonts w:ascii="Calibri" w:hAnsi="Calibri"/>
                <w:b w:val="0"/>
                <w:color w:val="243247"/>
                <w:sz w:val="16"/>
              </w:rPr>
              <w:t>KNN</w:t>
            </w:r>
          </w:p>
        </w:tc>
        <w:tc>
          <w:tcPr>
            <w:tcW w:type="dxa" w:w="1440"/>
            <w:vAlign w:val="center"/>
          </w:tcPr>
          <w:p>
            <w:pPr>
              <w:spacing w:after="20"/>
            </w:pPr>
            <w:r/>
            <w:r>
              <w:rPr>
                <w:rFonts w:ascii="Calibri" w:hAnsi="Calibri"/>
                <w:b w:val="0"/>
                <w:color w:val="243247"/>
                <w:sz w:val="16"/>
              </w:rPr>
              <w:t>79.59%</w:t>
            </w:r>
          </w:p>
        </w:tc>
        <w:tc>
          <w:tcPr>
            <w:tcW w:type="dxa" w:w="1296"/>
            <w:vAlign w:val="center"/>
          </w:tcPr>
          <w:p>
            <w:pPr>
              <w:spacing w:after="20"/>
            </w:pPr>
            <w:r/>
            <w:r>
              <w:rPr>
                <w:rFonts w:ascii="Calibri" w:hAnsi="Calibri"/>
                <w:b w:val="0"/>
                <w:color w:val="243247"/>
                <w:sz w:val="16"/>
              </w:rPr>
              <w:t>76.38%</w:t>
            </w:r>
          </w:p>
        </w:tc>
        <w:tc>
          <w:tcPr>
            <w:tcW w:type="dxa" w:w="1512"/>
            <w:vAlign w:val="center"/>
          </w:tcPr>
          <w:p>
            <w:pPr>
              <w:spacing w:after="20"/>
            </w:pPr>
            <w:r/>
            <w:r>
              <w:rPr>
                <w:rFonts w:ascii="Calibri" w:hAnsi="Calibri"/>
                <w:b w:val="0"/>
                <w:color w:val="243247"/>
                <w:sz w:val="16"/>
              </w:rPr>
              <w:t>79.50%</w:t>
            </w:r>
          </w:p>
        </w:tc>
        <w:tc>
          <w:tcPr>
            <w:tcW w:type="dxa" w:w="1440"/>
            <w:vAlign w:val="center"/>
          </w:tcPr>
          <w:p>
            <w:pPr>
              <w:spacing w:after="20"/>
            </w:pPr>
            <w:r/>
            <w:r>
              <w:rPr>
                <w:rFonts w:ascii="Calibri" w:hAnsi="Calibri"/>
                <w:b w:val="0"/>
                <w:color w:val="243247"/>
                <w:sz w:val="16"/>
              </w:rPr>
              <w:t>0.9517</w:t>
            </w:r>
          </w:p>
        </w:tc>
        <w:tc>
          <w:tcPr>
            <w:tcW w:type="dxa" w:w="1656"/>
            <w:vAlign w:val="center"/>
          </w:tcPr>
          <w:p>
            <w:pPr>
              <w:spacing w:after="20"/>
            </w:pPr>
            <w:r/>
            <w:r>
              <w:rPr>
                <w:rFonts w:ascii="Calibri" w:hAnsi="Calibri"/>
                <w:b w:val="0"/>
                <w:color w:val="243247"/>
                <w:sz w:val="16"/>
              </w:rPr>
              <w:t>Tuned baseline</w:t>
            </w:r>
          </w:p>
        </w:tc>
      </w:tr>
      <w:tr>
        <w:tc>
          <w:tcPr>
            <w:tcW w:type="dxa" w:w="2088"/>
            <w:vAlign w:val="center"/>
            <w:shd w:fill="F3F6FA"/>
          </w:tcPr>
          <w:p>
            <w:pPr>
              <w:spacing w:after="20"/>
            </w:pPr>
            <w:r/>
            <w:r>
              <w:rPr>
                <w:rFonts w:ascii="Calibri" w:hAnsi="Calibri"/>
                <w:b w:val="0"/>
                <w:color w:val="243247"/>
                <w:sz w:val="16"/>
              </w:rPr>
              <w:t>Logistic Regression</w:t>
            </w:r>
          </w:p>
        </w:tc>
        <w:tc>
          <w:tcPr>
            <w:tcW w:type="dxa" w:w="1440"/>
            <w:vAlign w:val="center"/>
            <w:shd w:fill="F3F6FA"/>
          </w:tcPr>
          <w:p>
            <w:pPr>
              <w:spacing w:after="20"/>
            </w:pPr>
            <w:r/>
            <w:r>
              <w:rPr>
                <w:rFonts w:ascii="Calibri" w:hAnsi="Calibri"/>
                <w:b w:val="0"/>
                <w:color w:val="243247"/>
                <w:sz w:val="16"/>
              </w:rPr>
              <w:t>78.57%</w:t>
            </w:r>
          </w:p>
        </w:tc>
        <w:tc>
          <w:tcPr>
            <w:tcW w:type="dxa" w:w="1296"/>
            <w:vAlign w:val="center"/>
            <w:shd w:fill="F3F6FA"/>
          </w:tcPr>
          <w:p>
            <w:pPr>
              <w:spacing w:after="20"/>
            </w:pPr>
            <w:r/>
            <w:r>
              <w:rPr>
                <w:rFonts w:ascii="Calibri" w:hAnsi="Calibri"/>
                <w:b w:val="0"/>
                <w:color w:val="243247"/>
                <w:sz w:val="16"/>
              </w:rPr>
              <w:t>76.39%</w:t>
            </w:r>
          </w:p>
        </w:tc>
        <w:tc>
          <w:tcPr>
            <w:tcW w:type="dxa" w:w="1512"/>
            <w:vAlign w:val="center"/>
            <w:shd w:fill="F3F6FA"/>
          </w:tcPr>
          <w:p>
            <w:pPr>
              <w:spacing w:after="20"/>
            </w:pPr>
            <w:r/>
            <w:r>
              <w:rPr>
                <w:rFonts w:ascii="Calibri" w:hAnsi="Calibri"/>
                <w:b w:val="0"/>
                <w:color w:val="243247"/>
                <w:sz w:val="16"/>
              </w:rPr>
              <w:t>78.57%</w:t>
            </w:r>
          </w:p>
        </w:tc>
        <w:tc>
          <w:tcPr>
            <w:tcW w:type="dxa" w:w="1440"/>
            <w:vAlign w:val="center"/>
            <w:shd w:fill="F3F6FA"/>
          </w:tcPr>
          <w:p>
            <w:pPr>
              <w:spacing w:after="20"/>
            </w:pPr>
            <w:r/>
            <w:r>
              <w:rPr>
                <w:rFonts w:ascii="Calibri" w:hAnsi="Calibri"/>
                <w:b w:val="0"/>
                <w:color w:val="243247"/>
                <w:sz w:val="16"/>
              </w:rPr>
              <w:t>0.9451</w:t>
            </w:r>
          </w:p>
        </w:tc>
        <w:tc>
          <w:tcPr>
            <w:tcW w:type="dxa" w:w="1656"/>
            <w:vAlign w:val="center"/>
            <w:shd w:fill="F3F6FA"/>
          </w:tcPr>
          <w:p>
            <w:pPr>
              <w:spacing w:after="20"/>
            </w:pPr>
            <w:r/>
            <w:r>
              <w:rPr>
                <w:rFonts w:ascii="Calibri" w:hAnsi="Calibri"/>
                <w:b w:val="0"/>
                <w:color w:val="243247"/>
                <w:sz w:val="16"/>
              </w:rPr>
              <w:t>Linear baseline</w:t>
            </w:r>
          </w:p>
        </w:tc>
      </w:tr>
    </w:tbl>
    <w:p>
      <w:pPr>
        <w:spacing w:after="0"/>
      </w:pPr>
    </w:p>
    <w:p>
      <w:pPr>
        <w:spacing w:after="120"/>
      </w:pPr>
      <w:r>
        <w:rPr>
          <w:i w:val="0"/>
        </w:rPr>
        <w:t>Source: project output `ml/outputs/05_tuning_summary.md`. Model comparison uses the same reported held-out test set. Percentages are rounded as in the project reports.</w:t>
      </w:r>
    </w:p>
    <w:p>
      <w:pPr>
        <w:jc w:val="center"/>
      </w:pPr>
      <w:r>
        <w:drawing>
          <wp:inline xmlns:a="http://schemas.openxmlformats.org/drawingml/2006/main" xmlns:pic="http://schemas.openxmlformats.org/drawingml/2006/picture">
            <wp:extent cx="5669280" cy="2616591"/>
            <wp:docPr id="2" name="Picture 2"/>
            <wp:cNvGraphicFramePr>
              <a:graphicFrameLocks noChangeAspect="1"/>
            </wp:cNvGraphicFramePr>
            <a:graphic>
              <a:graphicData uri="http://schemas.openxmlformats.org/drawingml/2006/picture">
                <pic:pic>
                  <pic:nvPicPr>
                    <pic:cNvPr id="0" name="03_hyperparameter_tuning_comparison.png"/>
                    <pic:cNvPicPr/>
                  </pic:nvPicPr>
                  <pic:blipFill>
                    <a:blip r:embed="rId12"/>
                    <a:stretch>
                      <a:fillRect/>
                    </a:stretch>
                  </pic:blipFill>
                  <pic:spPr>
                    <a:xfrm>
                      <a:off x="0" y="0"/>
                      <a:ext cx="5669280" cy="2616591"/>
                    </a:xfrm>
                    <a:prstGeom prst="rect"/>
                  </pic:spPr>
                </pic:pic>
              </a:graphicData>
            </a:graphic>
          </wp:inline>
        </w:drawing>
      </w:r>
    </w:p>
    <w:p>
      <w:pPr>
        <w:spacing w:before="40" w:after="160"/>
        <w:jc w:val="center"/>
      </w:pPr>
      <w:r>
        <w:rPr>
          <w:i/>
          <w:color w:val="65758B"/>
          <w:sz w:val="18"/>
        </w:rPr>
        <w:t>Figure 2. Baseline versus tuned test accuracy and Macro F1 across the four project models.</w:t>
      </w:r>
    </w:p>
    <w:p>
      <w:pPr>
        <w:pStyle w:val="Heading2"/>
        <w:keepNext/>
      </w:pPr>
      <w:r>
        <w:t>5.4 Discussion and selected model</w:t>
      </w:r>
    </w:p>
    <w:p>
      <w:pPr>
        <w:spacing w:after="120"/>
      </w:pPr>
      <w:r>
        <w:rPr>
          <w:i w:val="0"/>
        </w:rPr>
        <w:t>Random Forest is the selected model because it has the highest reported test accuracy (82.65%), Macro F1 (79.96%), Weighted F1 (82.39%), and multiclass ROC-AUC (0.9613) among the tuned candidates. The result is consistent with its ability to model nonlinear thresholds and interactions among hardware features. The margin over SVM is moderate, so the conclusion is specific to this dataset, feature pipeline, and split—not a universal claim that Random Forest is always superior.</w:t>
      </w:r>
    </w:p>
    <w:p>
      <w:pPr>
        <w:spacing w:after="120"/>
      </w:pPr>
      <w:r>
        <w:rPr>
          <w:i w:val="0"/>
        </w:rPr>
        <w:t>The tuned Random Forest classification report gives Premium recall of 55.56% (15 of 27 Premium phones correctly found), compared with 80.60% for Budget, 91.43% for Mid-Range, and 90.62% for Flagship. Premium is the smallest category, and overlap near price boundaries likely contributes to errors. This is why Macro F1 and class-level recall are important alongside accuracy.</w:t>
      </w:r>
    </w:p>
    <w:p>
      <w:pPr>
        <w:pStyle w:val="Heading3"/>
      </w:pPr>
      <w:r>
        <w:t>Random Forest class-level test performance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7365D"/>
          </w:tcPr>
          <w:p>
            <w:r>
              <w:rPr>
                <w:b/>
                <w:color w:val="FFFFFF"/>
                <w:sz w:val="17"/>
              </w:rPr>
              <w:t>Price tier</w:t>
            </w:r>
          </w:p>
        </w:tc>
        <w:tc>
          <w:tcPr>
            <w:tcW w:type="dxa" w:w="1999"/>
            <w:shd w:fill="17365D"/>
          </w:tcPr>
          <w:p>
            <w:r>
              <w:rPr>
                <w:b/>
                <w:color w:val="FFFFFF"/>
                <w:sz w:val="17"/>
              </w:rPr>
              <w:t>Precision</w:t>
            </w:r>
          </w:p>
        </w:tc>
        <w:tc>
          <w:tcPr>
            <w:tcW w:type="dxa" w:w="1999"/>
            <w:shd w:fill="17365D"/>
          </w:tcPr>
          <w:p>
            <w:r>
              <w:rPr>
                <w:b/>
                <w:color w:val="FFFFFF"/>
                <w:sz w:val="17"/>
              </w:rPr>
              <w:t>Recall</w:t>
            </w:r>
          </w:p>
        </w:tc>
        <w:tc>
          <w:tcPr>
            <w:tcW w:type="dxa" w:w="1999"/>
            <w:shd w:fill="17365D"/>
          </w:tcPr>
          <w:p>
            <w:r>
              <w:rPr>
                <w:b/>
                <w:color w:val="FFFFFF"/>
                <w:sz w:val="17"/>
              </w:rPr>
              <w:t>F1-score</w:t>
            </w:r>
          </w:p>
        </w:tc>
        <w:tc>
          <w:tcPr>
            <w:tcW w:type="dxa" w:w="1999"/>
            <w:shd w:fill="17365D"/>
          </w:tcPr>
          <w:p>
            <w:r>
              <w:rPr>
                <w:b/>
                <w:color w:val="FFFFFF"/>
                <w:sz w:val="17"/>
              </w:rPr>
              <w:t>Test support</w:t>
            </w:r>
          </w:p>
        </w:tc>
      </w:tr>
      <w:tr>
        <w:tc>
          <w:tcPr>
            <w:tcW w:type="dxa" w:w="1999"/>
          </w:tcPr>
          <w:p>
            <w:r>
              <w:rPr>
                <w:sz w:val="17"/>
              </w:rPr>
              <w:t>Budget</w:t>
            </w:r>
          </w:p>
        </w:tc>
        <w:tc>
          <w:tcPr>
            <w:tcW w:type="dxa" w:w="1999"/>
          </w:tcPr>
          <w:p>
            <w:r>
              <w:rPr>
                <w:sz w:val="17"/>
              </w:rPr>
              <w:t>0.9474</w:t>
            </w:r>
          </w:p>
        </w:tc>
        <w:tc>
          <w:tcPr>
            <w:tcW w:type="dxa" w:w="1999"/>
          </w:tcPr>
          <w:p>
            <w:r>
              <w:rPr>
                <w:sz w:val="17"/>
              </w:rPr>
              <w:t>0.8060</w:t>
            </w:r>
          </w:p>
        </w:tc>
        <w:tc>
          <w:tcPr>
            <w:tcW w:type="dxa" w:w="1999"/>
          </w:tcPr>
          <w:p>
            <w:r>
              <w:rPr>
                <w:sz w:val="17"/>
              </w:rPr>
              <w:t>0.8710</w:t>
            </w:r>
          </w:p>
        </w:tc>
        <w:tc>
          <w:tcPr>
            <w:tcW w:type="dxa" w:w="1999"/>
          </w:tcPr>
          <w:p>
            <w:r>
              <w:rPr>
                <w:sz w:val="17"/>
              </w:rPr>
              <w:t>67</w:t>
            </w:r>
          </w:p>
        </w:tc>
      </w:tr>
      <w:tr>
        <w:tc>
          <w:tcPr>
            <w:tcW w:type="dxa" w:w="1999"/>
          </w:tcPr>
          <w:p>
            <w:r>
              <w:rPr>
                <w:sz w:val="17"/>
              </w:rPr>
              <w:t>Mid-Range</w:t>
            </w:r>
          </w:p>
        </w:tc>
        <w:tc>
          <w:tcPr>
            <w:tcW w:type="dxa" w:w="1999"/>
          </w:tcPr>
          <w:p>
            <w:r>
              <w:rPr>
                <w:sz w:val="17"/>
              </w:rPr>
              <w:t>0.7711</w:t>
            </w:r>
          </w:p>
        </w:tc>
        <w:tc>
          <w:tcPr>
            <w:tcW w:type="dxa" w:w="1999"/>
          </w:tcPr>
          <w:p>
            <w:r>
              <w:rPr>
                <w:sz w:val="17"/>
              </w:rPr>
              <w:t>0.9143</w:t>
            </w:r>
          </w:p>
        </w:tc>
        <w:tc>
          <w:tcPr>
            <w:tcW w:type="dxa" w:w="1999"/>
          </w:tcPr>
          <w:p>
            <w:r>
              <w:rPr>
                <w:sz w:val="17"/>
              </w:rPr>
              <w:t>0.8366</w:t>
            </w:r>
          </w:p>
        </w:tc>
        <w:tc>
          <w:tcPr>
            <w:tcW w:type="dxa" w:w="1999"/>
          </w:tcPr>
          <w:p>
            <w:r>
              <w:rPr>
                <w:sz w:val="17"/>
              </w:rPr>
              <w:t>70</w:t>
            </w:r>
          </w:p>
        </w:tc>
      </w:tr>
      <w:tr>
        <w:tc>
          <w:tcPr>
            <w:tcW w:type="dxa" w:w="1999"/>
          </w:tcPr>
          <w:p>
            <w:r>
              <w:rPr>
                <w:sz w:val="17"/>
              </w:rPr>
              <w:t>Premium</w:t>
            </w:r>
          </w:p>
        </w:tc>
        <w:tc>
          <w:tcPr>
            <w:tcW w:type="dxa" w:w="1999"/>
          </w:tcPr>
          <w:p>
            <w:r>
              <w:rPr>
                <w:sz w:val="17"/>
              </w:rPr>
              <w:t>0.7143</w:t>
            </w:r>
          </w:p>
        </w:tc>
        <w:tc>
          <w:tcPr>
            <w:tcW w:type="dxa" w:w="1999"/>
          </w:tcPr>
          <w:p>
            <w:r>
              <w:rPr>
                <w:sz w:val="17"/>
              </w:rPr>
              <w:t>0.5556</w:t>
            </w:r>
          </w:p>
        </w:tc>
        <w:tc>
          <w:tcPr>
            <w:tcW w:type="dxa" w:w="1999"/>
          </w:tcPr>
          <w:p>
            <w:r>
              <w:rPr>
                <w:sz w:val="17"/>
              </w:rPr>
              <w:t>0.6250</w:t>
            </w:r>
          </w:p>
        </w:tc>
        <w:tc>
          <w:tcPr>
            <w:tcW w:type="dxa" w:w="1999"/>
          </w:tcPr>
          <w:p>
            <w:r>
              <w:rPr>
                <w:sz w:val="17"/>
              </w:rPr>
              <w:t>27</w:t>
            </w:r>
          </w:p>
        </w:tc>
      </w:tr>
      <w:tr>
        <w:tc>
          <w:tcPr>
            <w:tcW w:type="dxa" w:w="1999"/>
          </w:tcPr>
          <w:p>
            <w:r>
              <w:rPr>
                <w:sz w:val="17"/>
              </w:rPr>
              <w:t>Flagship</w:t>
            </w:r>
          </w:p>
        </w:tc>
        <w:tc>
          <w:tcPr>
            <w:tcW w:type="dxa" w:w="1999"/>
          </w:tcPr>
          <w:p>
            <w:r>
              <w:rPr>
                <w:sz w:val="17"/>
              </w:rPr>
              <w:t>0.8286</w:t>
            </w:r>
          </w:p>
        </w:tc>
        <w:tc>
          <w:tcPr>
            <w:tcW w:type="dxa" w:w="1999"/>
          </w:tcPr>
          <w:p>
            <w:r>
              <w:rPr>
                <w:sz w:val="17"/>
              </w:rPr>
              <w:t>0.9062</w:t>
            </w:r>
          </w:p>
        </w:tc>
        <w:tc>
          <w:tcPr>
            <w:tcW w:type="dxa" w:w="1999"/>
          </w:tcPr>
          <w:p>
            <w:r>
              <w:rPr>
                <w:sz w:val="17"/>
              </w:rPr>
              <w:t>0.8657</w:t>
            </w:r>
          </w:p>
        </w:tc>
        <w:tc>
          <w:tcPr>
            <w:tcW w:type="dxa" w:w="1999"/>
          </w:tcPr>
          <w:p>
            <w:r>
              <w:rPr>
                <w:sz w:val="17"/>
              </w:rPr>
              <w:t>32</w:t>
            </w:r>
          </w:p>
        </w:tc>
      </w:tr>
    </w:tbl>
    <w:p>
      <w:pPr>
        <w:jc w:val="center"/>
      </w:pPr>
      <w:r>
        <w:drawing>
          <wp:inline xmlns:a="http://schemas.openxmlformats.org/drawingml/2006/main" xmlns:pic="http://schemas.openxmlformats.org/drawingml/2006/picture">
            <wp:extent cx="5852160" cy="5016137"/>
            <wp:docPr id="3" name="Picture 3"/>
            <wp:cNvGraphicFramePr>
              <a:graphicFrameLocks noChangeAspect="1"/>
            </wp:cNvGraphicFramePr>
            <a:graphic>
              <a:graphicData uri="http://schemas.openxmlformats.org/drawingml/2006/picture">
                <pic:pic>
                  <pic:nvPicPr>
                    <pic:cNvPr id="0" name="04_tuned_confusion_matrices.png"/>
                    <pic:cNvPicPr/>
                  </pic:nvPicPr>
                  <pic:blipFill>
                    <a:blip r:embed="rId13"/>
                    <a:stretch>
                      <a:fillRect/>
                    </a:stretch>
                  </pic:blipFill>
                  <pic:spPr>
                    <a:xfrm>
                      <a:off x="0" y="0"/>
                      <a:ext cx="5852160" cy="5016137"/>
                    </a:xfrm>
                    <a:prstGeom prst="rect"/>
                  </pic:spPr>
                </pic:pic>
              </a:graphicData>
            </a:graphic>
          </wp:inline>
        </w:drawing>
      </w:r>
    </w:p>
    <w:p>
      <w:pPr>
        <w:spacing w:before="40" w:after="160"/>
        <w:jc w:val="center"/>
      </w:pPr>
      <w:r>
        <w:rPr>
          <w:i/>
          <w:color w:val="65758B"/>
          <w:sz w:val="18"/>
        </w:rPr>
        <w:t>Figure 3. Test-set confusion matrices for all four tuned classifiers (rows: true tier; columns: predicted tier).</w:t>
      </w:r>
    </w:p>
    <w:p>
      <w:pPr>
        <w:pStyle w:val="Heading2"/>
        <w:keepNext/>
      </w:pPr>
      <w:r>
        <w:t>5.5 Feature importance</w:t>
      </w:r>
    </w:p>
    <w:p>
      <w:pPr>
        <w:spacing w:after="120"/>
      </w:pPr>
      <w:r>
        <w:rPr>
          <w:i w:val="0"/>
        </w:rPr>
        <w:t>Permutation importance ranks a feature by the decrease in test Macro F1 after shuffling its values. The project reports performance_score as the largest permutation importance (mean decrease 0.0369), followed by processor_speed (0.0298), RAM (0.0242), and rating (0.0242). These are model reliance indicators, not causal effects. Tree impurity importance and permutation importance can rank variables differently because they measure different properties.</w:t>
      </w:r>
    </w:p>
    <w:p>
      <w:pPr>
        <w:jc w:val="center"/>
      </w:pPr>
      <w:r>
        <w:drawing>
          <wp:inline xmlns:a="http://schemas.openxmlformats.org/drawingml/2006/main" xmlns:pic="http://schemas.openxmlformats.org/drawingml/2006/picture">
            <wp:extent cx="5806440" cy="2540318"/>
            <wp:docPr id="4" name="Picture 4"/>
            <wp:cNvGraphicFramePr>
              <a:graphicFrameLocks noChangeAspect="1"/>
            </wp:cNvGraphicFramePr>
            <a:graphic>
              <a:graphicData uri="http://schemas.openxmlformats.org/drawingml/2006/picture">
                <pic:pic>
                  <pic:nvPicPr>
                    <pic:cNvPr id="0" name="09_random_forest_feature_importance.png"/>
                    <pic:cNvPicPr/>
                  </pic:nvPicPr>
                  <pic:blipFill>
                    <a:blip r:embed="rId14"/>
                    <a:stretch>
                      <a:fillRect/>
                    </a:stretch>
                  </pic:blipFill>
                  <pic:spPr>
                    <a:xfrm>
                      <a:off x="0" y="0"/>
                      <a:ext cx="5806440" cy="2540318"/>
                    </a:xfrm>
                    <a:prstGeom prst="rect"/>
                  </pic:spPr>
                </pic:pic>
              </a:graphicData>
            </a:graphic>
          </wp:inline>
        </w:drawing>
      </w:r>
    </w:p>
    <w:p>
      <w:pPr>
        <w:spacing w:before="40" w:after="160"/>
        <w:jc w:val="center"/>
      </w:pPr>
      <w:r>
        <w:rPr>
          <w:i/>
          <w:color w:val="65758B"/>
          <w:sz w:val="18"/>
        </w:rPr>
        <w:t>Figure 4. Random Forest permutation importance on the test set and tree impurity importance.</w:t>
      </w:r>
    </w:p>
    <w:p>
      <w:pPr>
        <w:pStyle w:val="Heading1"/>
        <w:keepNext/>
      </w:pPr>
      <w:r>
        <w:t>6. State-of-the-Art Models Comparison</w:t>
      </w:r>
    </w:p>
    <w:p>
      <w:pPr>
        <w:pStyle w:val="Heading2"/>
        <w:keepNext/>
      </w:pPr>
      <w:r>
        <w:t>6.1 Tuning configurations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vAlign w:val="center"/>
            <w:shd w:fill="17365D"/>
          </w:tcPr>
          <w:p>
            <w:pPr>
              <w:spacing w:after="20"/>
            </w:pPr>
            <w:r/>
            <w:r>
              <w:rPr>
                <w:rFonts w:ascii="Calibri" w:hAnsi="Calibri"/>
                <w:b/>
                <w:color w:val="FFFFFF"/>
                <w:sz w:val="16"/>
              </w:rPr>
              <w:t>Model</w:t>
            </w:r>
          </w:p>
        </w:tc>
        <w:tc>
          <w:tcPr>
            <w:tcW w:type="dxa" w:w="4392"/>
            <w:vAlign w:val="center"/>
            <w:shd w:fill="17365D"/>
          </w:tcPr>
          <w:p>
            <w:pPr>
              <w:spacing w:after="20"/>
            </w:pPr>
            <w:r/>
            <w:r>
              <w:rPr>
                <w:rFonts w:ascii="Calibri" w:hAnsi="Calibri"/>
                <w:b/>
                <w:color w:val="FFFFFF"/>
                <w:sz w:val="16"/>
              </w:rPr>
              <w:t>Selected settings reported by tuning</w:t>
            </w:r>
          </w:p>
        </w:tc>
        <w:tc>
          <w:tcPr>
            <w:tcW w:type="dxa" w:w="3312"/>
            <w:vAlign w:val="center"/>
            <w:shd w:fill="17365D"/>
          </w:tcPr>
          <w:p>
            <w:pPr>
              <w:spacing w:after="20"/>
            </w:pPr>
            <w:r/>
            <w:r>
              <w:rPr>
                <w:rFonts w:ascii="Calibri" w:hAnsi="Calibri"/>
                <w:b/>
                <w:color w:val="FFFFFF"/>
                <w:sz w:val="16"/>
              </w:rPr>
              <w:t>Implication</w:t>
            </w:r>
          </w:p>
        </w:tc>
      </w:tr>
      <w:tr>
        <w:tc>
          <w:tcPr>
            <w:tcW w:type="dxa" w:w="2016"/>
            <w:vAlign w:val="center"/>
          </w:tcPr>
          <w:p>
            <w:pPr>
              <w:spacing w:after="20"/>
            </w:pPr>
            <w:r/>
            <w:r>
              <w:rPr>
                <w:rFonts w:ascii="Calibri" w:hAnsi="Calibri"/>
                <w:b w:val="0"/>
                <w:color w:val="243247"/>
                <w:sz w:val="16"/>
              </w:rPr>
              <w:t>Logistic Regression</w:t>
            </w:r>
          </w:p>
        </w:tc>
        <w:tc>
          <w:tcPr>
            <w:tcW w:type="dxa" w:w="4392"/>
            <w:vAlign w:val="center"/>
          </w:tcPr>
          <w:p>
            <w:pPr>
              <w:spacing w:after="20"/>
            </w:pPr>
            <w:r/>
            <w:r>
              <w:rPr>
                <w:rFonts w:ascii="Calibri" w:hAnsi="Calibri"/>
                <w:b w:val="0"/>
                <w:color w:val="243247"/>
                <w:sz w:val="16"/>
              </w:rPr>
              <w:t>C=5.0; L2; lbfgs</w:t>
            </w:r>
          </w:p>
        </w:tc>
        <w:tc>
          <w:tcPr>
            <w:tcW w:type="dxa" w:w="3312"/>
            <w:vAlign w:val="center"/>
          </w:tcPr>
          <w:p>
            <w:pPr>
              <w:spacing w:after="20"/>
            </w:pPr>
            <w:r/>
            <w:r>
              <w:rPr>
                <w:rFonts w:ascii="Calibri" w:hAnsi="Calibri"/>
                <w:b w:val="0"/>
                <w:color w:val="243247"/>
                <w:sz w:val="16"/>
              </w:rPr>
              <w:t>Regularized linear multiclass decision surface.</w:t>
            </w:r>
          </w:p>
        </w:tc>
      </w:tr>
      <w:tr>
        <w:tc>
          <w:tcPr>
            <w:tcW w:type="dxa" w:w="2016"/>
            <w:vAlign w:val="center"/>
            <w:shd w:fill="F3F6FA"/>
          </w:tcPr>
          <w:p>
            <w:pPr>
              <w:spacing w:after="20"/>
            </w:pPr>
            <w:r/>
            <w:r>
              <w:rPr>
                <w:rFonts w:ascii="Calibri" w:hAnsi="Calibri"/>
                <w:b w:val="0"/>
                <w:color w:val="243247"/>
                <w:sz w:val="16"/>
              </w:rPr>
              <w:t>KNN</w:t>
            </w:r>
          </w:p>
        </w:tc>
        <w:tc>
          <w:tcPr>
            <w:tcW w:type="dxa" w:w="4392"/>
            <w:vAlign w:val="center"/>
            <w:shd w:fill="F3F6FA"/>
          </w:tcPr>
          <w:p>
            <w:pPr>
              <w:spacing w:after="20"/>
            </w:pPr>
            <w:r/>
            <w:r>
              <w:rPr>
                <w:rFonts w:ascii="Calibri" w:hAnsi="Calibri"/>
                <w:b w:val="0"/>
                <w:color w:val="243247"/>
                <w:sz w:val="16"/>
              </w:rPr>
              <w:t>k=19; Manhattan; distance weighting</w:t>
            </w:r>
          </w:p>
        </w:tc>
        <w:tc>
          <w:tcPr>
            <w:tcW w:type="dxa" w:w="3312"/>
            <w:vAlign w:val="center"/>
            <w:shd w:fill="F3F6FA"/>
          </w:tcPr>
          <w:p>
            <w:pPr>
              <w:spacing w:after="20"/>
            </w:pPr>
            <w:r/>
            <w:r>
              <w:rPr>
                <w:rFonts w:ascii="Calibri" w:hAnsi="Calibri"/>
                <w:b w:val="0"/>
                <w:color w:val="243247"/>
                <w:sz w:val="16"/>
              </w:rPr>
              <w:t>Uses local neighbors; nearer records receive more influence.</w:t>
            </w:r>
          </w:p>
        </w:tc>
      </w:tr>
      <w:tr>
        <w:tc>
          <w:tcPr>
            <w:tcW w:type="dxa" w:w="2016"/>
            <w:vAlign w:val="center"/>
          </w:tcPr>
          <w:p>
            <w:pPr>
              <w:spacing w:after="20"/>
            </w:pPr>
            <w:r/>
            <w:r>
              <w:rPr>
                <w:rFonts w:ascii="Calibri" w:hAnsi="Calibri"/>
                <w:b w:val="0"/>
                <w:color w:val="243247"/>
                <w:sz w:val="16"/>
              </w:rPr>
              <w:t>Random Forest</w:t>
            </w:r>
          </w:p>
        </w:tc>
        <w:tc>
          <w:tcPr>
            <w:tcW w:type="dxa" w:w="4392"/>
            <w:vAlign w:val="center"/>
          </w:tcPr>
          <w:p>
            <w:pPr>
              <w:spacing w:after="20"/>
            </w:pPr>
            <w:r/>
            <w:r>
              <w:rPr>
                <w:rFonts w:ascii="Calibri" w:hAnsi="Calibri"/>
                <w:b w:val="0"/>
                <w:color w:val="243247"/>
                <w:sz w:val="16"/>
              </w:rPr>
              <w:t>300 trees; max_depth=15; max_features=log2; min_samples_leaf=1; min_samples_split=2</w:t>
            </w:r>
          </w:p>
        </w:tc>
        <w:tc>
          <w:tcPr>
            <w:tcW w:type="dxa" w:w="3312"/>
            <w:vAlign w:val="center"/>
          </w:tcPr>
          <w:p>
            <w:pPr>
              <w:spacing w:after="20"/>
            </w:pPr>
            <w:r/>
            <w:r>
              <w:rPr>
                <w:rFonts w:ascii="Calibri" w:hAnsi="Calibri"/>
                <w:b w:val="0"/>
                <w:color w:val="243247"/>
                <w:sz w:val="16"/>
              </w:rPr>
              <w:t>Ensemble of bounded-depth nonlinear trees.</w:t>
            </w:r>
          </w:p>
        </w:tc>
      </w:tr>
      <w:tr>
        <w:tc>
          <w:tcPr>
            <w:tcW w:type="dxa" w:w="2016"/>
            <w:vAlign w:val="center"/>
            <w:shd w:fill="F3F6FA"/>
          </w:tcPr>
          <w:p>
            <w:pPr>
              <w:spacing w:after="20"/>
            </w:pPr>
            <w:r/>
            <w:r>
              <w:rPr>
                <w:rFonts w:ascii="Calibri" w:hAnsi="Calibri"/>
                <w:b w:val="0"/>
                <w:color w:val="243247"/>
                <w:sz w:val="16"/>
              </w:rPr>
              <w:t>SVM (RBF)</w:t>
            </w:r>
          </w:p>
        </w:tc>
        <w:tc>
          <w:tcPr>
            <w:tcW w:type="dxa" w:w="4392"/>
            <w:vAlign w:val="center"/>
            <w:shd w:fill="F3F6FA"/>
          </w:tcPr>
          <w:p>
            <w:pPr>
              <w:spacing w:after="20"/>
            </w:pPr>
            <w:r/>
            <w:r>
              <w:rPr>
                <w:rFonts w:ascii="Calibri" w:hAnsi="Calibri"/>
                <w:b w:val="0"/>
                <w:color w:val="243247"/>
                <w:sz w:val="16"/>
              </w:rPr>
              <w:t>C=5.0; gamma=auto; RBF kernel</w:t>
            </w:r>
          </w:p>
        </w:tc>
        <w:tc>
          <w:tcPr>
            <w:tcW w:type="dxa" w:w="3312"/>
            <w:vAlign w:val="center"/>
            <w:shd w:fill="F3F6FA"/>
          </w:tcPr>
          <w:p>
            <w:pPr>
              <w:spacing w:after="20"/>
            </w:pPr>
            <w:r/>
            <w:r>
              <w:rPr>
                <w:rFonts w:ascii="Calibri" w:hAnsi="Calibri"/>
                <w:b w:val="0"/>
                <w:color w:val="243247"/>
                <w:sz w:val="16"/>
              </w:rPr>
              <w:t>Nonlinear maximum-margin classification.</w:t>
            </w:r>
          </w:p>
        </w:tc>
      </w:tr>
    </w:tbl>
    <w:p>
      <w:pPr>
        <w:spacing w:after="0"/>
      </w:pPr>
    </w:p>
    <w:p>
      <w:pPr>
        <w:pStyle w:val="Heading2"/>
        <w:keepNext/>
      </w:pPr>
      <w:r>
        <w:t>6.2 Comparative interpretation</w:t>
      </w:r>
    </w:p>
    <w:p>
      <w:pPr>
        <w:pStyle w:val="ListBullet"/>
        <w:spacing w:after="60"/>
      </w:pPr>
      <w:r>
        <w:t>Random Forest leads the reported held-out comparison and handles feature interactions without requiring a linear boundary.</w:t>
      </w:r>
    </w:p>
    <w:p>
      <w:pPr>
        <w:pStyle w:val="ListBullet"/>
        <w:spacing w:after="60"/>
      </w:pPr>
      <w:r>
        <w:t>SVM is a close second: its 80.10% accuracy and 0.9591 ROC-AUC indicate strong class separation, but its Macro F1 is 1.89 percentage points below Random Forest.</w:t>
      </w:r>
    </w:p>
    <w:p>
      <w:pPr>
        <w:pStyle w:val="ListBullet"/>
        <w:spacing w:after="60"/>
      </w:pPr>
      <w:r>
        <w:t>KNN reaches 79.59% accuracy after tuning. It is sensitive to distance definition and feature scaling in a 62-column encoded feature space.</w:t>
      </w:r>
    </w:p>
    <w:p>
      <w:pPr>
        <w:pStyle w:val="ListBullet"/>
        <w:spacing w:after="60"/>
      </w:pPr>
      <w:r>
        <w:t>Logistic Regression provides a compact, interpretable baseline. Its 78.57% accuracy is lower, but its model coefficients provide directional associations.</w:t>
      </w:r>
    </w:p>
    <w:p>
      <w:pPr>
        <w:pStyle w:val="ListBullet"/>
        <w:spacing w:after="60"/>
      </w:pPr>
      <w:r>
        <w:t>A high ROC-AUC does not guarantee high recall at a particular class decision threshold; class-specific confusion matrices should be examined as well.</w:t>
      </w:r>
    </w:p>
    <w:p>
      <w:pPr>
        <w:pStyle w:val="Heading2"/>
        <w:keepNext/>
      </w:pPr>
      <w:r>
        <w:t>6.3 Validation and reporting caveat</w:t>
      </w:r>
    </w:p>
    <w:p>
      <w:pPr>
        <w:spacing w:after="120"/>
      </w:pPr>
      <w:r>
        <w:rPr>
          <w:i w:val="0"/>
        </w:rPr>
        <w:t>The project files contain small inconsistencies between summary artifacts (for example, alternate cross-validation and ROC-AUC values in the README, Phase 5 tuning summary, and Phase 6 evaluation summary). The comparison table in this report uses the single Phase 5 tuned-results summary for test accuracy, F1, and ROC-AUC. Cross-validation scores are not mixed into the main test table. Before a formal defense, regenerate all reports from one pipeline run and synchronize the README and JSON/Markdown summaries.</w:t>
      </w:r>
    </w:p>
    <w:p>
      <w:pPr>
        <w:spacing w:after="120"/>
      </w:pPr>
      <w:r>
        <w:rPr>
          <w:i w:val="0"/>
        </w:rPr>
        <w:t>A second methodological caveat is that category-frequency grouping is computed during dataset cleaning before the train/test split, and the saved transformed training matrix is then used for cross-validation. The held-out test partition is not used to fit the imputer, scaler, or encoder, but fold-specific preprocessing is not fully refitted inside each cross-validation fold. A stricter follow-up should place all feature cleaning, grouping, imputation, scaling, encoding, and estimator steps inside a scikit-learn Pipeline evaluated within each fold.</w:t>
      </w:r>
    </w:p>
    <w:p>
      <w:pPr>
        <w:pStyle w:val="Heading1"/>
        <w:keepNext/>
      </w:pPr>
      <w:r>
        <w:t>7. User Interface Development and Deployment</w:t>
      </w:r>
    </w:p>
    <w:p>
      <w:pPr>
        <w:pStyle w:val="Heading2"/>
        <w:keepNext/>
      </w:pPr>
      <w:r>
        <w:t>7.1 Frontend</w:t>
      </w:r>
    </w:p>
    <w:p>
      <w:pPr>
        <w:spacing w:after="120"/>
      </w:pPr>
      <w:r>
        <w:rPr>
          <w:i w:val="0"/>
        </w:rPr>
        <w:t>The frontend is a React and TypeScript single-page application built with Vite. `App.tsx` composes the dashboard, prediction form, model benchmarking, dataset analytics, sidebar, header, and mobile navigation. `api.ts` centralizes typed calls to the backend and includes example device presets. The interface presents a prediction workflow and exposes benchmark and dataset views.</w:t>
      </w:r>
    </w:p>
    <w:p>
      <w:pPr>
        <w:pStyle w:val="Heading2"/>
        <w:keepNext/>
      </w:pPr>
      <w:r>
        <w:t>7.2 Backend and inference</w:t>
      </w:r>
    </w:p>
    <w:p>
      <w:pPr>
        <w:spacing w:after="120"/>
      </w:pPr>
      <w:r>
        <w:rPr>
          <w:i w:val="0"/>
        </w:rPr>
        <w:t>FastAPI provides the REST interface and Pydantic request/response schemas. At application startup, `backend/app/main.py` loads the saved inference engine. `predictor.py` normalizes Boolean and category values, derives resolution and interaction features, transforms the request with the saved preprocessor, and calls the selected classifier. Responses include the predicted tier, estimated tier range, class scores, and engineered-feature summary.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528"/>
            <w:vAlign w:val="center"/>
            <w:shd w:fill="17365D"/>
          </w:tcPr>
          <w:p>
            <w:pPr>
              <w:spacing w:after="20"/>
            </w:pPr>
            <w:r/>
            <w:r>
              <w:rPr>
                <w:rFonts w:ascii="Calibri" w:hAnsi="Calibri"/>
                <w:b/>
                <w:color w:val="FFFFFF"/>
                <w:sz w:val="17"/>
              </w:rPr>
              <w:t>Endpoint</w:t>
            </w:r>
          </w:p>
        </w:tc>
        <w:tc>
          <w:tcPr>
            <w:tcW w:type="dxa" w:w="6192"/>
            <w:vAlign w:val="center"/>
            <w:shd w:fill="17365D"/>
          </w:tcPr>
          <w:p>
            <w:pPr>
              <w:spacing w:after="20"/>
            </w:pPr>
            <w:r/>
            <w:r>
              <w:rPr>
                <w:rFonts w:ascii="Calibri" w:hAnsi="Calibri"/>
                <w:b/>
                <w:color w:val="FFFFFF"/>
                <w:sz w:val="17"/>
              </w:rPr>
              <w:t>Purpose</w:t>
            </w:r>
          </w:p>
        </w:tc>
      </w:tr>
      <w:tr>
        <w:tc>
          <w:tcPr>
            <w:tcW w:type="dxa" w:w="3528"/>
            <w:vAlign w:val="center"/>
          </w:tcPr>
          <w:p>
            <w:pPr>
              <w:spacing w:after="20"/>
            </w:pPr>
            <w:r/>
            <w:r>
              <w:rPr>
                <w:rFonts w:ascii="Calibri" w:hAnsi="Calibri"/>
                <w:b w:val="0"/>
                <w:color w:val="243247"/>
                <w:sz w:val="17"/>
              </w:rPr>
              <w:t>GET /api/health</w:t>
            </w:r>
          </w:p>
        </w:tc>
        <w:tc>
          <w:tcPr>
            <w:tcW w:type="dxa" w:w="6192"/>
            <w:vAlign w:val="center"/>
          </w:tcPr>
          <w:p>
            <w:pPr>
              <w:spacing w:after="20"/>
            </w:pPr>
            <w:r/>
            <w:r>
              <w:rPr>
                <w:rFonts w:ascii="Calibri" w:hAnsi="Calibri"/>
                <w:b w:val="0"/>
                <w:color w:val="243247"/>
                <w:sz w:val="17"/>
              </w:rPr>
              <w:t>Service health and loaded model status.</w:t>
            </w:r>
          </w:p>
        </w:tc>
      </w:tr>
      <w:tr>
        <w:tc>
          <w:tcPr>
            <w:tcW w:type="dxa" w:w="3528"/>
            <w:vAlign w:val="center"/>
            <w:shd w:fill="F3F6FA"/>
          </w:tcPr>
          <w:p>
            <w:pPr>
              <w:spacing w:after="20"/>
            </w:pPr>
            <w:r/>
            <w:r>
              <w:rPr>
                <w:rFonts w:ascii="Calibri" w:hAnsi="Calibri"/>
                <w:b w:val="0"/>
                <w:color w:val="243247"/>
                <w:sz w:val="17"/>
              </w:rPr>
              <w:t>POST /api/predict</w:t>
            </w:r>
          </w:p>
        </w:tc>
        <w:tc>
          <w:tcPr>
            <w:tcW w:type="dxa" w:w="6192"/>
            <w:vAlign w:val="center"/>
            <w:shd w:fill="F3F6FA"/>
          </w:tcPr>
          <w:p>
            <w:pPr>
              <w:spacing w:after="20"/>
            </w:pPr>
            <w:r/>
            <w:r>
              <w:rPr>
                <w:rFonts w:ascii="Calibri" w:hAnsi="Calibri"/>
                <w:b w:val="0"/>
                <w:color w:val="243247"/>
                <w:sz w:val="17"/>
              </w:rPr>
              <w:t>Single smartphone price-tier prediction.</w:t>
            </w:r>
          </w:p>
        </w:tc>
      </w:tr>
      <w:tr>
        <w:tc>
          <w:tcPr>
            <w:tcW w:type="dxa" w:w="3528"/>
            <w:vAlign w:val="center"/>
          </w:tcPr>
          <w:p>
            <w:pPr>
              <w:spacing w:after="20"/>
            </w:pPr>
            <w:r/>
            <w:r>
              <w:rPr>
                <w:rFonts w:ascii="Calibri" w:hAnsi="Calibri"/>
                <w:b w:val="0"/>
                <w:color w:val="243247"/>
                <w:sz w:val="17"/>
              </w:rPr>
              <w:t>POST /api/predict/batch</w:t>
            </w:r>
          </w:p>
        </w:tc>
        <w:tc>
          <w:tcPr>
            <w:tcW w:type="dxa" w:w="6192"/>
            <w:vAlign w:val="center"/>
          </w:tcPr>
          <w:p>
            <w:pPr>
              <w:spacing w:after="20"/>
            </w:pPr>
            <w:r/>
            <w:r>
              <w:rPr>
                <w:rFonts w:ascii="Calibri" w:hAnsi="Calibri"/>
                <w:b w:val="0"/>
                <w:color w:val="243247"/>
                <w:sz w:val="17"/>
              </w:rPr>
              <w:t>Predict categories for multiple smartphones.</w:t>
            </w:r>
          </w:p>
        </w:tc>
      </w:tr>
      <w:tr>
        <w:tc>
          <w:tcPr>
            <w:tcW w:type="dxa" w:w="3528"/>
            <w:vAlign w:val="center"/>
            <w:shd w:fill="F3F6FA"/>
          </w:tcPr>
          <w:p>
            <w:pPr>
              <w:spacing w:after="20"/>
            </w:pPr>
            <w:r/>
            <w:r>
              <w:rPr>
                <w:rFonts w:ascii="Calibri" w:hAnsi="Calibri"/>
                <w:b w:val="0"/>
                <w:color w:val="243247"/>
                <w:sz w:val="17"/>
              </w:rPr>
              <w:t>POST /api/predict/compare</w:t>
            </w:r>
          </w:p>
        </w:tc>
        <w:tc>
          <w:tcPr>
            <w:tcW w:type="dxa" w:w="6192"/>
            <w:vAlign w:val="center"/>
            <w:shd w:fill="F3F6FA"/>
          </w:tcPr>
          <w:p>
            <w:pPr>
              <w:spacing w:after="20"/>
            </w:pPr>
            <w:r/>
            <w:r>
              <w:rPr>
                <w:rFonts w:ascii="Calibri" w:hAnsi="Calibri"/>
                <w:b w:val="0"/>
                <w:color w:val="243247"/>
                <w:sz w:val="17"/>
              </w:rPr>
              <w:t>Compare predictions from all available models.</w:t>
            </w:r>
          </w:p>
        </w:tc>
      </w:tr>
      <w:tr>
        <w:tc>
          <w:tcPr>
            <w:tcW w:type="dxa" w:w="3528"/>
            <w:vAlign w:val="center"/>
          </w:tcPr>
          <w:p>
            <w:pPr>
              <w:spacing w:after="20"/>
            </w:pPr>
            <w:r/>
            <w:r>
              <w:rPr>
                <w:rFonts w:ascii="Calibri" w:hAnsi="Calibri"/>
                <w:b w:val="0"/>
                <w:color w:val="243247"/>
                <w:sz w:val="17"/>
              </w:rPr>
              <w:t>GET /api/models/metrics</w:t>
            </w:r>
          </w:p>
        </w:tc>
        <w:tc>
          <w:tcPr>
            <w:tcW w:type="dxa" w:w="6192"/>
            <w:vAlign w:val="center"/>
          </w:tcPr>
          <w:p>
            <w:pPr>
              <w:spacing w:after="20"/>
            </w:pPr>
            <w:r/>
            <w:r>
              <w:rPr>
                <w:rFonts w:ascii="Calibri" w:hAnsi="Calibri"/>
                <w:b w:val="0"/>
                <w:color w:val="243247"/>
                <w:sz w:val="17"/>
              </w:rPr>
              <w:t>Return model benchmark data.</w:t>
            </w:r>
          </w:p>
        </w:tc>
      </w:tr>
      <w:tr>
        <w:tc>
          <w:tcPr>
            <w:tcW w:type="dxa" w:w="3528"/>
            <w:vAlign w:val="center"/>
            <w:shd w:fill="F3F6FA"/>
          </w:tcPr>
          <w:p>
            <w:pPr>
              <w:spacing w:after="20"/>
            </w:pPr>
            <w:r/>
            <w:r>
              <w:rPr>
                <w:rFonts w:ascii="Calibri" w:hAnsi="Calibri"/>
                <w:b w:val="0"/>
                <w:color w:val="243247"/>
                <w:sz w:val="17"/>
              </w:rPr>
              <w:t>GET /api/models/roc-curves</w:t>
            </w:r>
          </w:p>
        </w:tc>
        <w:tc>
          <w:tcPr>
            <w:tcW w:type="dxa" w:w="6192"/>
            <w:vAlign w:val="center"/>
            <w:shd w:fill="F3F6FA"/>
          </w:tcPr>
          <w:p>
            <w:pPr>
              <w:spacing w:after="20"/>
            </w:pPr>
            <w:r/>
            <w:r>
              <w:rPr>
                <w:rFonts w:ascii="Calibri" w:hAnsi="Calibri"/>
                <w:b w:val="0"/>
                <w:color w:val="243247"/>
                <w:sz w:val="17"/>
              </w:rPr>
              <w:t>Return saved ROC/PR curve data.</w:t>
            </w:r>
          </w:p>
        </w:tc>
      </w:tr>
      <w:tr>
        <w:tc>
          <w:tcPr>
            <w:tcW w:type="dxa" w:w="3528"/>
            <w:vAlign w:val="center"/>
          </w:tcPr>
          <w:p>
            <w:pPr>
              <w:spacing w:after="20"/>
            </w:pPr>
            <w:r/>
            <w:r>
              <w:rPr>
                <w:rFonts w:ascii="Calibri" w:hAnsi="Calibri"/>
                <w:b w:val="0"/>
                <w:color w:val="243247"/>
                <w:sz w:val="17"/>
              </w:rPr>
              <w:t>GET /api/models/feature-importance</w:t>
            </w:r>
          </w:p>
        </w:tc>
        <w:tc>
          <w:tcPr>
            <w:tcW w:type="dxa" w:w="6192"/>
            <w:vAlign w:val="center"/>
          </w:tcPr>
          <w:p>
            <w:pPr>
              <w:spacing w:after="20"/>
            </w:pPr>
            <w:r/>
            <w:r>
              <w:rPr>
                <w:rFonts w:ascii="Calibri" w:hAnsi="Calibri"/>
                <w:b w:val="0"/>
                <w:color w:val="243247"/>
                <w:sz w:val="17"/>
              </w:rPr>
              <w:t>Return saved explainability data.</w:t>
            </w:r>
          </w:p>
        </w:tc>
      </w:tr>
      <w:tr>
        <w:tc>
          <w:tcPr>
            <w:tcW w:type="dxa" w:w="3528"/>
            <w:vAlign w:val="center"/>
            <w:shd w:fill="F3F6FA"/>
          </w:tcPr>
          <w:p>
            <w:pPr>
              <w:spacing w:after="20"/>
            </w:pPr>
            <w:r/>
            <w:r>
              <w:rPr>
                <w:rFonts w:ascii="Calibri" w:hAnsi="Calibri"/>
                <w:b w:val="0"/>
                <w:color w:val="243247"/>
                <w:sz w:val="17"/>
              </w:rPr>
              <w:t>GET /api/analytics/records</w:t>
            </w:r>
          </w:p>
        </w:tc>
        <w:tc>
          <w:tcPr>
            <w:tcW w:type="dxa" w:w="6192"/>
            <w:vAlign w:val="center"/>
            <w:shd w:fill="F3F6FA"/>
          </w:tcPr>
          <w:p>
            <w:pPr>
              <w:spacing w:after="20"/>
            </w:pPr>
            <w:r/>
            <w:r>
              <w:rPr>
                <w:rFonts w:ascii="Calibri" w:hAnsi="Calibri"/>
                <w:b w:val="0"/>
                <w:color w:val="243247"/>
                <w:sz w:val="17"/>
              </w:rPr>
              <w:t>Search, filter, sort, and paginate dataset records.</w:t>
            </w:r>
          </w:p>
        </w:tc>
      </w:tr>
    </w:tbl>
    <w:p>
      <w:pPr>
        <w:spacing w:after="0"/>
      </w:pPr>
    </w:p>
    <w:p>
      <w:pPr>
        <w:pStyle w:val="Heading2"/>
        <w:keepNext/>
      </w:pPr>
      <w:r>
        <w:t>7.3 Deployment and screenshot evidence</w:t>
      </w:r>
    </w:p>
    <w:p>
      <w:pPr>
        <w:spacing w:after="120"/>
      </w:pPr>
      <w:r>
        <w:rPr>
          <w:i w:val="0"/>
        </w:rPr>
        <w:t>The repository includes Render and Vercel configuration files and a Windows launcher. The frontend can use a configured API base URL; locally, Vite proxies API requests. The figures included as Figures 1–4 are genuine project-generated dataset and model-analysis outputs from `ml/outputs/`, not illustrative or externally sourced charts.</w:t>
      </w:r>
    </w:p>
    <w:p>
      <w:pPr>
        <w:spacing w:after="120"/>
      </w:pPr>
      <w:r>
        <w:rPr>
          <w:i w:val="0"/>
        </w:rPr>
        <w:t>A live capture of the React dashboard and prediction form could not be included in this build: the project environment has no Node.js/npm executable to start the frontend, and the configured hosted preview could not be reached. No fabricated UI screenshots have been inserted. For a final submission that specifically requires interface screenshots, run `start_project.bat` or start the backend and frontend, then capture the Dashboard, Predictor result, Model Benchmarking, and Dataset Analytics views and insert them here.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vAlign w:val="center"/>
            <w:shd w:fill="17365D"/>
          </w:tcPr>
          <w:p>
            <w:pPr>
              <w:spacing w:after="20"/>
            </w:pPr>
            <w:r/>
            <w:r>
              <w:rPr>
                <w:rFonts w:ascii="Calibri" w:hAnsi="Calibri"/>
                <w:b/>
                <w:color w:val="FFFFFF"/>
                <w:sz w:val="17"/>
              </w:rPr>
              <w:t>Recommended UI capture</w:t>
            </w:r>
          </w:p>
        </w:tc>
        <w:tc>
          <w:tcPr>
            <w:tcW w:type="dxa" w:w="6840"/>
            <w:vAlign w:val="center"/>
            <w:shd w:fill="17365D"/>
          </w:tcPr>
          <w:p>
            <w:pPr>
              <w:spacing w:after="20"/>
            </w:pPr>
            <w:r/>
            <w:r>
              <w:rPr>
                <w:rFonts w:ascii="Calibri" w:hAnsi="Calibri"/>
                <w:b/>
                <w:color w:val="FFFFFF"/>
                <w:sz w:val="17"/>
              </w:rPr>
              <w:t>What to show</w:t>
            </w:r>
          </w:p>
        </w:tc>
      </w:tr>
      <w:tr>
        <w:tc>
          <w:tcPr>
            <w:tcW w:type="dxa" w:w="2880"/>
            <w:vAlign w:val="center"/>
          </w:tcPr>
          <w:p>
            <w:pPr>
              <w:spacing w:after="20"/>
            </w:pPr>
            <w:r/>
            <w:r>
              <w:rPr>
                <w:rFonts w:ascii="Calibri" w:hAnsi="Calibri"/>
                <w:b w:val="0"/>
                <w:color w:val="243247"/>
                <w:sz w:val="17"/>
              </w:rPr>
              <w:t>Figure 5 — Dashboard</w:t>
            </w:r>
          </w:p>
        </w:tc>
        <w:tc>
          <w:tcPr>
            <w:tcW w:type="dxa" w:w="6840"/>
            <w:vAlign w:val="center"/>
          </w:tcPr>
          <w:p>
            <w:pPr>
              <w:spacing w:after="20"/>
            </w:pPr>
            <w:r/>
            <w:r>
              <w:rPr>
                <w:rFonts w:ascii="Calibri" w:hAnsi="Calibri"/>
                <w:b w:val="0"/>
                <w:color w:val="243247"/>
                <w:sz w:val="17"/>
              </w:rPr>
              <w:t>Navigation, health status, overview cards, and application title.</w:t>
            </w:r>
          </w:p>
        </w:tc>
      </w:tr>
      <w:tr>
        <w:tc>
          <w:tcPr>
            <w:tcW w:type="dxa" w:w="2880"/>
            <w:vAlign w:val="center"/>
            <w:shd w:fill="F3F6FA"/>
          </w:tcPr>
          <w:p>
            <w:pPr>
              <w:spacing w:after="20"/>
            </w:pPr>
            <w:r/>
            <w:r>
              <w:rPr>
                <w:rFonts w:ascii="Calibri" w:hAnsi="Calibri"/>
                <w:b w:val="0"/>
                <w:color w:val="243247"/>
                <w:sz w:val="17"/>
              </w:rPr>
              <w:t>Figure 6 — Prediction</w:t>
            </w:r>
          </w:p>
        </w:tc>
        <w:tc>
          <w:tcPr>
            <w:tcW w:type="dxa" w:w="6840"/>
            <w:vAlign w:val="center"/>
            <w:shd w:fill="F3F6FA"/>
          </w:tcPr>
          <w:p>
            <w:pPr>
              <w:spacing w:after="20"/>
            </w:pPr>
            <w:r/>
            <w:r>
              <w:rPr>
                <w:rFonts w:ascii="Calibri" w:hAnsi="Calibri"/>
                <w:b w:val="0"/>
                <w:color w:val="243247"/>
                <w:sz w:val="17"/>
              </w:rPr>
              <w:t>Example phone specifications and resulting tier/probabilities.</w:t>
            </w:r>
          </w:p>
        </w:tc>
      </w:tr>
      <w:tr>
        <w:tc>
          <w:tcPr>
            <w:tcW w:type="dxa" w:w="2880"/>
            <w:vAlign w:val="center"/>
          </w:tcPr>
          <w:p>
            <w:pPr>
              <w:spacing w:after="20"/>
            </w:pPr>
            <w:r/>
            <w:r>
              <w:rPr>
                <w:rFonts w:ascii="Calibri" w:hAnsi="Calibri"/>
                <w:b w:val="0"/>
                <w:color w:val="243247"/>
                <w:sz w:val="17"/>
              </w:rPr>
              <w:t>Figure 7 — Model lab</w:t>
            </w:r>
          </w:p>
        </w:tc>
        <w:tc>
          <w:tcPr>
            <w:tcW w:type="dxa" w:w="6840"/>
            <w:vAlign w:val="center"/>
          </w:tcPr>
          <w:p>
            <w:pPr>
              <w:spacing w:after="20"/>
            </w:pPr>
            <w:r/>
            <w:r>
              <w:rPr>
                <w:rFonts w:ascii="Calibri" w:hAnsi="Calibri"/>
                <w:b w:val="0"/>
                <w:color w:val="243247"/>
                <w:sz w:val="17"/>
              </w:rPr>
              <w:t>Four-model comparison and champion metrics.</w:t>
            </w:r>
          </w:p>
        </w:tc>
      </w:tr>
      <w:tr>
        <w:tc>
          <w:tcPr>
            <w:tcW w:type="dxa" w:w="2880"/>
            <w:vAlign w:val="center"/>
            <w:shd w:fill="F3F6FA"/>
          </w:tcPr>
          <w:p>
            <w:pPr>
              <w:spacing w:after="20"/>
            </w:pPr>
            <w:r/>
            <w:r>
              <w:rPr>
                <w:rFonts w:ascii="Calibri" w:hAnsi="Calibri"/>
                <w:b w:val="0"/>
                <w:color w:val="243247"/>
                <w:sz w:val="17"/>
              </w:rPr>
              <w:t>Figure 8 — Dataset analytics</w:t>
            </w:r>
          </w:p>
        </w:tc>
        <w:tc>
          <w:tcPr>
            <w:tcW w:type="dxa" w:w="6840"/>
            <w:vAlign w:val="center"/>
            <w:shd w:fill="F3F6FA"/>
          </w:tcPr>
          <w:p>
            <w:pPr>
              <w:spacing w:after="20"/>
            </w:pPr>
            <w:r/>
            <w:r>
              <w:rPr>
                <w:rFonts w:ascii="Calibri" w:hAnsi="Calibri"/>
                <w:b w:val="0"/>
                <w:color w:val="243247"/>
                <w:sz w:val="17"/>
              </w:rPr>
              <w:t>Search/filter controls and representative dataset records.</w:t>
            </w:r>
          </w:p>
        </w:tc>
      </w:tr>
    </w:tbl>
    <w:p>
      <w:pPr>
        <w:spacing w:after="0"/>
      </w:pPr>
    </w:p>
    <w:p>
      <w:pPr>
        <w:pStyle w:val="Heading1"/>
        <w:keepNext/>
      </w:pPr>
      <w:r>
        <w:t>8. Conclusion and Future Work</w:t>
      </w:r>
    </w:p>
    <w:p>
      <w:pPr>
        <w:spacing w:after="120"/>
      </w:pPr>
      <w:r>
        <w:rPr>
          <w:i w:val="0"/>
        </w:rPr>
        <w:t>SmartPrice demonstrates an end-to-end workflow for smartphone price-tier classification: dataset inspection, feature engineering, stratified partitioning, preprocessing, four-model benchmarking, explainability, and a web-based prediction service. Random Forest is the best of the tested models on the reported held-out metrics, with 82.65% accuracy and 79.96% Macro F1. The comparison also shows that class-level results matter: Premium recall is the key weakness, and predictions should be treated as category estimates rather than exact market prices.</w:t>
      </w:r>
    </w:p>
    <w:p>
      <w:pPr>
        <w:pStyle w:val="ListBullet"/>
        <w:spacing w:after="60"/>
      </w:pPr>
      <w:r>
        <w:t>Increase and refresh the dataset, document its original source, date, and collection method, and validate on newer unseen phone models.</w:t>
      </w:r>
    </w:p>
    <w:p>
      <w:pPr>
        <w:pStyle w:val="ListBullet"/>
        <w:spacing w:after="60"/>
      </w:pPr>
      <w:r>
        <w:t>Place all preprocessing inside cross-validation folds and regenerate all benchmark summaries from a single reproducible run.</w:t>
      </w:r>
    </w:p>
    <w:p>
      <w:pPr>
        <w:pStyle w:val="ListBullet"/>
        <w:spacing w:after="60"/>
      </w:pPr>
      <w:r>
        <w:t>Investigate Premium-class errors, consider class weighting or resampling only within training folds, and report per-class precision/recall.</w:t>
      </w:r>
    </w:p>
    <w:p>
      <w:pPr>
        <w:pStyle w:val="ListBullet"/>
        <w:spacing w:after="60"/>
      </w:pPr>
      <w:r>
        <w:t>Compare additional methods such as gradient-boosted trees and TabPFN under the identical validation protocol.</w:t>
      </w:r>
    </w:p>
    <w:p>
      <w:pPr>
        <w:pStyle w:val="ListBullet"/>
        <w:spacing w:after="60"/>
      </w:pPr>
      <w:r>
        <w:t>Calibrate class probabilities and evaluate calibration before presenting returned scores as confidence.</w:t>
      </w:r>
    </w:p>
    <w:p>
      <w:pPr>
        <w:pStyle w:val="ListBullet"/>
        <w:spacing w:after="60"/>
      </w:pPr>
      <w:r>
        <w:t>Capture genuine screenshots of the deployed dashboard and main workflows for the final submission.</w:t>
      </w:r>
    </w:p>
    <w:p>
      <w:pPr>
        <w:pStyle w:val="Heading1"/>
        <w:keepNext/>
      </w:pPr>
      <w:r>
        <w:t>9. References</w:t>
      </w:r>
    </w:p>
    <w:p>
      <w:pPr>
        <w:spacing w:after="140"/>
        <w:ind w:left="259" w:hanging="259"/>
      </w:pPr>
      <w:r>
        <w:rPr>
          <w:sz w:val="18"/>
        </w:rPr>
        <w:t>[1] Y. Gorishniy, I. Rubachev, V. Khrulkov, and A. Babenko, “Revisiting Deep Learning Models for Tabular Data,” Advances in Neural Information Processing Systems 34 (NeurIPS 2021). https://proceedings.neurips.cc/paper/2021/hash/9d86d83f925f2149e9edb0ac3b49229c-Abstract.html</w:t>
      </w:r>
    </w:p>
    <w:p>
      <w:pPr>
        <w:spacing w:after="140"/>
        <w:ind w:left="259" w:hanging="259"/>
      </w:pPr>
      <w:r>
        <w:rPr>
          <w:sz w:val="18"/>
        </w:rPr>
        <w:t>[2] L. Grinsztajn, E. Oyallon, and G. Varoquaux, “Why Do Tree-Based Models Still Outperform Deep Learning on Typical Tabular Data?,” Advances in Neural Information Processing Systems 35, pp. 507–520, 2022. https://doi.org/10.52202/068431-0037</w:t>
      </w:r>
    </w:p>
    <w:p>
      <w:pPr>
        <w:spacing w:after="140"/>
        <w:ind w:left="259" w:hanging="259"/>
      </w:pPr>
      <w:r>
        <w:rPr>
          <w:sz w:val="18"/>
        </w:rPr>
        <w:t>[3] R. Shwartz-Ziv and A. Armon, “Tabular data: Deep learning is not all you need,” Information Fusion, vol. 81, pp. 84–90, 2022. https://doi.org/10.1016/j.inffus.2021.11.011</w:t>
      </w:r>
    </w:p>
    <w:p>
      <w:pPr>
        <w:spacing w:after="140"/>
        <w:ind w:left="259" w:hanging="259"/>
      </w:pPr>
      <w:r>
        <w:rPr>
          <w:sz w:val="18"/>
        </w:rPr>
        <w:t>[4] N. Hollmann, S. Müller, L. Purucker, A. Krishnakumar, M. Körfer, S. B. Hoo, R. T. Schirrmeister, and F. Hutter, ?Accurate predictions on small data with a tabular foundation model,? Nature, vol. 637, pp. 319?326, 2025. https://doi.org/10.1038/s41586-024-08328-6</w:t>
      </w:r>
    </w:p>
    <w:p>
      <w:pPr>
        <w:spacing w:after="140"/>
        <w:ind w:left="259" w:hanging="259"/>
      </w:pPr>
      <w:r>
        <w:rPr>
          <w:sz w:val="18"/>
        </w:rPr>
        <w:t>[5] V. Borisov, T. Leemann, K. Seßler, J. Haug, M. Pawelczyk, and G. Kasneci, “Deep Neural Networks and Tabular Data: A Survey,” IEEE Transactions on Neural Networks and Learning Systems, vol. 35, no. 6, pp. 7499–7519, 2024. https://doi.org/10.1109/TNNLS.2022.3229161</w:t>
      </w:r>
    </w:p>
    <w:p>
      <w:pPr>
        <w:spacing w:after="140"/>
        <w:ind w:left="259" w:hanging="259"/>
      </w:pPr>
      <w:r>
        <w:rPr>
          <w:sz w:val="18"/>
        </w:rPr>
        <w:t>[6] SmartPrice project artifacts: `ml/outputs/01_inspection_summary.md`, `03_preprocessing_summary.md`, `04_baseline_models_summary.md`, `05_tuning_summary.md`, `06_evaluation_summary.md`, and `07_explainability_summary.md`.</w:t>
      </w:r>
    </w:p>
    <w:p>
      <w:pPr>
        <w:spacing w:after="140"/>
        <w:ind w:left="259" w:hanging="259"/>
      </w:pPr>
      <w:r>
        <w:rPr>
          <w:sz w:val="18"/>
        </w:rPr>
        <w:t>[7] SmartPrice source repository: `backend/app/`, `frontend/src/`, `ml/src/`, `data/raw/smartphone_cleaned_v5.csv`, and `scripts/verify_system.py`.</w:t>
      </w:r>
    </w:p>
    <w:p>
      <w:pPr>
        <w:pStyle w:val="Heading1"/>
        <w:keepNext/>
      </w:pPr>
      <w:r>
        <w:t>Appendix A. Project workflow</w:t>
      </w:r>
    </w:p>
    <w:p>
      <w:pPr>
        <w:spacing w:after="120"/>
      </w:pPr>
      <w:r>
        <w:rPr>
          <w:i w:val="0"/>
        </w:rPr>
        <w:t>The diagram below summarizes how the project moves from source data through model evaluation to real-time application use.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20"/>
            <w:vAlign w:val="center"/>
            <w:shd w:fill="17365D"/>
          </w:tcPr>
          <w:p>
            <w:pPr>
              <w:spacing w:after="20"/>
            </w:pPr>
            <w:r/>
            <w:r>
              <w:rPr>
                <w:rFonts w:ascii="Calibri" w:hAnsi="Calibri"/>
                <w:b/>
                <w:color w:val="FFFFFF"/>
                <w:sz w:val="17"/>
              </w:rPr>
              <w:t>Flow</w:t>
            </w:r>
          </w:p>
        </w:tc>
        <w:tc>
          <w:tcPr>
            <w:tcW w:type="dxa" w:w="3024"/>
            <w:vAlign w:val="center"/>
            <w:shd w:fill="17365D"/>
          </w:tcPr>
          <w:p>
            <w:pPr>
              <w:spacing w:after="20"/>
            </w:pPr>
            <w:r/>
            <w:r>
              <w:rPr>
                <w:rFonts w:ascii="Calibri" w:hAnsi="Calibri"/>
                <w:b/>
                <w:color w:val="FFFFFF"/>
                <w:sz w:val="17"/>
              </w:rPr>
              <w:t>Component</w:t>
            </w:r>
          </w:p>
        </w:tc>
        <w:tc>
          <w:tcPr>
            <w:tcW w:type="dxa" w:w="5976"/>
            <w:vAlign w:val="center"/>
            <w:shd w:fill="17365D"/>
          </w:tcPr>
          <w:p>
            <w:pPr>
              <w:spacing w:after="20"/>
            </w:pPr>
            <w:r/>
            <w:r>
              <w:rPr>
                <w:rFonts w:ascii="Calibri" w:hAnsi="Calibri"/>
                <w:b/>
                <w:color w:val="FFFFFF"/>
                <w:sz w:val="17"/>
              </w:rPr>
              <w:t>Output / responsibility</w:t>
            </w:r>
          </w:p>
        </w:tc>
      </w:tr>
      <w:tr>
        <w:tc>
          <w:tcPr>
            <w:tcW w:type="dxa" w:w="720"/>
            <w:vAlign w:val="center"/>
          </w:tcPr>
          <w:p>
            <w:pPr>
              <w:spacing w:after="20"/>
              <w:jc w:val="center"/>
            </w:pPr>
            <w:r/>
            <w:r>
              <w:rPr>
                <w:rFonts w:ascii="Calibri" w:hAnsi="Calibri"/>
                <w:b/>
                <w:color w:val="2F75B5"/>
                <w:sz w:val="24"/>
              </w:rPr>
              <w:t>A</w:t>
            </w:r>
          </w:p>
        </w:tc>
        <w:tc>
          <w:tcPr>
            <w:tcW w:type="dxa" w:w="3024"/>
            <w:vAlign w:val="center"/>
          </w:tcPr>
          <w:p>
            <w:pPr>
              <w:spacing w:after="20"/>
            </w:pPr>
            <w:r/>
            <w:r>
              <w:rPr>
                <w:rFonts w:ascii="Calibri" w:hAnsi="Calibri"/>
                <w:b w:val="0"/>
                <w:color w:val="243247"/>
                <w:sz w:val="17"/>
              </w:rPr>
              <w:t>Raw smartphone CSV</w:t>
            </w:r>
          </w:p>
        </w:tc>
        <w:tc>
          <w:tcPr>
            <w:tcW w:type="dxa" w:w="5976"/>
            <w:vAlign w:val="center"/>
          </w:tcPr>
          <w:p>
            <w:pPr>
              <w:spacing w:after="20"/>
            </w:pPr>
            <w:r/>
            <w:r>
              <w:rPr>
                <w:rFonts w:ascii="Calibri" w:hAnsi="Calibri"/>
                <w:b w:val="0"/>
                <w:color w:val="243247"/>
                <w:sz w:val="17"/>
              </w:rPr>
              <w:t>980 phones; 25 original columns</w:t>
            </w:r>
          </w:p>
        </w:tc>
      </w:tr>
      <w:tr>
        <w:tc>
          <w:tcPr>
            <w:tcW w:type="dxa" w:w="720"/>
            <w:vAlign w:val="center"/>
            <w:shd w:fill="F3F6FA"/>
          </w:tcPr>
          <w:p>
            <w:pPr>
              <w:spacing w:after="20"/>
              <w:jc w:val="center"/>
            </w:pPr>
            <w:r/>
            <w:r>
              <w:rPr>
                <w:rFonts w:ascii="Calibri" w:hAnsi="Calibri"/>
                <w:b/>
                <w:color w:val="2F75B5"/>
                <w:sz w:val="24"/>
              </w:rPr>
              <w:t>↓</w:t>
            </w:r>
          </w:p>
        </w:tc>
        <w:tc>
          <w:tcPr>
            <w:tcW w:type="dxa" w:w="3024"/>
            <w:vAlign w:val="center"/>
            <w:shd w:fill="F3F6FA"/>
          </w:tcPr>
          <w:p>
            <w:pPr>
              <w:spacing w:after="20"/>
            </w:pPr>
            <w:r/>
            <w:r>
              <w:rPr>
                <w:rFonts w:ascii="Calibri" w:hAnsi="Calibri"/>
                <w:b w:val="0"/>
                <w:color w:val="243247"/>
                <w:sz w:val="17"/>
              </w:rPr>
              <w:t>Inspection and EDA</w:t>
            </w:r>
          </w:p>
        </w:tc>
        <w:tc>
          <w:tcPr>
            <w:tcW w:type="dxa" w:w="5976"/>
            <w:vAlign w:val="center"/>
            <w:shd w:fill="F3F6FA"/>
          </w:tcPr>
          <w:p>
            <w:pPr>
              <w:spacing w:after="20"/>
            </w:pPr>
            <w:r/>
            <w:r>
              <w:rPr>
                <w:rFonts w:ascii="Calibri" w:hAnsi="Calibri"/>
                <w:b w:val="0"/>
                <w:color w:val="243247"/>
                <w:sz w:val="17"/>
              </w:rPr>
              <w:t>Audit missingness, distributions, and associations</w:t>
            </w:r>
          </w:p>
        </w:tc>
      </w:tr>
      <w:tr>
        <w:tc>
          <w:tcPr>
            <w:tcW w:type="dxa" w:w="720"/>
            <w:vAlign w:val="center"/>
          </w:tcPr>
          <w:p>
            <w:pPr>
              <w:spacing w:after="20"/>
              <w:jc w:val="center"/>
            </w:pPr>
            <w:r/>
            <w:r>
              <w:rPr>
                <w:rFonts w:ascii="Calibri" w:hAnsi="Calibri"/>
                <w:b/>
                <w:color w:val="2F75B5"/>
                <w:sz w:val="24"/>
              </w:rPr>
              <w:t>↓</w:t>
            </w:r>
          </w:p>
        </w:tc>
        <w:tc>
          <w:tcPr>
            <w:tcW w:type="dxa" w:w="3024"/>
            <w:vAlign w:val="center"/>
          </w:tcPr>
          <w:p>
            <w:pPr>
              <w:spacing w:after="20"/>
            </w:pPr>
            <w:r/>
            <w:r>
              <w:rPr>
                <w:rFonts w:ascii="Calibri" w:hAnsi="Calibri"/>
                <w:b w:val="0"/>
                <w:color w:val="243247"/>
                <w:sz w:val="17"/>
              </w:rPr>
              <w:t>Label + clean + engineer</w:t>
            </w:r>
          </w:p>
        </w:tc>
        <w:tc>
          <w:tcPr>
            <w:tcW w:type="dxa" w:w="5976"/>
            <w:vAlign w:val="center"/>
          </w:tcPr>
          <w:p>
            <w:pPr>
              <w:spacing w:after="20"/>
            </w:pPr>
            <w:r/>
            <w:r>
              <w:rPr>
                <w:rFonts w:ascii="Calibri" w:hAnsi="Calibri"/>
                <w:b w:val="0"/>
                <w:color w:val="243247"/>
                <w:sz w:val="17"/>
              </w:rPr>
              <w:t>Four tiers; normalize fields; derive features</w:t>
            </w:r>
          </w:p>
        </w:tc>
      </w:tr>
      <w:tr>
        <w:tc>
          <w:tcPr>
            <w:tcW w:type="dxa" w:w="720"/>
            <w:vAlign w:val="center"/>
            <w:shd w:fill="F3F6FA"/>
          </w:tcPr>
          <w:p>
            <w:pPr>
              <w:spacing w:after="20"/>
              <w:jc w:val="center"/>
            </w:pPr>
            <w:r/>
            <w:r>
              <w:rPr>
                <w:rFonts w:ascii="Calibri" w:hAnsi="Calibri"/>
                <w:b/>
                <w:color w:val="2F75B5"/>
                <w:sz w:val="24"/>
              </w:rPr>
              <w:t>↓</w:t>
            </w:r>
          </w:p>
        </w:tc>
        <w:tc>
          <w:tcPr>
            <w:tcW w:type="dxa" w:w="3024"/>
            <w:vAlign w:val="center"/>
            <w:shd w:fill="F3F6FA"/>
          </w:tcPr>
          <w:p>
            <w:pPr>
              <w:spacing w:after="20"/>
            </w:pPr>
            <w:r/>
            <w:r>
              <w:rPr>
                <w:rFonts w:ascii="Calibri" w:hAnsi="Calibri"/>
                <w:b w:val="0"/>
                <w:color w:val="243247"/>
                <w:sz w:val="17"/>
              </w:rPr>
              <w:t>Stratified split and transform</w:t>
            </w:r>
          </w:p>
        </w:tc>
        <w:tc>
          <w:tcPr>
            <w:tcW w:type="dxa" w:w="5976"/>
            <w:vAlign w:val="center"/>
            <w:shd w:fill="F3F6FA"/>
          </w:tcPr>
          <w:p>
            <w:pPr>
              <w:spacing w:after="20"/>
            </w:pPr>
            <w:r/>
            <w:r>
              <w:rPr>
                <w:rFonts w:ascii="Calibri" w:hAnsi="Calibri"/>
                <w:b w:val="0"/>
                <w:color w:val="243247"/>
                <w:sz w:val="17"/>
              </w:rPr>
              <w:t>784 train / 196 test; train-fitted preprocessing</w:t>
            </w:r>
          </w:p>
        </w:tc>
      </w:tr>
      <w:tr>
        <w:tc>
          <w:tcPr>
            <w:tcW w:type="dxa" w:w="720"/>
            <w:vAlign w:val="center"/>
          </w:tcPr>
          <w:p>
            <w:pPr>
              <w:spacing w:after="20"/>
              <w:jc w:val="center"/>
            </w:pPr>
            <w:r/>
            <w:r>
              <w:rPr>
                <w:rFonts w:ascii="Calibri" w:hAnsi="Calibri"/>
                <w:b/>
                <w:color w:val="2F75B5"/>
                <w:sz w:val="24"/>
              </w:rPr>
              <w:t>↓</w:t>
            </w:r>
          </w:p>
        </w:tc>
        <w:tc>
          <w:tcPr>
            <w:tcW w:type="dxa" w:w="3024"/>
            <w:vAlign w:val="center"/>
          </w:tcPr>
          <w:p>
            <w:pPr>
              <w:spacing w:after="20"/>
            </w:pPr>
            <w:r/>
            <w:r>
              <w:rPr>
                <w:rFonts w:ascii="Calibri" w:hAnsi="Calibri"/>
                <w:b w:val="0"/>
                <w:color w:val="243247"/>
                <w:sz w:val="17"/>
              </w:rPr>
              <w:t>Fit and tune four classifiers</w:t>
            </w:r>
          </w:p>
        </w:tc>
        <w:tc>
          <w:tcPr>
            <w:tcW w:type="dxa" w:w="5976"/>
            <w:vAlign w:val="center"/>
          </w:tcPr>
          <w:p>
            <w:pPr>
              <w:spacing w:after="20"/>
            </w:pPr>
            <w:r/>
            <w:r>
              <w:rPr>
                <w:rFonts w:ascii="Calibri" w:hAnsi="Calibri"/>
                <w:b w:val="0"/>
                <w:color w:val="243247"/>
                <w:sz w:val="17"/>
              </w:rPr>
              <w:t>5-fold stratified GridSearchCV</w:t>
            </w:r>
          </w:p>
        </w:tc>
      </w:tr>
      <w:tr>
        <w:tc>
          <w:tcPr>
            <w:tcW w:type="dxa" w:w="720"/>
            <w:vAlign w:val="center"/>
            <w:shd w:fill="F3F6FA"/>
          </w:tcPr>
          <w:p>
            <w:pPr>
              <w:spacing w:after="20"/>
              <w:jc w:val="center"/>
            </w:pPr>
            <w:r/>
            <w:r>
              <w:rPr>
                <w:rFonts w:ascii="Calibri" w:hAnsi="Calibri"/>
                <w:b/>
                <w:color w:val="2F75B5"/>
                <w:sz w:val="24"/>
              </w:rPr>
              <w:t>↓</w:t>
            </w:r>
          </w:p>
        </w:tc>
        <w:tc>
          <w:tcPr>
            <w:tcW w:type="dxa" w:w="3024"/>
            <w:vAlign w:val="center"/>
            <w:shd w:fill="F3F6FA"/>
          </w:tcPr>
          <w:p>
            <w:pPr>
              <w:spacing w:after="20"/>
            </w:pPr>
            <w:r/>
            <w:r>
              <w:rPr>
                <w:rFonts w:ascii="Calibri" w:hAnsi="Calibri"/>
                <w:b w:val="0"/>
                <w:color w:val="243247"/>
                <w:sz w:val="17"/>
              </w:rPr>
              <w:t>Evaluate + explain</w:t>
            </w:r>
          </w:p>
        </w:tc>
        <w:tc>
          <w:tcPr>
            <w:tcW w:type="dxa" w:w="5976"/>
            <w:vAlign w:val="center"/>
            <w:shd w:fill="F3F6FA"/>
          </w:tcPr>
          <w:p>
            <w:pPr>
              <w:spacing w:after="20"/>
            </w:pPr>
            <w:r/>
            <w:r>
              <w:rPr>
                <w:rFonts w:ascii="Calibri" w:hAnsi="Calibri"/>
                <w:b w:val="0"/>
                <w:color w:val="243247"/>
                <w:sz w:val="17"/>
              </w:rPr>
              <w:t>Metrics, confusion matrices, permutation importance</w:t>
            </w:r>
          </w:p>
        </w:tc>
      </w:tr>
      <w:tr>
        <w:tc>
          <w:tcPr>
            <w:tcW w:type="dxa" w:w="720"/>
            <w:vAlign w:val="center"/>
          </w:tcPr>
          <w:p>
            <w:pPr>
              <w:spacing w:after="20"/>
              <w:jc w:val="center"/>
            </w:pPr>
            <w:r/>
            <w:r>
              <w:rPr>
                <w:rFonts w:ascii="Calibri" w:hAnsi="Calibri"/>
                <w:b/>
                <w:color w:val="2F75B5"/>
                <w:sz w:val="24"/>
              </w:rPr>
              <w:t>↓</w:t>
            </w:r>
          </w:p>
        </w:tc>
        <w:tc>
          <w:tcPr>
            <w:tcW w:type="dxa" w:w="3024"/>
            <w:vAlign w:val="center"/>
          </w:tcPr>
          <w:p>
            <w:pPr>
              <w:spacing w:after="20"/>
            </w:pPr>
            <w:r/>
            <w:r>
              <w:rPr>
                <w:rFonts w:ascii="Calibri" w:hAnsi="Calibri"/>
                <w:b w:val="0"/>
                <w:color w:val="243247"/>
                <w:sz w:val="17"/>
              </w:rPr>
              <w:t>Save .joblib artifacts</w:t>
            </w:r>
          </w:p>
        </w:tc>
        <w:tc>
          <w:tcPr>
            <w:tcW w:type="dxa" w:w="5976"/>
            <w:vAlign w:val="center"/>
          </w:tcPr>
          <w:p>
            <w:pPr>
              <w:spacing w:after="20"/>
            </w:pPr>
            <w:r/>
            <w:r>
              <w:rPr>
                <w:rFonts w:ascii="Calibri" w:hAnsi="Calibri"/>
                <w:b w:val="0"/>
                <w:color w:val="243247"/>
                <w:sz w:val="17"/>
              </w:rPr>
              <w:t>Preprocessor + selected models</w:t>
            </w:r>
          </w:p>
        </w:tc>
      </w:tr>
      <w:tr>
        <w:tc>
          <w:tcPr>
            <w:tcW w:type="dxa" w:w="720"/>
            <w:vAlign w:val="center"/>
            <w:shd w:fill="F3F6FA"/>
          </w:tcPr>
          <w:p>
            <w:pPr>
              <w:spacing w:after="20"/>
              <w:jc w:val="center"/>
            </w:pPr>
            <w:r/>
            <w:r>
              <w:rPr>
                <w:rFonts w:ascii="Calibri" w:hAnsi="Calibri"/>
                <w:b/>
                <w:color w:val="2F75B5"/>
                <w:sz w:val="24"/>
              </w:rPr>
              <w:t>↓</w:t>
            </w:r>
          </w:p>
        </w:tc>
        <w:tc>
          <w:tcPr>
            <w:tcW w:type="dxa" w:w="3024"/>
            <w:vAlign w:val="center"/>
            <w:shd w:fill="F3F6FA"/>
          </w:tcPr>
          <w:p>
            <w:pPr>
              <w:spacing w:after="20"/>
            </w:pPr>
            <w:r/>
            <w:r>
              <w:rPr>
                <w:rFonts w:ascii="Calibri" w:hAnsi="Calibri"/>
                <w:b w:val="0"/>
                <w:color w:val="243247"/>
                <w:sz w:val="17"/>
              </w:rPr>
              <w:t>FastAPI inference</w:t>
            </w:r>
          </w:p>
        </w:tc>
        <w:tc>
          <w:tcPr>
            <w:tcW w:type="dxa" w:w="5976"/>
            <w:vAlign w:val="center"/>
            <w:shd w:fill="F3F6FA"/>
          </w:tcPr>
          <w:p>
            <w:pPr>
              <w:spacing w:after="20"/>
            </w:pPr>
            <w:r/>
            <w:r>
              <w:rPr>
                <w:rFonts w:ascii="Calibri" w:hAnsi="Calibri"/>
                <w:b w:val="0"/>
                <w:color w:val="243247"/>
                <w:sz w:val="17"/>
              </w:rPr>
              <w:t>Validate input; engineer and transform; predict</w:t>
            </w:r>
          </w:p>
        </w:tc>
      </w:tr>
      <w:tr>
        <w:tc>
          <w:tcPr>
            <w:tcW w:type="dxa" w:w="720"/>
            <w:vAlign w:val="center"/>
          </w:tcPr>
          <w:p>
            <w:pPr>
              <w:spacing w:after="20"/>
              <w:jc w:val="center"/>
            </w:pPr>
            <w:r/>
            <w:r>
              <w:rPr>
                <w:rFonts w:ascii="Calibri" w:hAnsi="Calibri"/>
                <w:b/>
                <w:color w:val="2F75B5"/>
                <w:sz w:val="24"/>
              </w:rPr>
              <w:t>↓</w:t>
            </w:r>
          </w:p>
        </w:tc>
        <w:tc>
          <w:tcPr>
            <w:tcW w:type="dxa" w:w="3024"/>
            <w:vAlign w:val="center"/>
          </w:tcPr>
          <w:p>
            <w:pPr>
              <w:spacing w:after="20"/>
            </w:pPr>
            <w:r/>
            <w:r>
              <w:rPr>
                <w:rFonts w:ascii="Calibri" w:hAnsi="Calibri"/>
                <w:b w:val="0"/>
                <w:color w:val="243247"/>
                <w:sz w:val="17"/>
              </w:rPr>
              <w:t>React + TypeScript interface</w:t>
            </w:r>
          </w:p>
        </w:tc>
        <w:tc>
          <w:tcPr>
            <w:tcW w:type="dxa" w:w="5976"/>
            <w:vAlign w:val="center"/>
          </w:tcPr>
          <w:p>
            <w:pPr>
              <w:spacing w:after="20"/>
            </w:pPr>
            <w:r/>
            <w:r>
              <w:rPr>
                <w:rFonts w:ascii="Calibri" w:hAnsi="Calibri"/>
                <w:b w:val="0"/>
                <w:color w:val="243247"/>
                <w:sz w:val="17"/>
              </w:rPr>
              <w:t>Prediction, comparison, analytics, explainability</w:t>
            </w:r>
          </w:p>
        </w:tc>
      </w:tr>
    </w:tbl>
    <w:p>
      <w:pPr>
        <w:spacing w:after="0"/>
      </w:pP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5758B"/>
        <w:sz w:val="16"/>
      </w:rPr>
      <w:t xml:space="preserve">SmartPrice — Smartphone Price Category Prediction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5758B"/>
        <w:sz w:val="16"/>
      </w:rPr>
      <w:t>SMARTPRICE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color w:val="2432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SmartPrice Smartphone Price Category Prediction — Project Report</dc:title>
  <dc:subject>Machine learning project report</dc:subject>
  <dc:creator>SmartPrice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