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365D"/>
          <w:sz w:val="26"/>
        </w:rPr>
        <w:t>VIGNAN'S FOUNDATION FOR SCIENCE, TECHNOLOGY &amp; RESEARCH</w:t>
      </w:r>
    </w:p>
    <w:p>
      <w:pPr>
        <w:spacing w:before="0" w:after="280"/>
        <w:pBdr>
          <w:bottom w:val="single" w:sz="12" w:space="4" w:color="1A365D"/>
        </w:pBdr>
      </w:pPr>
      <w:r>
        <w:rPr>
          <w:rFonts w:ascii="Calibri" w:hAnsi="Calibri"/>
          <w:b w:val="0"/>
          <w:i/>
          <w:color w:val="718096"/>
          <w:sz w:val="20"/>
        </w:rPr>
        <w:t>Department of Computer Science &amp; Engineering | Advanced Technical Report Series</w:t>
      </w:r>
    </w:p>
    <w:p>
      <w:pPr>
        <w:spacing w:before="80" w:after="240" w:line="276" w:lineRule="auto"/>
      </w:pPr>
      <w:r>
        <w:rPr>
          <w:rFonts w:ascii="Calibri" w:hAnsi="Calibri"/>
          <w:b w:val="0"/>
          <w:i/>
          <w:color w:val="718096"/>
          <w:sz w:val="20"/>
        </w:rPr>
        <w:t>Title: Technical Report on Large Language Models (LLMs): Architectures, Capabilities &amp; Deployment</w:t>
        <w:br/>
        <w:t>Author: Sk Adil Azeez | Regd. No: 261FB04035 | M.Tech CSE 1st Year</w:t>
        <w:br/>
        <w:t>Date: October 2026 | Course Code: 26CSB104</w:t>
      </w:r>
    </w:p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4"/>
        </w:rPr>
        <w:t>1. Executive Summary</w:t>
      </w:r>
    </w:p>
    <w:p>
      <w:pPr>
        <w:spacing w:before="40" w:after="1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Large Language Models (LLMs) represent a foundational transformation in artificial intelligence, transitioning computational linguistics from statistical n-gram predictions and rule-based NLP systems to deep autoregressive foundation architectures. Leveraging dense transformer networks pre-trained on internet-scale corpora, LLMs encode syntactic nuance, semantic grounding, and emergent multi-step reasoning capabilities. Modern enterprise deployments extend these models beyond static conversational interfaces into dynamic, tool-augmented systems and autonomous agentic workflows.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4"/>
        </w:rPr>
        <w:t>2. Core Architecture &amp; Evolutionary Milestones</w:t>
      </w:r>
    </w:p>
    <w:p>
      <w:pPr>
        <w:spacing w:before="80" w:after="40"/>
      </w:pPr>
      <w:r>
        <w:rPr>
          <w:rFonts w:ascii="Calibri" w:hAnsi="Calibri"/>
          <w:b/>
          <w:i w:val="0"/>
          <w:color w:val="3182CE"/>
          <w:sz w:val="22"/>
        </w:rPr>
        <w:t>2.1 The Transformer Foundation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• Self-Attention Mechanism: Employs Scaled Dot-Product Attention: Attention(Q, K, V) = softmax(Q * K^T / sqrt(d_k)) * V, enabling parallelized token processing across long sequences without sequential recurrence bottlenecks.</w:t>
        <w:br/>
        <w:t>• Decoder-Only Dominance: Contemporary state-of-the-art models rely predominantly on autoregressive decoder-only topologies optimized for causal token generation, outperforming encoder-decoder pipelines on open-ended generation.</w:t>
        <w:br/>
        <w:t>• Positional Embeddings: Modern implementations utilize relative positional systems such as Rotary Position Embeddings (RoPE) and ALiBi, facilitating context length scaling up to millions of tokens.</w:t>
      </w:r>
    </w:p>
    <w:p>
      <w:pPr>
        <w:spacing w:before="120" w:after="40"/>
      </w:pPr>
      <w:r>
        <w:rPr>
          <w:rFonts w:ascii="Calibri" w:hAnsi="Calibri"/>
          <w:b/>
          <w:i w:val="0"/>
          <w:color w:val="3182CE"/>
          <w:sz w:val="22"/>
        </w:rPr>
        <w:t>2.2 Paradigm Evolution</w:t>
      </w:r>
    </w:p>
    <w:p>
      <w:pPr>
        <w:spacing w:before="40" w:after="1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1. Statistical NLP: Deterministic rule engines, regex parsers, and n-gram frequency distributions.</w:t>
        <w:br/>
        <w:t>2. Static Word Embeddings: Dense vectors (Word2Vec, GloVe) capturing local lexical semantics.</w:t>
        <w:br/>
        <w:t>3. Contextual Representations: Bidirectional transformers (BERT) capturing situational token context.</w:t>
        <w:br/>
        <w:t>4. Autoregressive Foundation Models: Billions of parameters displaying emergent zero/few-shot in-context learning.</w:t>
        <w:br/>
        <w:t>5. Agentic Frameworks: LLMs functioning as autonomous reasoning controllers connected to external tools and memory.</w:t>
      </w:r>
    </w:p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4"/>
        </w:rPr>
        <w:t>3. Structural Comparison of Modern LLM Architectures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Dense Proprietary</w:t>
            </w:r>
          </w:p>
        </w:tc>
        <w:tc>
          <w:tcPr>
            <w:tcW w:type="dxa" w:w="1872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Open-Weight Dense</w:t>
            </w:r>
          </w:p>
        </w:tc>
        <w:tc>
          <w:tcPr>
            <w:tcW w:type="dxa" w:w="1872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Sparse MoE Models</w:t>
            </w:r>
          </w:p>
        </w:tc>
        <w:tc>
          <w:tcPr>
            <w:tcW w:type="dxa" w:w="2016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Reasoning Models</w:t>
            </w:r>
          </w:p>
        </w:tc>
      </w:tr>
      <w:tr>
        <w:tc>
          <w:tcPr>
            <w:tcW w:type="dxa" w:w="1728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Representative Models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GPT-4o, Claude 3.5, Gemini Pro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Llama 3/3.1, Mistral NeMo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Mixtral 8x22B, DBRX</w:t>
            </w:r>
          </w:p>
        </w:tc>
        <w:tc>
          <w:tcPr>
            <w:tcW w:type="dxa" w:w="201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OpenAI o1/o3, DeepSeek-R1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Parameter Activation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100% active per forward pass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100% active per forward pass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Top-k routed experts active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Variable (internal reasoning tokens)</w:t>
            </w:r>
          </w:p>
        </w:tc>
      </w:tr>
      <w:tr>
        <w:tc>
          <w:tcPr>
            <w:tcW w:type="dxa" w:w="1728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Serving Latency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Low/Managed; closed API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Self-hosted; GPU dependent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High throughput, low latency</w:t>
            </w:r>
          </w:p>
        </w:tc>
        <w:tc>
          <w:tcPr>
            <w:tcW w:type="dxa" w:w="201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High latency (test-time compute)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Context Horizon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128k – 2M+ tokens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8k – 128k tokens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32k – 128k tokens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Task-dependent dynamic budget</w:t>
            </w:r>
          </w:p>
        </w:tc>
      </w:tr>
      <w:tr>
        <w:tc>
          <w:tcPr>
            <w:tcW w:type="dxa" w:w="1728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7"/>
              </w:rPr>
              <w:t>Optimal Enterprise Use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General intelligence &amp; multimodal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On-premise privacy &amp; fine-tuning</w:t>
            </w:r>
          </w:p>
        </w:tc>
        <w:tc>
          <w:tcPr>
            <w:tcW w:type="dxa" w:w="187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High-throughput batch workloads</w:t>
            </w:r>
          </w:p>
        </w:tc>
        <w:tc>
          <w:tcPr>
            <w:tcW w:type="dxa" w:w="201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7"/>
              </w:rPr>
              <w:t>Complex logic, math &amp; code audits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A365D"/>
          <w:sz w:val="24"/>
        </w:rPr>
        <w:t>4. Training Lifecycle &amp; Alignment Pipeline</w:t>
      </w:r>
    </w:p>
    <w:p>
      <w:pPr>
        <w:spacing w:before="40" w:after="1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• Self-Supervised Pre-Training: Causal Language Modeling over trillions of tokens using large-scale GPU clusters configured with Megatron-LM tensor slicing and DeepSpeed ZeRO-3 memory distribution.</w:t>
        <w:br/>
        <w:t>• Supervised Fine-Tuning (SFT): Instruction tuning using curated high-quality human demonstrations to enforce conversational protocols, reasoning chains, and structured schema emission.</w:t>
        <w:br/>
        <w:t>• Preference Optimization: Reinforcement Learning from Human Feedback (RLHF) via PPO, and Direct Preference Optimization (DPO) directly fitting policy distributions to human preference data without distinct reward models.</w:t>
      </w:r>
    </w:p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4"/>
        </w:rPr>
        <w:t>5. Enterprise Augmentation &amp; Integration Frameworks</w:t>
      </w:r>
    </w:p>
    <w:p>
      <w:pPr>
        <w:spacing w:before="40" w:after="1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• Retrieval-Augmented Generation (RAG): Combines dense vector retrieval (HNSW indexes, Qdrant/Milvus) and sparse BM25 search to inject proprietary real-time enterprise context into the prompt buffer, drastically mitigating factual hallucination.</w:t>
        <w:br/>
        <w:t>• Tool Calling &amp; Function Calling: Equips models with structured JSON input/output schemas to query live REST APIs, execute sandboxed code, and execute relational SQL transactions autonomously.</w:t>
      </w:r>
    </w:p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4"/>
        </w:rPr>
        <w:t>6. Machine-Readable Schema Specification (JSON Output)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2D3748"/>
                <w:sz w:val="18"/>
              </w:rPr>
              <w:t>{</w:t>
              <w:br/>
              <w:t xml:space="preserve">  "system_config": {</w:t>
              <w:br/>
              <w:t xml:space="preserve">    "model_family": "Transformer-Decoder-Only",</w:t>
              <w:br/>
              <w:t xml:space="preserve">    "architecture_type": "Dense-Causal-LM",</w:t>
              <w:br/>
              <w:t xml:space="preserve">    "runtime_parameters": {</w:t>
              <w:br/>
              <w:t xml:space="preserve">      "temperature": 0.2,</w:t>
              <w:br/>
              <w:t xml:space="preserve">      "top_p": 0.95,</w:t>
              <w:br/>
              <w:t xml:space="preserve">      "max_output_tokens": 4096,</w:t>
              <w:br/>
              <w:t xml:space="preserve">      "presence_penalty": 0.0,</w:t>
              <w:br/>
              <w:t xml:space="preserve">      "frequency_penalty": 0.0</w:t>
              <w:br/>
              <w:t xml:space="preserve">    },</w:t>
              <w:br/>
              <w:t xml:space="preserve">    "inference_engine": "vLLM",</w:t>
              <w:br/>
              <w:t xml:space="preserve">    "hardware_allocation": {</w:t>
              <w:br/>
              <w:t xml:space="preserve">      "gpu_type": "NVIDIA H100 SXM5",</w:t>
              <w:br/>
              <w:t xml:space="preserve">      "tensor_parallelism": 2,</w:t>
              <w:br/>
              <w:t xml:space="preserve">      "quantization": "FP8"</w:t>
              <w:br/>
              <w:t xml:space="preserve">    },</w:t>
              <w:br/>
              <w:t xml:space="preserve">    "safety_layer": {</w:t>
              <w:br/>
              <w:t xml:space="preserve">      "input_moderation_enabled": true,</w:t>
              <w:br/>
              <w:t xml:space="preserve">      "output_grounding_verification": true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