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EXECUTIVE MEMO</w:t>
      </w:r>
    </w:p>
    <w:p>
      <w:pPr>
        <w:spacing w:after="200"/>
      </w:pPr>
      <w:r>
        <w:rPr>
          <w:i/>
          <w:iCs/>
          <w:sz w:val="22"/>
          <w:szCs w:val="22"/>
        </w:rPr>
        <w:t xml:space="preserve">Is the 11% MoM recovery improvement real? Where should the next Rs 10 Cr go?</w:t>
      </w:r>
    </w:p>
    <w:p>
      <w:pPr>
        <w:spacing w:after="240"/>
      </w:pPr>
      <w:r>
        <w:rPr>
          <w:color w:val="555555"/>
          <w:sz w:val="18"/>
          <w:szCs w:val="18"/>
        </w:rPr>
        <w:t xml:space="preserve">Prepared for leadership review | Data through Aug 8, 2026 | Methodology: SQL repo + analysis notebook (attached)</w:t>
      </w:r>
    </w:p>
    <w:p>
      <w:pPr>
        <w:pStyle w:val="Heading1"/>
        <w:spacing w:after="100" w:before="200"/>
      </w:pPr>
      <w:r>
        <w:rPr>
          <w:b/>
          <w:bCs/>
        </w:rPr>
        <w:t xml:space="preserve">What happened</w:t>
      </w:r>
    </w:p>
    <w:p>
      <w:pPr>
        <w:spacing w:after="100"/>
      </w:pPr>
      <w:r>
        <w:t xml:space="preserve">The reported "11% month-on-month recovery improvement" is not real. It is an artifact of duplicate SUCCESS payment records in the source payments feed. We rebuilt the recovery numerator by deduplicating payments (one row per COALESCE(payment_reference, payment_id), keeping the earliest settled row). On that deduplicated basis, recovery amount fell from Rs 184.1M in January 2026 to Rs 148.7M in July 2026 (-19.2%), and the number of accounts recovered fell from 2,338 to 1,868 (-20.1%). August is excluded from this comparison as a partial month.</w:t>
      </w:r>
    </w:p>
    <w:p>
      <w:pPr>
        <w:spacing w:after="100"/>
      </w:pPr>
      <w:r>
        <w:t xml:space="preserve">The naive (non-deduplicated) figures leadership saw look flat-to-improving only because the rate of duplicate-payment inflation itself grew steadily across the period -- from 3.8% of reported recovery in January to 28.6% by August. March 2026's naive month-over-month growth was +11.0%, which is the most likely direct source of the reported 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c>
          <w:tcPr>
            <w:tcW w:type="dxa" w:w="2200"/>
            <w:shd w:fill="D9D9D9" w:color="auto" w:val="clear"/>
          </w:tcPr>
          <w:p>
            <w:r>
              <w:rPr>
                <w:b/>
                <w:bCs/>
              </w:rPr>
              <w:t xml:space="preserve">Metric</w:t>
            </w:r>
          </w:p>
        </w:tc>
        <w:tc>
          <w:tcPr>
            <w:tcW w:type="dxa" w:w="1700"/>
            <w:shd w:fill="D9D9D9" w:color="auto" w:val="clear"/>
          </w:tcPr>
          <w:p>
            <w:r>
              <w:rPr>
                <w:b/>
                <w:bCs/>
              </w:rPr>
              <w:t xml:space="preserve">Jan-26</w:t>
            </w:r>
          </w:p>
        </w:tc>
        <w:tc>
          <w:tcPr>
            <w:tcW w:type="dxa" w:w="1700"/>
            <w:shd w:fill="D9D9D9" w:color="auto" w:val="clear"/>
          </w:tcPr>
          <w:p>
            <w:r>
              <w:rPr>
                <w:b/>
                <w:bCs/>
              </w:rPr>
              <w:t xml:space="preserve">Jul-26</w:t>
            </w:r>
          </w:p>
        </w:tc>
        <w:tc>
          <w:tcPr>
            <w:tcW w:type="dxa" w:w="1700"/>
            <w:shd w:fill="D9D9D9" w:color="auto" w:val="clear"/>
          </w:tcPr>
          <w:p>
            <w:r>
              <w:rPr>
                <w:b/>
                <w:bCs/>
              </w:rPr>
              <w:t xml:space="preserve">Change</w:t>
            </w:r>
          </w:p>
        </w:tc>
        <w:tc>
          <w:tcPr>
            <w:tcW w:type="dxa" w:w="1700"/>
            <w:shd w:fill="D9D9D9" w:color="auto" w:val="clear"/>
          </w:tcPr>
          <w:p>
            <w:r>
              <w:rPr>
                <w:b/>
                <w:bCs/>
              </w:rPr>
              <w:t xml:space="preserve">Trend</w:t>
            </w:r>
          </w:p>
        </w:tc>
      </w:tr>
      <w:tr>
        <w:tc>
          <w:tcPr>
            <w:tcW w:type="dxa" w:w="2200"/>
          </w:tcPr>
          <w:p>
            <w:r>
              <w:rPr>
                <w:b w:val="false"/>
                <w:bCs w:val="false"/>
              </w:rPr>
              <w:t xml:space="preserve">Recovery amount (golden)</w:t>
            </w:r>
          </w:p>
        </w:tc>
        <w:tc>
          <w:tcPr>
            <w:tcW w:type="dxa" w:w="1700"/>
          </w:tcPr>
          <w:p>
            <w:r>
              <w:rPr>
                <w:b w:val="false"/>
                <w:bCs w:val="false"/>
              </w:rPr>
              <w:t xml:space="preserve">Rs 184.1M</w:t>
            </w:r>
          </w:p>
        </w:tc>
        <w:tc>
          <w:tcPr>
            <w:tcW w:type="dxa" w:w="1700"/>
          </w:tcPr>
          <w:p>
            <w:r>
              <w:rPr>
                <w:b w:val="false"/>
                <w:bCs w:val="false"/>
              </w:rPr>
              <w:t xml:space="preserve">Rs 148.7M</w:t>
            </w:r>
          </w:p>
        </w:tc>
        <w:tc>
          <w:tcPr>
            <w:tcW w:type="dxa" w:w="1700"/>
          </w:tcPr>
          <w:p>
            <w:r>
              <w:rPr>
                <w:b w:val="false"/>
                <w:bCs w:val="false"/>
              </w:rPr>
              <w:t xml:space="preserve">-19.2%</w:t>
            </w:r>
          </w:p>
        </w:tc>
        <w:tc>
          <w:tcPr>
            <w:tcW w:type="dxa" w:w="1700"/>
          </w:tcPr>
          <w:p>
            <w:r>
              <w:rPr>
                <w:b w:val="false"/>
                <w:bCs w:val="false"/>
              </w:rPr>
              <w:t xml:space="preserve">Declining</w:t>
            </w:r>
          </w:p>
        </w:tc>
      </w:tr>
      <w:tr>
        <w:tc>
          <w:tcPr>
            <w:tcW w:type="dxa" w:w="2200"/>
          </w:tcPr>
          <w:p>
            <w:r>
              <w:rPr>
                <w:b w:val="false"/>
                <w:bCs w:val="false"/>
              </w:rPr>
              <w:t xml:space="preserve">Accounts recovered</w:t>
            </w:r>
          </w:p>
        </w:tc>
        <w:tc>
          <w:tcPr>
            <w:tcW w:type="dxa" w:w="1700"/>
          </w:tcPr>
          <w:p>
            <w:r>
              <w:rPr>
                <w:b w:val="false"/>
                <w:bCs w:val="false"/>
              </w:rPr>
              <w:t xml:space="preserve">2,338</w:t>
            </w:r>
          </w:p>
        </w:tc>
        <w:tc>
          <w:tcPr>
            <w:tcW w:type="dxa" w:w="1700"/>
          </w:tcPr>
          <w:p>
            <w:r>
              <w:rPr>
                <w:b w:val="false"/>
                <w:bCs w:val="false"/>
              </w:rPr>
              <w:t xml:space="preserve">1,868</w:t>
            </w:r>
          </w:p>
        </w:tc>
        <w:tc>
          <w:tcPr>
            <w:tcW w:type="dxa" w:w="1700"/>
          </w:tcPr>
          <w:p>
            <w:r>
              <w:rPr>
                <w:b w:val="false"/>
                <w:bCs w:val="false"/>
              </w:rPr>
              <w:t xml:space="preserve">-20.1%</w:t>
            </w:r>
          </w:p>
        </w:tc>
        <w:tc>
          <w:tcPr>
            <w:tcW w:type="dxa" w:w="1700"/>
          </w:tcPr>
          <w:p>
            <w:r>
              <w:rPr>
                <w:b w:val="false"/>
                <w:bCs w:val="false"/>
              </w:rPr>
              <w:t xml:space="preserve">Declining</w:t>
            </w:r>
          </w:p>
        </w:tc>
      </w:tr>
      <w:tr>
        <w:tc>
          <w:tcPr>
            <w:tcW w:type="dxa" w:w="2200"/>
          </w:tcPr>
          <w:p>
            <w:r>
              <w:rPr>
                <w:b w:val="false"/>
                <w:bCs w:val="false"/>
              </w:rPr>
              <w:t xml:space="preserve">Contact rate</w:t>
            </w:r>
          </w:p>
        </w:tc>
        <w:tc>
          <w:tcPr>
            <w:tcW w:type="dxa" w:w="1700"/>
          </w:tcPr>
          <w:p>
            <w:r>
              <w:rPr>
                <w:b w:val="false"/>
                <w:bCs w:val="false"/>
              </w:rPr>
              <w:t xml:space="preserve">20.3%</w:t>
            </w:r>
          </w:p>
        </w:tc>
        <w:tc>
          <w:tcPr>
            <w:tcW w:type="dxa" w:w="1700"/>
          </w:tcPr>
          <w:p>
            <w:r>
              <w:rPr>
                <w:b w:val="false"/>
                <w:bCs w:val="false"/>
              </w:rPr>
              <w:t xml:space="preserve">20.1%</w:t>
            </w:r>
          </w:p>
        </w:tc>
        <w:tc>
          <w:tcPr>
            <w:tcW w:type="dxa" w:w="1700"/>
          </w:tcPr>
          <w:p>
            <w:r>
              <w:rPr>
                <w:b w:val="false"/>
                <w:bCs w:val="false"/>
              </w:rPr>
              <w:t xml:space="preserve">~flat</w:t>
            </w:r>
          </w:p>
        </w:tc>
        <w:tc>
          <w:tcPr>
            <w:tcW w:type="dxa" w:w="1700"/>
          </w:tcPr>
          <w:p>
            <w:r>
              <w:rPr>
                <w:b w:val="false"/>
                <w:bCs w:val="false"/>
              </w:rPr>
              <w:t xml:space="preserve">Flat</w:t>
            </w:r>
          </w:p>
        </w:tc>
      </w:tr>
      <w:tr>
        <w:tc>
          <w:tcPr>
            <w:tcW w:type="dxa" w:w="2200"/>
          </w:tcPr>
          <w:p>
            <w:r>
              <w:rPr>
                <w:b w:val="false"/>
                <w:bCs w:val="false"/>
              </w:rPr>
              <w:t xml:space="preserve">PTP kept rate</w:t>
            </w:r>
          </w:p>
        </w:tc>
        <w:tc>
          <w:tcPr>
            <w:tcW w:type="dxa" w:w="1700"/>
          </w:tcPr>
          <w:p>
            <w:r>
              <w:rPr>
                <w:b w:val="false"/>
                <w:bCs w:val="false"/>
              </w:rPr>
              <w:t xml:space="preserve">24.1%</w:t>
            </w:r>
          </w:p>
        </w:tc>
        <w:tc>
          <w:tcPr>
            <w:tcW w:type="dxa" w:w="1700"/>
          </w:tcPr>
          <w:p>
            <w:r>
              <w:rPr>
                <w:b w:val="false"/>
                <w:bCs w:val="false"/>
              </w:rPr>
              <w:t xml:space="preserve">24.6%</w:t>
            </w:r>
          </w:p>
        </w:tc>
        <w:tc>
          <w:tcPr>
            <w:tcW w:type="dxa" w:w="1700"/>
          </w:tcPr>
          <w:p>
            <w:r>
              <w:rPr>
                <w:b w:val="false"/>
                <w:bCs w:val="false"/>
              </w:rPr>
              <w:t xml:space="preserve">~flat</w:t>
            </w:r>
          </w:p>
        </w:tc>
        <w:tc>
          <w:tcPr>
            <w:tcW w:type="dxa" w:w="1700"/>
          </w:tcPr>
          <w:p>
            <w:r>
              <w:rPr>
                <w:b w:val="false"/>
                <w:bCs w:val="false"/>
              </w:rPr>
              <w:t xml:space="preserve">Flat</w:t>
            </w:r>
          </w:p>
        </w:tc>
      </w:tr>
      <w:tr>
        <w:tc>
          <w:tcPr>
            <w:tcW w:type="dxa" w:w="2200"/>
          </w:tcPr>
          <w:p>
            <w:r>
              <w:rPr>
                <w:b w:val="false"/>
                <w:bCs w:val="false"/>
              </w:rPr>
              <w:t xml:space="preserve">Field-visit paid rate</w:t>
            </w:r>
          </w:p>
        </w:tc>
        <w:tc>
          <w:tcPr>
            <w:tcW w:type="dxa" w:w="1700"/>
          </w:tcPr>
          <w:p>
            <w:r>
              <w:rPr>
                <w:b w:val="false"/>
                <w:bCs w:val="false"/>
              </w:rPr>
              <w:t xml:space="preserve">15.3%</w:t>
            </w:r>
          </w:p>
        </w:tc>
        <w:tc>
          <w:tcPr>
            <w:tcW w:type="dxa" w:w="1700"/>
          </w:tcPr>
          <w:p>
            <w:r>
              <w:rPr>
                <w:b w:val="false"/>
                <w:bCs w:val="false"/>
              </w:rPr>
              <w:t xml:space="preserve">16.4%</w:t>
            </w:r>
          </w:p>
        </w:tc>
        <w:tc>
          <w:tcPr>
            <w:tcW w:type="dxa" w:w="1700"/>
          </w:tcPr>
          <w:p>
            <w:r>
              <w:rPr>
                <w:b w:val="false"/>
                <w:bCs w:val="false"/>
              </w:rPr>
              <w:t xml:space="preserve">~flat</w:t>
            </w:r>
          </w:p>
        </w:tc>
        <w:tc>
          <w:tcPr>
            <w:tcW w:type="dxa" w:w="1700"/>
          </w:tcPr>
          <w:p>
            <w:r>
              <w:rPr>
                <w:b w:val="false"/>
                <w:bCs w:val="false"/>
              </w:rPr>
              <w:t xml:space="preserve">Flat</w:t>
            </w:r>
          </w:p>
        </w:tc>
      </w:tr>
      <w:tr>
        <w:tc>
          <w:tcPr>
            <w:tcW w:type="dxa" w:w="2200"/>
          </w:tcPr>
          <w:p>
            <w:r>
              <w:rPr>
                <w:b w:val="false"/>
                <w:bCs w:val="false"/>
              </w:rPr>
              <w:t xml:space="preserve">Reported naive recovery inflation</w:t>
            </w:r>
          </w:p>
        </w:tc>
        <w:tc>
          <w:tcPr>
            <w:tcW w:type="dxa" w:w="1700"/>
          </w:tcPr>
          <w:p>
            <w:r>
              <w:rPr>
                <w:b w:val="false"/>
                <w:bCs w:val="false"/>
              </w:rPr>
              <w:t xml:space="preserve">3.8%</w:t>
            </w:r>
          </w:p>
        </w:tc>
        <w:tc>
          <w:tcPr>
            <w:tcW w:type="dxa" w:w="1700"/>
          </w:tcPr>
          <w:p>
            <w:r>
              <w:rPr>
                <w:b w:val="false"/>
                <w:bCs w:val="false"/>
              </w:rPr>
              <w:t xml:space="preserve">28.0%</w:t>
            </w:r>
          </w:p>
        </w:tc>
        <w:tc>
          <w:tcPr>
            <w:tcW w:type="dxa" w:w="1700"/>
          </w:tcPr>
          <w:p>
            <w:r>
              <w:rPr>
                <w:b w:val="false"/>
                <w:bCs w:val="false"/>
              </w:rPr>
              <w:t xml:space="preserve">+24.2pp</w:t>
            </w:r>
          </w:p>
        </w:tc>
        <w:tc>
          <w:tcPr>
            <w:tcW w:type="dxa" w:w="1700"/>
          </w:tcPr>
          <w:p>
            <w:r>
              <w:rPr>
                <w:b w:val="false"/>
                <w:bCs w:val="false"/>
              </w:rPr>
              <w:t xml:space="preserve">Growing</w:t>
            </w:r>
          </w:p>
        </w:tc>
      </w:tr>
    </w:tbl>
    <w:p>
      <w:pPr>
        <w:spacing w:after="160"/>
      </w:pPr>
    </w:p>
    <w:p>
      <w:pPr>
        <w:pStyle w:val="Heading1"/>
        <w:spacing w:after="100" w:before="200"/>
      </w:pPr>
      <w:r>
        <w:rPr>
          <w:b/>
          <w:bCs/>
        </w:rPr>
        <w:t xml:space="preserve">Why it happened</w:t>
      </w:r>
    </w:p>
    <w:p>
      <w:pPr>
        <w:spacing w:after="100"/>
      </w:pPr>
      <w:r>
        <w:t xml:space="preserve">We tested and ruled out the most likely alternative explanations for the apparent trend:</w:t>
      </w:r>
    </w:p>
    <w:p>
      <w:pPr>
        <w:pStyle w:val="ListParagraph"/>
        <w:numPr>
          <w:ilvl w:val="0"/>
          <w:numId w:val="1"/>
        </w:numPr>
        <w:spacing w:after="40"/>
      </w:pPr>
      <w:r>
        <w:t xml:space="preserve">Portfolio mix (risk segment, DPD) at origination and among recovered accounts: stable throughout (Fact).</w:t>
      </w:r>
    </w:p>
    <w:p>
      <w:pPr>
        <w:pStyle w:val="ListParagraph"/>
        <w:numPr>
          <w:ilvl w:val="0"/>
          <w:numId w:val="1"/>
        </w:numPr>
        <w:spacing w:after="40"/>
      </w:pPr>
      <w:r>
        <w:t xml:space="preserve">Operational quality -- contact rate (~20%), PTP kept-rate (~25%), field-visit paid-rate (~16%), attempts-per-account (~1.3): all flat month over month (Fact).</w:t>
      </w:r>
    </w:p>
    <w:p>
      <w:pPr>
        <w:pStyle w:val="ListParagraph"/>
        <w:numPr>
          <w:ilvl w:val="0"/>
          <w:numId w:val="1"/>
        </w:numPr>
        <w:spacing w:after="40"/>
      </w:pPr>
      <w:r>
        <w:t xml:space="preserve">Targeting-funnel narrowing (denominator manipulation): daily_targeting covers a stable ~5-6k of ~15k open accounts per month; not the driver of the naive trend (Strong Evidence).</w:t>
      </w:r>
    </w:p>
    <w:p>
      <w:pPr>
        <w:spacing w:after="100"/>
      </w:pPr>
      <w:r>
        <w:t xml:space="preserve">With effort and quality both flat while real output declines, the residual decline in recovery is not explained by anything visible in this dataset (Hypothesis: seasonality, portfolio aging/vintage curve, or a cost/pricing change outside the provided tables). We could not isolate the effect of the stated targeting-strategy change specifically: campaigns.strategy_version is not chronologically ordered (all four versions appear in every month), so no clean before/after split exists for a difference-in-differences or matching design. This is a data-availability gap, not a modelling shortcut -- see the SQL repo (04_counterfactual.sql) for exactly what would be needed to answer it properly.</w:t>
      </w:r>
    </w:p>
    <w:p>
      <w:pPr>
        <w:pStyle w:val="Heading1"/>
        <w:spacing w:after="100" w:before="200"/>
      </w:pPr>
      <w:r>
        <w:rPr>
          <w:b/>
          <w:bCs/>
        </w:rPr>
        <w:t xml:space="preserve">How confident are we</w:t>
      </w:r>
    </w:p>
    <w:p>
      <w:pPr>
        <w:spacing w:after="100"/>
      </w:pPr>
      <w:r>
        <w:t xml:space="preserve">The duplicate-payment finding and the resulting recovery decline are Fact -- directly counted from the data with a documented, reproducible dedup rule (see Data Quality Report). The ruling-out of mix and quality-driven explanations is Strong Evidence. The root cause of the underlying decline itself, beyond the reporting artifact, remains a Hypothesis requiring data not in this package (cost/pricing, macro/seasonal indices, and a resolvable agent dimension -- agents.csv could not be used for tenure or attrition analysis because it contains no resolvable agent identity; see Data Quality Report).</w:t>
      </w:r>
    </w:p>
    <w:p>
      <w:pPr>
        <w:pStyle w:val="Heading1"/>
        <w:spacing w:after="100" w:before="200"/>
      </w:pPr>
      <w:r>
        <w:rPr>
          <w:b/>
          <w:bCs/>
        </w:rPr>
        <w:t xml:space="preserve">What should we do -- Rs 10 Cr recommendation</w:t>
      </w:r>
    </w:p>
    <w:p>
      <w:pPr>
        <w:spacing w:after="100"/>
      </w:pPr>
      <w:r>
        <w:t xml:space="preserve">Recommendation: Better borrower targeting.</w:t>
      </w:r>
    </w:p>
    <w:p>
      <w:pPr>
        <w:spacing w:after="100"/>
      </w:pPr>
      <w:r>
        <w:t xml:space="preserve">Rationale: attempt volume per account is already flat and not the constraint; the constraint is conversion per contact against a book whose real recovery is falling despite unchanged effort. Re-prioritizing the existing contact budget toward accounts with a higher probability of payment (using DPD, risk_segment, and payment-history features already in the golden dataset) is the lowest-risk way to convert existing effort into more recovered rupees, versus adding raw capacity (more agents), unproven automation (AI voice), or infrastructure/channel spend where this dataset shows no operational bottleneck (telephony volume and channel funnels are not capacity-constrained here).</w:t>
      </w:r>
    </w:p>
    <w:p>
      <w:pPr>
        <w:spacing w:after="80"/>
      </w:pPr>
      <w:r>
        <w:rPr>
          <w:b/>
          <w:bCs/>
        </w:rPr>
        <w:t xml:space="preserve">Expected incremental recovery: </w:t>
      </w:r>
      <w:r>
        <w:t xml:space="preserve">Directionally positive but not quantifiable to a defensible point estimate from this dataset alone -- no historical A/B or holdout period against a targeting-model change exists here.</w:t>
      </w:r>
    </w:p>
    <w:p>
      <w:pPr>
        <w:spacing w:after="80"/>
      </w:pPr>
      <w:r>
        <w:rPr>
          <w:b/>
          <w:bCs/>
        </w:rPr>
        <w:t xml:space="preserve">Estimated cost: </w:t>
      </w:r>
      <w:r>
        <w:t xml:space="preserve">A borrower-targeting model plus a small live experiment is materially cheaper than Rs 10 Cr of headcount or infrastructure; most of the budget should be held back pending experiment results rather than deployed up front.</w:t>
      </w:r>
    </w:p>
    <w:p>
      <w:pPr>
        <w:spacing w:after="80"/>
      </w:pPr>
      <w:r>
        <w:rPr>
          <w:b/>
          <w:bCs/>
        </w:rPr>
        <w:t xml:space="preserve">Expected ROI / Break-even: </w:t>
      </w:r>
      <w:r>
        <w:t xml:space="preserve">Not computable from this dataset -- no cost-per-agent-hour, vendor billing, or campaign-cost table was provided (see Data Quality Report, item 10). Any ROI figure without that table would be invented, not derived.</w:t>
      </w:r>
    </w:p>
    <w:p>
      <w:pPr>
        <w:spacing w:after="80"/>
      </w:pPr>
      <w:r>
        <w:rPr>
          <w:b/>
          <w:bCs/>
        </w:rPr>
        <w:t xml:space="preserve">Key assumptions: </w:t>
      </w:r>
      <w:r>
        <w:t xml:space="preserve">Conversion probability is predictable from DPD/risk_segment/payment-history features already in the golden dataset; the current targeting funnel is leaving recoverable accounts under-prioritized.</w:t>
      </w:r>
    </w:p>
    <w:p>
      <w:pPr>
        <w:spacing w:after="80"/>
      </w:pPr>
      <w:r>
        <w:rPr>
          <w:b/>
          <w:bCs/>
        </w:rPr>
        <w:t xml:space="preserve">Downside scenario: </w:t>
      </w:r>
      <w:r>
        <w:t xml:space="preserve">If conversion is largely driven by unobserved borrower-level factors (ability to pay) rather than targeting/contact strategy, re-prioritization yields little uplift and the Rs 10 Cr would be better spent as a funded experiment across two or three of the six options rather than a single bet.</w:t>
      </w:r>
    </w:p>
    <w:p>
      <w:pPr>
        <w:spacing w:after="80"/>
      </w:pPr>
      <w:r>
        <w:rPr>
          <w:b/>
          <w:bCs/>
        </w:rPr>
        <w:t xml:space="preserve">Confidence / range: </w:t>
      </w:r>
      <w:r>
        <w:t xml:space="preserve">Low-to-moderate. This is the best-supported direction given what is flat (effort, quality) versus what is not required (more volume), but it is a recommendation to run a bounded experiment first, not a green light to deploy the full Rs 10 Cr immediately.</w:t>
      </w:r>
    </w:p>
    <w:p>
      <w:pPr>
        <w:spacing w:after="100"/>
      </w:pPr>
      <w:r>
        <w:t xml:space="preserve">If leadership needs a single-number ROI before committing capital, the required next step is sourcing a cost/pricing table and running a 60-90 day randomized targeting pilot on a held-out slice of the book -- both are described in the SQL repo and production design doc.</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2026-08-31T19:16:54.337Z</dcterms:created>
  <dcterms:modified xsi:type="dcterms:W3CDTF">2026-08-31T19:16:54.350Z</dcterms:modified>
</cp:coreProperties>
</file>

<file path=docProps/custom.xml><?xml version="1.0" encoding="utf-8"?>
<Properties xmlns="http://schemas.openxmlformats.org/officeDocument/2006/custom-properties" xmlns:vt="http://schemas.openxmlformats.org/officeDocument/2006/docPropsVTypes"/>
</file>