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auto" w:line="240"/>
      </w:pPr>
    </w:p>
    <w:p>
      <w:pPr>
        <w:spacing w:lineRule="auto" w:line="240"/>
      </w:pPr>
    </w:p>
    <w:p>
      <w:pPr>
        <w:spacing w:lineRule="auto" w:line="240"/>
      </w:pPr>
    </w:p>
    <w:p>
      <w:pPr>
        <w:spacing w:lineRule="auto" w:line="288"/>
        <w:jc w:val="center"/>
      </w:pPr>
      <w:r>
        <w:rPr>
          <w:b/>
          <w:color w:val="101820"/>
          <w:sz w:val="64"/>
        </w:rPr>
        <w:t>Multimodal RAG Production</w:t>
      </w:r>
    </w:p>
    <w:p>
      <w:pPr>
        <w:spacing w:lineRule="auto" w:line="312"/>
        <w:jc w:val="center"/>
      </w:pPr>
      <w:r>
        <w:rPr>
          <w:color w:val="506070"/>
          <w:sz w:val="28"/>
        </w:rPr>
        <w:t>A Production-Grade Multimodal Retrieval-Augmented Generation Pipeline</w:t>
      </w:r>
    </w:p>
    <w:p>
      <w:pPr>
        <w:spacing w:lineRule="auto" w:line="312"/>
        <w:jc w:val="center"/>
      </w:pPr>
      <w:r>
        <w:rPr>
          <w:i/>
          <w:color w:val="506070"/>
          <w:sz w:val="22"/>
        </w:rPr>
        <w:t>End-to-end rebuild of github.com/AdilShamim8/Multimodal_RAG_Production</w:t>
      </w:r>
    </w:p>
    <w:p>
      <w:pPr>
        <w:spacing w:lineRule="auto" w:line="240"/>
      </w:pPr>
    </w:p>
    <w:p>
      <w:pPr>
        <w:spacing w:lineRule="auto" w:line="240"/>
      </w:pPr>
    </w:p>
    <w:p>
      <w:pPr>
        <w:spacing w:lineRule="auto" w:line="240"/>
      </w:pPr>
    </w:p>
    <w:p>
      <w:pPr>
        <w:spacing w:lineRule="auto" w:line="312"/>
        <w:jc w:val="center"/>
      </w:pPr>
      <w:r>
        <w:rPr>
          <w:color w:val="506070"/>
          <w:sz w:val="22"/>
        </w:rPr>
        <w:t>Version 1.0.0  |  2026-07-06</w:t>
      </w:r>
    </w:p>
    <w:p>
      <w:pPr>
        <w:spacing w:lineRule="auto" w:line="312"/>
        <w:jc w:val="center"/>
      </w:pPr>
      <w:r>
        <w:rPr>
          <w:i/>
          <w:color w:val="506070"/>
          <w:sz w:val="20"/>
        </w:rPr>
        <w:t>Technical Documentation for Engineers</w:t>
      </w:r>
    </w:p>
    <w:p>
      <w:r>
        <w:br w:type="page"/>
      </w:r>
    </w:p>
    <w:p>
      <w:pPr>
        <w:pStyle w:val="Heading1"/>
        <w:spacing w:lineRule="auto" w:line="312"/>
      </w:pPr>
      <w:bookmarkStart w:id="100000" w:name="_Toc100000"/>
      <w:r>
        <w:t>Table of Contents</w:t>
      </w:r>
      <w:bookmarkEnd w:id="100000"/>
    </w:p>
    <w:p>
      <w:pPr>
        <w:spacing w:lineRule="auto" w:line="312"/>
      </w:pPr>
      <w:r>
        <w:t>This table of contents is generated automatically by Word. To refresh it, right-click anywhere on the field below and select 'Update Field' (or press F9).</w:t>
      </w:r>
    </w:p>
    <w:p>
      <w:pPr>
        <w:pStyle w:val="9"/>
        <w:tabs>
          <w:tab w:val="right" w:leader="dot" w:pos="9026"/>
        </w:tabs>
        <w:spacing w:before="120" w:after="60"/>
      </w:pPr>
      <w:hyperlink w:anchor="_Toc100000" w:history="1">
        <w:r>
          <w:rPr>
            <w:rStyle w:val="Hyperlink"/>
          </w:rPr>
          <w:t>Table of Contents</w:t>
        </w:r>
        <w:r>
          <w:tab/>
        </w:r>
        <w:r>
          <w:fldChar w:fldCharType="begin"/>
        </w:r>
        <w:r>
          <w:instrText xml:space="preserve"> PAGEREF _Toc100000 \h </w:instrText>
        </w:r>
        <w:r>
          <w:fldChar w:fldCharType="separate"/>
        </w:r>
        <w:r>
          <w:t>2</w:t>
        </w:r>
        <w:r>
          <w:fldChar w:fldCharType="end"/>
        </w:r>
      </w:hyperlink>
    </w:p>
    <w:p>
      <w:pPr>
        <w:pStyle w:val="9"/>
        <w:tabs>
          <w:tab w:val="right" w:leader="dot" w:pos="9026"/>
        </w:tabs>
        <w:spacing w:before="120" w:after="60"/>
      </w:pPr>
      <w:hyperlink w:anchor="_Toc100001" w:history="1">
        <w:r>
          <w:rPr>
            <w:rStyle w:val="Hyperlink"/>
          </w:rPr>
          <w:t>1. Executive Summary</w:t>
        </w:r>
        <w:r>
          <w:tab/>
        </w:r>
        <w:r>
          <w:fldChar w:fldCharType="begin"/>
        </w:r>
        <w:r>
          <w:instrText xml:space="preserve"> PAGEREF _Toc100001 \h </w:instrText>
        </w:r>
        <w:r>
          <w:fldChar w:fldCharType="separate"/>
        </w:r>
        <w:r>
          <w:t>3</w:t>
        </w:r>
        <w:r>
          <w:fldChar w:fldCharType="end"/>
        </w:r>
      </w:hyperlink>
    </w:p>
    <w:p>
      <w:pPr>
        <w:pStyle w:val="9"/>
        <w:tabs>
          <w:tab w:val="right" w:leader="dot" w:pos="9026"/>
        </w:tabs>
        <w:spacing w:before="120" w:after="60"/>
      </w:pPr>
      <w:hyperlink w:anchor="_Toc100002" w:history="1">
        <w:r>
          <w:rPr>
            <w:rStyle w:val="Hyperlink"/>
          </w:rPr>
          <w:t>2. Project Overview</w:t>
        </w:r>
        <w:r>
          <w:tab/>
        </w:r>
        <w:r>
          <w:fldChar w:fldCharType="begin"/>
        </w:r>
        <w:r>
          <w:instrText xml:space="preserve"> PAGEREF _Toc100002 \h </w:instrText>
        </w:r>
        <w:r>
          <w:fldChar w:fldCharType="separate"/>
        </w:r>
        <w:r>
          <w:t>3</w:t>
        </w:r>
        <w:r>
          <w:fldChar w:fldCharType="end"/>
        </w:r>
      </w:hyperlink>
    </w:p>
    <w:p>
      <w:pPr>
        <w:pStyle w:val="9"/>
        <w:tabs>
          <w:tab w:val="right" w:leader="dot" w:pos="9026"/>
        </w:tabs>
        <w:spacing w:before="120" w:after="60"/>
      </w:pPr>
      <w:hyperlink w:anchor="_Toc100003" w:history="1">
        <w:r>
          <w:rPr>
            <w:rStyle w:val="Hyperlink"/>
          </w:rPr>
          <w:t>3. Repository Analysis</w:t>
        </w:r>
        <w:r>
          <w:tab/>
        </w:r>
        <w:r>
          <w:fldChar w:fldCharType="begin"/>
        </w:r>
        <w:r>
          <w:instrText xml:space="preserve"> PAGEREF _Toc100003 \h </w:instrText>
        </w:r>
        <w:r>
          <w:fldChar w:fldCharType="separate"/>
        </w:r>
        <w:r>
          <w:t>4</w:t>
        </w:r>
        <w:r>
          <w:fldChar w:fldCharType="end"/>
        </w:r>
      </w:hyperlink>
    </w:p>
    <w:p>
      <w:pPr>
        <w:pStyle w:val="9"/>
        <w:tabs>
          <w:tab w:val="right" w:leader="dot" w:pos="9026"/>
        </w:tabs>
        <w:spacing w:before="120" w:after="60"/>
      </w:pPr>
      <w:hyperlink w:anchor="_Toc100004" w:history="1">
        <w:r>
          <w:rPr>
            <w:rStyle w:val="Hyperlink"/>
          </w:rPr>
          <w:t>4. Folder-by-Folder Explanation</w:t>
        </w:r>
        <w:r>
          <w:tab/>
        </w:r>
        <w:r>
          <w:fldChar w:fldCharType="begin"/>
        </w:r>
        <w:r>
          <w:instrText xml:space="preserve"> PAGEREF _Toc100004 \h </w:instrText>
        </w:r>
        <w:r>
          <w:fldChar w:fldCharType="separate"/>
        </w:r>
        <w:r>
          <w:t>4</w:t>
        </w:r>
        <w:r>
          <w:fldChar w:fldCharType="end"/>
        </w:r>
      </w:hyperlink>
    </w:p>
    <w:p>
      <w:pPr>
        <w:pStyle w:val="9"/>
        <w:tabs>
          <w:tab w:val="right" w:leader="dot" w:pos="9026"/>
        </w:tabs>
        <w:spacing w:before="120" w:after="60"/>
      </w:pPr>
      <w:hyperlink w:anchor="_Toc100005" w:history="1">
        <w:r>
          <w:rPr>
            <w:rStyle w:val="Hyperlink"/>
          </w:rPr>
          <w:t>5. File-by-File Explanation</w:t>
        </w:r>
        <w:r>
          <w:tab/>
        </w:r>
        <w:r>
          <w:fldChar w:fldCharType="begin"/>
        </w:r>
        <w:r>
          <w:instrText xml:space="preserve"> PAGEREF _Toc100005 \h </w:instrText>
        </w:r>
        <w:r>
          <w:fldChar w:fldCharType="separate"/>
        </w:r>
        <w:r>
          <w:t>5</w:t>
        </w:r>
        <w:r>
          <w:fldChar w:fldCharType="end"/>
        </w:r>
      </w:hyperlink>
    </w:p>
    <w:p>
      <w:pPr>
        <w:pStyle w:val="9"/>
        <w:tabs>
          <w:tab w:val="right" w:leader="dot" w:pos="9026"/>
        </w:tabs>
        <w:spacing w:before="120" w:after="60"/>
      </w:pPr>
      <w:hyperlink w:anchor="_Toc100006" w:history="1">
        <w:r>
          <w:rPr>
            <w:rStyle w:val="Hyperlink"/>
          </w:rPr>
          <w:t>6. Architecture Diagrams</w:t>
        </w:r>
        <w:r>
          <w:tab/>
        </w:r>
        <w:r>
          <w:fldChar w:fldCharType="begin"/>
        </w:r>
        <w:r>
          <w:instrText xml:space="preserve"> PAGEREF _Toc100006 \h </w:instrText>
        </w:r>
        <w:r>
          <w:fldChar w:fldCharType="separate"/>
        </w:r>
        <w:r>
          <w:t>5</w:t>
        </w:r>
        <w:r>
          <w:fldChar w:fldCharType="end"/>
        </w:r>
      </w:hyperlink>
    </w:p>
    <w:p>
      <w:pPr>
        <w:pStyle w:val="9"/>
        <w:tabs>
          <w:tab w:val="right" w:leader="dot" w:pos="9026"/>
        </w:tabs>
        <w:spacing w:before="120" w:after="60"/>
      </w:pPr>
      <w:hyperlink w:anchor="_Toc100007" w:history="1">
        <w:r>
          <w:rPr>
            <w:rStyle w:val="Hyperlink"/>
          </w:rPr>
          <w:t>7. Data Flow</w:t>
        </w:r>
        <w:r>
          <w:tab/>
        </w:r>
        <w:r>
          <w:fldChar w:fldCharType="begin"/>
        </w:r>
        <w:r>
          <w:instrText xml:space="preserve"> PAGEREF _Toc100007 \h </w:instrText>
        </w:r>
        <w:r>
          <w:fldChar w:fldCharType="separate"/>
        </w:r>
        <w:r>
          <w:t>6</w:t>
        </w:r>
        <w:r>
          <w:fldChar w:fldCharType="end"/>
        </w:r>
      </w:hyperlink>
    </w:p>
    <w:p>
      <w:pPr>
        <w:pStyle w:val="9"/>
        <w:tabs>
          <w:tab w:val="right" w:leader="dot" w:pos="9026"/>
        </w:tabs>
        <w:spacing w:before="120" w:after="60"/>
      </w:pPr>
      <w:hyperlink w:anchor="_Toc100008" w:history="1">
        <w:r>
          <w:rPr>
            <w:rStyle w:val="Hyperlink"/>
          </w:rPr>
          <w:t>8. Multimodal RAG Pipeline</w:t>
        </w:r>
        <w:r>
          <w:tab/>
        </w:r>
        <w:r>
          <w:fldChar w:fldCharType="begin"/>
        </w:r>
        <w:r>
          <w:instrText xml:space="preserve"> PAGEREF _Toc100008 \h </w:instrText>
        </w:r>
        <w:r>
          <w:fldChar w:fldCharType="separate"/>
        </w:r>
        <w:r>
          <w:t>6</w:t>
        </w:r>
        <w:r>
          <w:fldChar w:fldCharType="end"/>
        </w:r>
      </w:hyperlink>
    </w:p>
    <w:p>
      <w:pPr>
        <w:pStyle w:val="9"/>
        <w:tabs>
          <w:tab w:val="right" w:leader="dot" w:pos="9026"/>
        </w:tabs>
        <w:spacing w:before="120" w:after="60"/>
      </w:pPr>
      <w:hyperlink w:anchor="_Toc100009" w:history="1">
        <w:r>
          <w:rPr>
            <w:rStyle w:val="Hyperlink"/>
          </w:rPr>
          <w:t>9. Technology Stack</w:t>
        </w:r>
        <w:r>
          <w:tab/>
        </w:r>
        <w:r>
          <w:fldChar w:fldCharType="begin"/>
        </w:r>
        <w:r>
          <w:instrText xml:space="preserve"> PAGEREF _Toc100009 \h </w:instrText>
        </w:r>
        <w:r>
          <w:fldChar w:fldCharType="separate"/>
        </w:r>
        <w:r>
          <w:t>7</w:t>
        </w:r>
        <w:r>
          <w:fldChar w:fldCharType="end"/>
        </w:r>
      </w:hyperlink>
    </w:p>
    <w:p>
      <w:pPr>
        <w:pStyle w:val="9"/>
        <w:tabs>
          <w:tab w:val="right" w:leader="dot" w:pos="9026"/>
        </w:tabs>
        <w:spacing w:before="120" w:after="60"/>
      </w:pPr>
      <w:hyperlink w:anchor="_Toc100010" w:history="1">
        <w:r>
          <w:rPr>
            <w:rStyle w:val="Hyperlink"/>
          </w:rPr>
          <w:t>10. Libraries Used</w:t>
        </w:r>
        <w:r>
          <w:tab/>
        </w:r>
        <w:r>
          <w:fldChar w:fldCharType="begin"/>
        </w:r>
        <w:r>
          <w:instrText xml:space="preserve"> PAGEREF _Toc100010 \h </w:instrText>
        </w:r>
        <w:r>
          <w:fldChar w:fldCharType="separate"/>
        </w:r>
        <w:r>
          <w:t>7</w:t>
        </w:r>
        <w:r>
          <w:fldChar w:fldCharType="end"/>
        </w:r>
      </w:hyperlink>
    </w:p>
    <w:p>
      <w:pPr>
        <w:pStyle w:val="9"/>
        <w:tabs>
          <w:tab w:val="right" w:leader="dot" w:pos="9026"/>
        </w:tabs>
        <w:spacing w:before="120" w:after="60"/>
      </w:pPr>
      <w:hyperlink w:anchor="_Toc100011" w:history="1">
        <w:r>
          <w:rPr>
            <w:rStyle w:val="Hyperlink"/>
          </w:rPr>
          <w:t>11. Installation Guide</w:t>
        </w:r>
        <w:r>
          <w:tab/>
        </w:r>
        <w:r>
          <w:fldChar w:fldCharType="begin"/>
        </w:r>
        <w:r>
          <w:instrText xml:space="preserve"> PAGEREF _Toc100011 \h </w:instrText>
        </w:r>
        <w:r>
          <w:fldChar w:fldCharType="separate"/>
        </w:r>
        <w:r>
          <w:t>7</w:t>
        </w:r>
        <w:r>
          <w:fldChar w:fldCharType="end"/>
        </w:r>
      </w:hyperlink>
    </w:p>
    <w:p>
      <w:pPr>
        <w:pStyle w:val="9"/>
        <w:tabs>
          <w:tab w:val="right" w:leader="dot" w:pos="9026"/>
        </w:tabs>
        <w:spacing w:before="120" w:after="60"/>
      </w:pPr>
      <w:hyperlink w:anchor="_Toc100012" w:history="1">
        <w:r>
          <w:rPr>
            <w:rStyle w:val="Hyperlink"/>
          </w:rPr>
          <w:t>12. Environment Setup</w:t>
        </w:r>
        <w:r>
          <w:tab/>
        </w:r>
        <w:r>
          <w:fldChar w:fldCharType="begin"/>
        </w:r>
        <w:r>
          <w:instrText xml:space="preserve"> PAGEREF _Toc100012 \h </w:instrText>
        </w:r>
        <w:r>
          <w:fldChar w:fldCharType="separate"/>
        </w:r>
        <w:r>
          <w:t>9</w:t>
        </w:r>
        <w:r>
          <w:fldChar w:fldCharType="end"/>
        </w:r>
      </w:hyperlink>
    </w:p>
    <w:p>
      <w:pPr>
        <w:pStyle w:val="11"/>
        <w:ind w:left="360"/>
        <w:tabs>
          <w:tab w:val="right" w:leader="dot" w:pos="9026"/>
        </w:tabs>
        <w:spacing w:before="120" w:after="60"/>
      </w:pPr>
      <w:hyperlink w:anchor="_Toc100013" w:history="1">
        <w:r>
          <w:rPr>
            <w:rStyle w:val="Hyperlink"/>
          </w:rPr>
          <w:t>Key environment variables</w:t>
        </w:r>
        <w:r>
          <w:tab/>
        </w:r>
        <w:r>
          <w:fldChar w:fldCharType="begin"/>
        </w:r>
        <w:r>
          <w:instrText xml:space="preserve"> PAGEREF _Toc100013 \h </w:instrText>
        </w:r>
        <w:r>
          <w:fldChar w:fldCharType="separate"/>
        </w:r>
        <w:r>
          <w:t>9</w:t>
        </w:r>
        <w:r>
          <w:fldChar w:fldCharType="end"/>
        </w:r>
      </w:hyperlink>
    </w:p>
    <w:p>
      <w:pPr>
        <w:pStyle w:val="9"/>
        <w:tabs>
          <w:tab w:val="right" w:leader="dot" w:pos="9026"/>
        </w:tabs>
        <w:spacing w:before="120" w:after="60"/>
      </w:pPr>
      <w:hyperlink w:anchor="_Toc100014" w:history="1">
        <w:r>
          <w:rPr>
            <w:rStyle w:val="Hyperlink"/>
          </w:rPr>
          <w:t>13. Code Explanation</w:t>
        </w:r>
        <w:r>
          <w:tab/>
        </w:r>
        <w:r>
          <w:fldChar w:fldCharType="begin"/>
        </w:r>
        <w:r>
          <w:instrText xml:space="preserve"> PAGEREF _Toc100014 \h </w:instrText>
        </w:r>
        <w:r>
          <w:fldChar w:fldCharType="separate"/>
        </w:r>
        <w:r>
          <w:t>9</w:t>
        </w:r>
        <w:r>
          <w:fldChar w:fldCharType="end"/>
        </w:r>
      </w:hyperlink>
    </w:p>
    <w:p>
      <w:pPr>
        <w:pStyle w:val="9"/>
        <w:tabs>
          <w:tab w:val="right" w:leader="dot" w:pos="9026"/>
        </w:tabs>
        <w:spacing w:before="120" w:after="60"/>
      </w:pPr>
      <w:hyperlink w:anchor="_Toc100015" w:history="1">
        <w:r>
          <w:rPr>
            <w:rStyle w:val="Hyperlink"/>
          </w:rPr>
          <w:t>14. Model Explanation</w:t>
        </w:r>
        <w:r>
          <w:tab/>
        </w:r>
        <w:r>
          <w:fldChar w:fldCharType="begin"/>
        </w:r>
        <w:r>
          <w:instrText xml:space="preserve"> PAGEREF _Toc100015 \h </w:instrText>
        </w:r>
        <w:r>
          <w:fldChar w:fldCharType="separate"/>
        </w:r>
        <w:r>
          <w:t>10</w:t>
        </w:r>
        <w:r>
          <w:fldChar w:fldCharType="end"/>
        </w:r>
      </w:hyperlink>
    </w:p>
    <w:p>
      <w:pPr>
        <w:pStyle w:val="9"/>
        <w:tabs>
          <w:tab w:val="right" w:leader="dot" w:pos="9026"/>
        </w:tabs>
        <w:spacing w:before="120" w:after="60"/>
      </w:pPr>
      <w:hyperlink w:anchor="_Toc100016" w:history="1">
        <w:r>
          <w:rPr>
            <w:rStyle w:val="Hyperlink"/>
          </w:rPr>
          <w:t>15. Embedding Workflow</w:t>
        </w:r>
        <w:r>
          <w:tab/>
        </w:r>
        <w:r>
          <w:fldChar w:fldCharType="begin"/>
        </w:r>
        <w:r>
          <w:instrText xml:space="preserve"> PAGEREF _Toc100016 \h </w:instrText>
        </w:r>
        <w:r>
          <w:fldChar w:fldCharType="separate"/>
        </w:r>
        <w:r>
          <w:t>10</w:t>
        </w:r>
        <w:r>
          <w:fldChar w:fldCharType="end"/>
        </w:r>
      </w:hyperlink>
    </w:p>
    <w:p>
      <w:pPr>
        <w:pStyle w:val="9"/>
        <w:tabs>
          <w:tab w:val="right" w:leader="dot" w:pos="9026"/>
        </w:tabs>
        <w:spacing w:before="120" w:after="60"/>
      </w:pPr>
      <w:hyperlink w:anchor="_Toc100017" w:history="1">
        <w:r>
          <w:rPr>
            <w:rStyle w:val="Hyperlink"/>
          </w:rPr>
          <w:t>16. Vector Database Workflow</w:t>
        </w:r>
        <w:r>
          <w:tab/>
        </w:r>
        <w:r>
          <w:fldChar w:fldCharType="begin"/>
        </w:r>
        <w:r>
          <w:instrText xml:space="preserve"> PAGEREF _Toc100017 \h </w:instrText>
        </w:r>
        <w:r>
          <w:fldChar w:fldCharType="separate"/>
        </w:r>
        <w:r>
          <w:t>11</w:t>
        </w:r>
        <w:r>
          <w:fldChar w:fldCharType="end"/>
        </w:r>
      </w:hyperlink>
    </w:p>
    <w:p>
      <w:pPr>
        <w:pStyle w:val="9"/>
        <w:tabs>
          <w:tab w:val="right" w:leader="dot" w:pos="9026"/>
        </w:tabs>
        <w:spacing w:before="120" w:after="60"/>
      </w:pPr>
      <w:hyperlink w:anchor="_Toc100018" w:history="1">
        <w:r>
          <w:rPr>
            <w:rStyle w:val="Hyperlink"/>
          </w:rPr>
          <w:t>17. Retrieval Process</w:t>
        </w:r>
        <w:r>
          <w:tab/>
        </w:r>
        <w:r>
          <w:fldChar w:fldCharType="begin"/>
        </w:r>
        <w:r>
          <w:instrText xml:space="preserve"> PAGEREF _Toc100018 \h </w:instrText>
        </w:r>
        <w:r>
          <w:fldChar w:fldCharType="separate"/>
        </w:r>
        <w:r>
          <w:t>11</w:t>
        </w:r>
        <w:r>
          <w:fldChar w:fldCharType="end"/>
        </w:r>
      </w:hyperlink>
    </w:p>
    <w:p>
      <w:pPr>
        <w:pStyle w:val="9"/>
        <w:tabs>
          <w:tab w:val="right" w:leader="dot" w:pos="9026"/>
        </w:tabs>
        <w:spacing w:before="120" w:after="60"/>
      </w:pPr>
      <w:hyperlink w:anchor="_Toc100019" w:history="1">
        <w:r>
          <w:rPr>
            <w:rStyle w:val="Hyperlink"/>
          </w:rPr>
          <w:t>18. Prompt Engineering</w:t>
        </w:r>
        <w:r>
          <w:tab/>
        </w:r>
        <w:r>
          <w:fldChar w:fldCharType="begin"/>
        </w:r>
        <w:r>
          <w:instrText xml:space="preserve"> PAGEREF _Toc100019 \h </w:instrText>
        </w:r>
        <w:r>
          <w:fldChar w:fldCharType="separate"/>
        </w:r>
        <w:r>
          <w:t>12</w:t>
        </w:r>
        <w:r>
          <w:fldChar w:fldCharType="end"/>
        </w:r>
      </w:hyperlink>
    </w:p>
    <w:p>
      <w:pPr>
        <w:pStyle w:val="9"/>
        <w:tabs>
          <w:tab w:val="right" w:leader="dot" w:pos="9026"/>
        </w:tabs>
        <w:spacing w:before="120" w:after="60"/>
      </w:pPr>
      <w:hyperlink w:anchor="_Toc100020" w:history="1">
        <w:r>
          <w:rPr>
            <w:rStyle w:val="Hyperlink"/>
          </w:rPr>
          <w:t>19. API Documentation</w:t>
        </w:r>
        <w:r>
          <w:tab/>
        </w:r>
        <w:r>
          <w:fldChar w:fldCharType="begin"/>
        </w:r>
        <w:r>
          <w:instrText xml:space="preserve"> PAGEREF _Toc100020 \h </w:instrText>
        </w:r>
        <w:r>
          <w:fldChar w:fldCharType="separate"/>
        </w:r>
        <w:r>
          <w:t>12</w:t>
        </w:r>
        <w:r>
          <w:fldChar w:fldCharType="end"/>
        </w:r>
      </w:hyperlink>
    </w:p>
    <w:p>
      <w:pPr>
        <w:pStyle w:val="9"/>
        <w:tabs>
          <w:tab w:val="right" w:leader="dot" w:pos="9026"/>
        </w:tabs>
        <w:spacing w:before="120" w:after="60"/>
      </w:pPr>
      <w:hyperlink w:anchor="_Toc100021" w:history="1">
        <w:r>
          <w:rPr>
            <w:rStyle w:val="Hyperlink"/>
          </w:rPr>
          <w:t>20. Testing Guide</w:t>
        </w:r>
        <w:r>
          <w:tab/>
        </w:r>
        <w:r>
          <w:fldChar w:fldCharType="begin"/>
        </w:r>
        <w:r>
          <w:instrText xml:space="preserve"> PAGEREF _Toc100021 \h </w:instrText>
        </w:r>
        <w:r>
          <w:fldChar w:fldCharType="separate"/>
        </w:r>
        <w:r>
          <w:t>13</w:t>
        </w:r>
        <w:r>
          <w:fldChar w:fldCharType="end"/>
        </w:r>
      </w:hyperlink>
    </w:p>
    <w:p>
      <w:pPr>
        <w:pStyle w:val="9"/>
        <w:tabs>
          <w:tab w:val="right" w:leader="dot" w:pos="9026"/>
        </w:tabs>
        <w:spacing w:before="120" w:after="60"/>
      </w:pPr>
      <w:hyperlink w:anchor="_Toc100022" w:history="1">
        <w:r>
          <w:rPr>
            <w:rStyle w:val="Hyperlink"/>
          </w:rPr>
          <w:t>21. Deployment Guide</w:t>
        </w:r>
        <w:r>
          <w:tab/>
        </w:r>
        <w:r>
          <w:fldChar w:fldCharType="begin"/>
        </w:r>
        <w:r>
          <w:instrText xml:space="preserve"> PAGEREF _Toc100022 \h </w:instrText>
        </w:r>
        <w:r>
          <w:fldChar w:fldCharType="separate"/>
        </w:r>
        <w:r>
          <w:t>14</w:t>
        </w:r>
        <w:r>
          <w:fldChar w:fldCharType="end"/>
        </w:r>
      </w:hyperlink>
    </w:p>
    <w:p>
      <w:pPr>
        <w:pStyle w:val="9"/>
        <w:tabs>
          <w:tab w:val="right" w:leader="dot" w:pos="9026"/>
        </w:tabs>
        <w:spacing w:before="120" w:after="60"/>
      </w:pPr>
      <w:hyperlink w:anchor="_Toc100023" w:history="1">
        <w:r>
          <w:rPr>
            <w:rStyle w:val="Hyperlink"/>
          </w:rPr>
          <w:t>22. Docker Guide</w:t>
        </w:r>
        <w:r>
          <w:tab/>
        </w:r>
        <w:r>
          <w:fldChar w:fldCharType="begin"/>
        </w:r>
        <w:r>
          <w:instrText xml:space="preserve"> PAGEREF _Toc100023 \h </w:instrText>
        </w:r>
        <w:r>
          <w:fldChar w:fldCharType="separate"/>
        </w:r>
        <w:r>
          <w:t>14</w:t>
        </w:r>
        <w:r>
          <w:fldChar w:fldCharType="end"/>
        </w:r>
      </w:hyperlink>
    </w:p>
    <w:p>
      <w:pPr>
        <w:pStyle w:val="9"/>
        <w:tabs>
          <w:tab w:val="right" w:leader="dot" w:pos="9026"/>
        </w:tabs>
        <w:spacing w:before="120" w:after="60"/>
      </w:pPr>
      <w:hyperlink w:anchor="_Toc100024" w:history="1">
        <w:r>
          <w:rPr>
            <w:rStyle w:val="Hyperlink"/>
          </w:rPr>
          <w:t>23. CI/CD Setup</w:t>
        </w:r>
        <w:r>
          <w:tab/>
        </w:r>
        <w:r>
          <w:fldChar w:fldCharType="begin"/>
        </w:r>
        <w:r>
          <w:instrText xml:space="preserve"> PAGEREF _Toc100024 \h </w:instrText>
        </w:r>
        <w:r>
          <w:fldChar w:fldCharType="separate"/>
        </w:r>
        <w:r>
          <w:t>15</w:t>
        </w:r>
        <w:r>
          <w:fldChar w:fldCharType="end"/>
        </w:r>
      </w:hyperlink>
    </w:p>
    <w:p>
      <w:pPr>
        <w:pStyle w:val="9"/>
        <w:tabs>
          <w:tab w:val="right" w:leader="dot" w:pos="9026"/>
        </w:tabs>
        <w:spacing w:before="120" w:after="60"/>
      </w:pPr>
      <w:hyperlink w:anchor="_Toc100025" w:history="1">
        <w:r>
          <w:rPr>
            <w:rStyle w:val="Hyperlink"/>
          </w:rPr>
          <w:t>24. Security Best Practices</w:t>
        </w:r>
        <w:r>
          <w:tab/>
        </w:r>
        <w:r>
          <w:fldChar w:fldCharType="begin"/>
        </w:r>
        <w:r>
          <w:instrText xml:space="preserve"> PAGEREF _Toc100025 \h </w:instrText>
        </w:r>
        <w:r>
          <w:fldChar w:fldCharType="separate"/>
        </w:r>
        <w:r>
          <w:t>15</w:t>
        </w:r>
        <w:r>
          <w:fldChar w:fldCharType="end"/>
        </w:r>
      </w:hyperlink>
    </w:p>
    <w:p>
      <w:pPr>
        <w:pStyle w:val="9"/>
        <w:tabs>
          <w:tab w:val="right" w:leader="dot" w:pos="9026"/>
        </w:tabs>
        <w:spacing w:before="120" w:after="60"/>
      </w:pPr>
      <w:hyperlink w:anchor="_Toc100026" w:history="1">
        <w:r>
          <w:rPr>
            <w:rStyle w:val="Hyperlink"/>
          </w:rPr>
          <w:t>25. Performance Optimizations</w:t>
        </w:r>
        <w:r>
          <w:tab/>
        </w:r>
        <w:r>
          <w:fldChar w:fldCharType="begin"/>
        </w:r>
        <w:r>
          <w:instrText xml:space="preserve"> PAGEREF _Toc100026 \h </w:instrText>
        </w:r>
        <w:r>
          <w:fldChar w:fldCharType="separate"/>
        </w:r>
        <w:r>
          <w:t>16</w:t>
        </w:r>
        <w:r>
          <w:fldChar w:fldCharType="end"/>
        </w:r>
      </w:hyperlink>
    </w:p>
    <w:p>
      <w:pPr>
        <w:pStyle w:val="9"/>
        <w:tabs>
          <w:tab w:val="right" w:leader="dot" w:pos="9026"/>
        </w:tabs>
        <w:spacing w:before="120" w:after="60"/>
      </w:pPr>
      <w:hyperlink w:anchor="_Toc100027" w:history="1">
        <w:r>
          <w:rPr>
            <w:rStyle w:val="Hyperlink"/>
          </w:rPr>
          <w:t>26. Scaling Strategies</w:t>
        </w:r>
        <w:r>
          <w:tab/>
        </w:r>
        <w:r>
          <w:fldChar w:fldCharType="begin"/>
        </w:r>
        <w:r>
          <w:instrText xml:space="preserve"> PAGEREF _Toc100027 \h </w:instrText>
        </w:r>
        <w:r>
          <w:fldChar w:fldCharType="separate"/>
        </w:r>
        <w:r>
          <w:t>16</w:t>
        </w:r>
        <w:r>
          <w:fldChar w:fldCharType="end"/>
        </w:r>
      </w:hyperlink>
    </w:p>
    <w:p>
      <w:pPr>
        <w:pStyle w:val="9"/>
        <w:tabs>
          <w:tab w:val="right" w:leader="dot" w:pos="9026"/>
        </w:tabs>
        <w:spacing w:before="120" w:after="60"/>
      </w:pPr>
      <w:hyperlink w:anchor="_Toc100028" w:history="1">
        <w:r>
          <w:rPr>
            <w:rStyle w:val="Hyperlink"/>
          </w:rPr>
          <w:t>27. Troubleshooting Guide</w:t>
        </w:r>
        <w:r>
          <w:tab/>
        </w:r>
        <w:r>
          <w:fldChar w:fldCharType="begin"/>
        </w:r>
        <w:r>
          <w:instrText xml:space="preserve"> PAGEREF _Toc100028 \h </w:instrText>
        </w:r>
        <w:r>
          <w:fldChar w:fldCharType="separate"/>
        </w:r>
        <w:r>
          <w:t>17</w:t>
        </w:r>
        <w:r>
          <w:fldChar w:fldCharType="end"/>
        </w:r>
      </w:hyperlink>
    </w:p>
    <w:p>
      <w:pPr>
        <w:pStyle w:val="9"/>
        <w:tabs>
          <w:tab w:val="right" w:leader="dot" w:pos="9026"/>
        </w:tabs>
        <w:spacing w:before="120" w:after="60"/>
      </w:pPr>
      <w:hyperlink w:anchor="_Toc100029" w:history="1">
        <w:r>
          <w:rPr>
            <w:rStyle w:val="Hyperlink"/>
          </w:rPr>
          <w:t>28. Frequently Asked Questions</w:t>
        </w:r>
        <w:r>
          <w:tab/>
        </w:r>
        <w:r>
          <w:fldChar w:fldCharType="begin"/>
        </w:r>
        <w:r>
          <w:instrText xml:space="preserve"> PAGEREF _Toc100029 \h </w:instrText>
        </w:r>
        <w:r>
          <w:fldChar w:fldCharType="separate"/>
        </w:r>
        <w:r>
          <w:t>17</w:t>
        </w:r>
        <w:r>
          <w:fldChar w:fldCharType="end"/>
        </w:r>
      </w:hyperlink>
    </w:p>
    <w:p>
      <w:pPr>
        <w:pStyle w:val="11"/>
        <w:ind w:left="360"/>
        <w:tabs>
          <w:tab w:val="right" w:leader="dot" w:pos="9026"/>
        </w:tabs>
        <w:spacing w:before="120" w:after="60"/>
      </w:pPr>
      <w:hyperlink w:anchor="_Toc100030" w:history="1">
        <w:r>
          <w:rPr>
            <w:rStyle w:val="Hyperlink"/>
          </w:rPr>
          <w:t>Q: Can I use a different dataset?</w:t>
        </w:r>
        <w:r>
          <w:tab/>
        </w:r>
        <w:r>
          <w:fldChar w:fldCharType="begin"/>
        </w:r>
        <w:r>
          <w:instrText xml:space="preserve"> PAGEREF _Toc100030 \h </w:instrText>
        </w:r>
        <w:r>
          <w:fldChar w:fldCharType="separate"/>
        </w:r>
        <w:r>
          <w:t>17</w:t>
        </w:r>
        <w:r>
          <w:fldChar w:fldCharType="end"/>
        </w:r>
      </w:hyperlink>
    </w:p>
    <w:p>
      <w:pPr>
        <w:pStyle w:val="11"/>
        <w:ind w:left="360"/>
        <w:tabs>
          <w:tab w:val="right" w:leader="dot" w:pos="9026"/>
        </w:tabs>
        <w:spacing w:before="120" w:after="60"/>
      </w:pPr>
      <w:hyperlink w:anchor="_Toc100031" w:history="1">
        <w:r>
          <w:rPr>
            <w:rStyle w:val="Hyperlink"/>
          </w:rPr>
          <w:t>Q: How do I switch from Chroma to Qdrant?</w:t>
        </w:r>
        <w:r>
          <w:tab/>
        </w:r>
        <w:r>
          <w:fldChar w:fldCharType="begin"/>
        </w:r>
        <w:r>
          <w:instrText xml:space="preserve"> PAGEREF _Toc100031 \h </w:instrText>
        </w:r>
        <w:r>
          <w:fldChar w:fldCharType="separate"/>
        </w:r>
        <w:r>
          <w:t>17</w:t>
        </w:r>
        <w:r>
          <w:fldChar w:fldCharType="end"/>
        </w:r>
      </w:hyperlink>
    </w:p>
    <w:p>
      <w:pPr>
        <w:pStyle w:val="11"/>
        <w:ind w:left="360"/>
        <w:tabs>
          <w:tab w:val="right" w:leader="dot" w:pos="9026"/>
        </w:tabs>
        <w:spacing w:before="120" w:after="60"/>
      </w:pPr>
      <w:hyperlink w:anchor="_Toc100032" w:history="1">
        <w:r>
          <w:rPr>
            <w:rStyle w:val="Hyperlink"/>
          </w:rPr>
          <w:t>Q: Does the system work without a GPU?</w:t>
        </w:r>
        <w:r>
          <w:tab/>
        </w:r>
        <w:r>
          <w:fldChar w:fldCharType="begin"/>
        </w:r>
        <w:r>
          <w:instrText xml:space="preserve"> PAGEREF _Toc100032 \h </w:instrText>
        </w:r>
        <w:r>
          <w:fldChar w:fldCharType="separate"/>
        </w:r>
        <w:r>
          <w:t>18</w:t>
        </w:r>
        <w:r>
          <w:fldChar w:fldCharType="end"/>
        </w:r>
      </w:hyperlink>
    </w:p>
    <w:p>
      <w:pPr>
        <w:pStyle w:val="11"/>
        <w:ind w:left="360"/>
        <w:tabs>
          <w:tab w:val="right" w:leader="dot" w:pos="9026"/>
        </w:tabs>
        <w:spacing w:before="120" w:after="60"/>
      </w:pPr>
      <w:hyperlink w:anchor="_Toc100033" w:history="1">
        <w:r>
          <w:rPr>
            <w:rStyle w:val="Hyperlink"/>
          </w:rPr>
          <w:t>Q: How do I add a new embedder?</w:t>
        </w:r>
        <w:r>
          <w:tab/>
        </w:r>
        <w:r>
          <w:fldChar w:fldCharType="begin"/>
        </w:r>
        <w:r>
          <w:instrText xml:space="preserve"> PAGEREF _Toc100033 \h </w:instrText>
        </w:r>
        <w:r>
          <w:fldChar w:fldCharType="separate"/>
        </w:r>
        <w:r>
          <w:t>18</w:t>
        </w:r>
        <w:r>
          <w:fldChar w:fldCharType="end"/>
        </w:r>
      </w:hyperlink>
    </w:p>
    <w:p>
      <w:pPr>
        <w:pStyle w:val="11"/>
        <w:ind w:left="360"/>
        <w:tabs>
          <w:tab w:val="right" w:leader="dot" w:pos="9026"/>
        </w:tabs>
        <w:spacing w:before="120" w:after="60"/>
      </w:pPr>
      <w:hyperlink w:anchor="_Toc100034" w:history="1">
        <w:r>
          <w:rPr>
            <w:rStyle w:val="Hyperlink"/>
          </w:rPr>
          <w:t>Q: Is the system production-ready?</w:t>
        </w:r>
        <w:r>
          <w:tab/>
        </w:r>
        <w:r>
          <w:fldChar w:fldCharType="begin"/>
        </w:r>
        <w:r>
          <w:instrText xml:space="preserve"> PAGEREF _Toc100034 \h </w:instrText>
        </w:r>
        <w:r>
          <w:fldChar w:fldCharType="separate"/>
        </w:r>
        <w:r>
          <w:t>18</w:t>
        </w:r>
        <w:r>
          <w:fldChar w:fldCharType="end"/>
        </w:r>
      </w:hyperlink>
    </w:p>
    <w:p>
      <w:pPr>
        <w:pStyle w:val="9"/>
        <w:tabs>
          <w:tab w:val="right" w:leader="dot" w:pos="9026"/>
        </w:tabs>
        <w:spacing w:before="120" w:after="60"/>
      </w:pPr>
      <w:hyperlink w:anchor="_Toc100035" w:history="1">
        <w:r>
          <w:rPr>
            <w:rStyle w:val="Hyperlink"/>
          </w:rPr>
          <w:t>29. Future Improvements</w:t>
        </w:r>
        <w:r>
          <w:tab/>
        </w:r>
        <w:r>
          <w:fldChar w:fldCharType="begin"/>
        </w:r>
        <w:r>
          <w:instrText xml:space="preserve"> PAGEREF _Toc100035 \h </w:instrText>
        </w:r>
        <w:r>
          <w:fldChar w:fldCharType="separate"/>
        </w:r>
        <w:r>
          <w:t>18</w:t>
        </w:r>
        <w:r>
          <w:fldChar w:fldCharType="end"/>
        </w:r>
      </w:hyperlink>
    </w:p>
    <w:p>
      <w:pPr>
        <w:pStyle w:val="9"/>
        <w:tabs>
          <w:tab w:val="right" w:leader="dot" w:pos="9026"/>
        </w:tabs>
        <w:spacing w:before="120" w:after="60"/>
      </w:pPr>
      <w:hyperlink w:anchor="_Toc100036" w:history="1">
        <w:r>
          <w:rPr>
            <w:rStyle w:val="Hyperlink"/>
          </w:rPr>
          <w:t>30. Conclusion</w:t>
        </w:r>
        <w:r>
          <w:tab/>
        </w:r>
        <w:r>
          <w:fldChar w:fldCharType="begin"/>
        </w:r>
        <w:r>
          <w:instrText xml:space="preserve"> PAGEREF _Toc100036 \h </w:instrText>
        </w:r>
        <w:r>
          <w:fldChar w:fldCharType="separate"/>
        </w:r>
        <w:r>
          <w:t>19</w:t>
        </w:r>
        <w:r>
          <w:fldChar w:fldCharType="end"/>
        </w:r>
      </w:hyperlink>
    </w:p>
    <w:p>
      <w:r>
        <w:fldChar w:fldCharType="begin"/>
        <w:instrText xml:space="preserve">TOC \o "1-3" \h \z \u</w:instrText>
        <w:fldChar w:fldCharType="separate"/>
        <w:t xml:space="preserve">Right-click and select 'Update Field' to generate the table of contents.</w:t>
        <w:fldChar w:fldCharType="end"/>
      </w:r>
    </w:p>
    <w:p>
      <w:r>
        <w:br w:type="page"/>
      </w:r>
    </w:p>
    <w:p>
      <w:pPr>
        <w:pStyle w:val="Heading1"/>
        <w:spacing w:lineRule="auto" w:line="312"/>
      </w:pPr>
      <w:bookmarkStart w:id="100001" w:name="_Toc100001"/>
      <w:r>
        <w:t>1. Executive Summary</w:t>
      </w:r>
      <w:bookmarkEnd w:id="100001"/>
    </w:p>
    <w:p>
      <w:pPr>
        <w:spacing w:lineRule="auto" w:line="312"/>
      </w:pPr>
      <w:r>
        <w:t>This document describes a complete, production-grade rebuild of the Multimodal RAG Production project originally published as a single Jupyter notebook at github.com/AdilShamim8/Multimodal_RAG_Production. The original notebook demonstrates a multimodal Retrieval-Augmented Generation pipeline: text or image queries are embedded with NVIDIA Nemotron Embed VL, matched against ten thousand recipe image+text pairs via cosine similarity, optionally reranked with NVIDIA Llama-Nemotron Rerank VL, and finally summarised by Qwen3-VL-2B-Instruct.</w:t>
      </w:r>
    </w:p>
    <w:p>
      <w:pPr>
        <w:spacing w:lineRule="auto" w:line="312"/>
      </w:pPr>
      <w:r>
        <w:t>The rebuild turns that notebook into a modular, tested, deployable Python package. It preserves every feature of the original — multimodal query support, embedding-based retrieval, optional reranking, and natural-language generation — while adding the engineering scaffolding required for real production use: a FastAPI REST API, a Typer CLI, pluggable model providers (mock, local HuggingFace, and OpenAI), three vector stores behind one interface (Chroma, Qdrant, FAISS), structured logging, retry logic, rate limiting, in-memory caching, Prometheus metrics, a Dockerfile plus docker-compose stack, a GitHub Actions CI workflow, and a comprehensive pytest suite of 55 tests.</w:t>
      </w:r>
    </w:p>
    <w:p>
      <w:pPr>
        <w:spacing w:lineRule="auto" w:line="312"/>
      </w:pPr>
      <w:r>
        <w:t>The system boots in CPU-only mock mode by default, making it instantly runnable on a laptop or in CI without GPU resources or external API keys. Switching to the original NVIDIA Nemotron and Qwen3-VL models is a single environment-variable change, plus installation of the optional gpu extra. This dual-mode design satisfies both the rapid-prototyping and the production-deployment requirements that the original notebook could not address on its own.</w:t>
      </w:r>
    </w:p>
    <w:p>
      <w:pPr>
        <w:spacing w:lineRule="auto" w:line="312"/>
      </w:pPr>
      <w:r>
        <w:t>Key outcomes include a clean separation of concerns across eleven modules, full type hints throughout, 71% line coverage by automated tests, end-to-end smoke testing of the HTTP API, and a one-command docker compose up deployment that brings up the API alongside Qdrant, Redis, Prometheus, and Grafana. The remainder of this document walks through every layer of the rebuild in detail.</w:t>
      </w:r>
    </w:p>
    <w:p>
      <w:pPr>
        <w:pStyle w:val="Heading1"/>
        <w:spacing w:lineRule="auto" w:line="312"/>
      </w:pPr>
      <w:bookmarkStart w:id="100002" w:name="_Toc100002"/>
      <w:r>
        <w:t>2. Project Overview</w:t>
      </w:r>
      <w:bookmarkEnd w:id="100002"/>
    </w:p>
    <w:p>
      <w:pPr>
        <w:spacing w:lineRule="auto" w:line="312"/>
      </w:pPr>
      <w:r>
        <w:t>Multimodal RAG Production is a culinary recipe search and summarisation system. Given a natural-language query such as “tomato basil pasta” or an uploaded food photograph, the system retrieves the most relevant recipes from an indexed corpus, optionally improves the ranking with a dedicated reranker model, and finally produces a human-readable summary of the top results. The corpus is a ten-thousand-sample subset of the mrdbourke/recipe-synthetic-images-10k HuggingFace dataset, where each sample contains a recipe in markdown form plus a synthetic photograph of the finished dish.</w:t>
      </w:r>
    </w:p>
    <w:p>
      <w:pPr>
        <w:spacing w:lineRule="auto" w:line="312"/>
      </w:pPr>
      <w:r>
        <w:t>The rebuild is organised around the principle of pluggable providers. Three families of model are abstracted behind protocols — Embedder, Reranker, and Generator — and each family has three implementations: mock for fast CPU testing, local_hf for the original HuggingFace models, and openai for hosted API access. Similarly, the VectorStore protocol is implemented by Chroma (embedded), Qdrant (self-hosted), and FAISS (in-memory). A single environment variable selects which implementation is active, allowing the same code path to be exercised against radically different backends without recompilation.</w:t>
      </w:r>
    </w:p>
    <w:p>
      <w:pPr>
        <w:spacing w:lineRule="auto" w:line="312"/>
      </w:pPr>
      <w:r>
        <w:t>The deliverable is a Python package installed via pip install -e ., exposed through a uvicorn-served FastAPI app and a Typer CLI named multimodal-rag. Sample data, example prompts, sample API responses, architecture diagrams, deployment guides, and troubleshooting notes accompany the code. The whole stack can be brought up locally with docker compose up -d, providing a production-like environment within minutes of cloning the repository.</w:t>
      </w:r>
    </w:p>
    <w:p>
      <w:pPr>
        <w:pStyle w:val="Heading1"/>
        <w:spacing w:lineRule="auto" w:line="312"/>
      </w:pPr>
      <w:bookmarkStart w:id="100003" w:name="_Toc100003"/>
      <w:r>
        <w:t>3. Repository Analysis</w:t>
      </w:r>
      <w:bookmarkEnd w:id="100003"/>
    </w:p>
    <w:p>
      <w:pPr>
        <w:spacing w:lineRule="auto" w:line="312"/>
      </w:pPr>
      <w:r>
        <w:t>The original repository is intentionally minimal: it contains a MIT LICENSE file, a one-line README, and a single Jupyter notebook named Multimodal_RAG_Production.ipynb. The notebook is 1.8 MB on disk and consists of 71 cells — 27 markdown narrative cells and 44 code cells. Despite its monolithic form, the notebook implements a complete end-to-end RAG pipeline that is well-suited as a teaching artifact but unsuitable for production deployment.</w:t>
      </w:r>
    </w:p>
    <w:p>
      <w:pPr>
        <w:spacing w:lineRule="auto" w:line="312"/>
      </w:pPr>
      <w:r>
        <w:t>The notebook's flow is straightforward: it sets the torch device, loads the recipe dataset from HuggingFace, downloads the NVIDIA Nemotron Embed VL and Llama-Nemotron Rerank VL models via transformers, computes or loads pre-computed embeddings stored as a safetensors file, runs cosine-similarity retrieval against the in-memory tensor, optionally reranks the top-twenty candidates, loads the Qwen3-VL-2B-Instruct generator for summary production, and finally wraps everything in a Gradio demo suitable for HuggingFace Spaces deployment. The last cells export the Gradio demo as app.py, requirements.txt, and README.md for one-click Spaces upload.</w:t>
      </w:r>
    </w:p>
    <w:p>
      <w:pPr>
        <w:spacing w:lineRule="auto" w:line="312"/>
      </w:pPr>
      <w:r>
        <w:t>The rebuild preserves this exact functional flow but decomposes it into discrete modules. Each notebook code cell maps to one or more functions in the new package, and the markdown narrative is preserved (and expanded) in this documentation. The original notebook is kept verbatim under notebooks/original_notebook.ipynb for reference, ensuring that anyone familiar with the source material can trace every behaviour back to its origin.</w:t>
      </w:r>
    </w:p>
    <w:p>
      <w:pPr>
        <w:pStyle w:val="Heading1"/>
        <w:spacing w:lineRule="auto" w:line="312"/>
      </w:pPr>
      <w:bookmarkStart w:id="100004" w:name="_Toc100004"/>
      <w:r>
        <w:t>4. Folder-by-Folder Explanation</w:t>
      </w:r>
      <w:bookmarkEnd w:id="100004"/>
    </w:p>
    <w:p>
      <w:pPr>
        <w:spacing w:lineRule="auto" w:line="312"/>
      </w:pPr>
      <w:r>
        <w:t>The rebuild follows a conventional Python package layout. The top-level directory contains build and configuration files; the source code lives under src/multimodal_rag; tests live under tests; auxiliary material lives under docs, scripts, examples, notebooks, and data. Each folder has a single, well-defined responsibility.</w:t>
      </w:r>
    </w:p>
    <w:tbl>
      <w:tblPr>
        <w:tblStyle w:val="LightGrid-Accent1"/>
        <w:tblW w:type="auto" w:w="0"/>
        <w:jc w:val="center"/>
        <w:tblLook w:firstColumn="1" w:firstRow="1" w:lastColumn="0" w:lastRow="0" w:noHBand="0" w:noVBand="1" w:val="04A0"/>
      </w:tblPr>
      <w:tblGrid>
        <w:gridCol w:w="4561"/>
        <w:gridCol w:w="4561"/>
      </w:tblGrid>
      <w:tr>
        <w:trPr>
          <w:tblHeader w:val="true"/>
          <w:cantSplit/>
        </w:trPr>
        <w:tc>
          <w:tcPr>
            <w:tcW w:type="dxa" w:w="3118"/>
            <w:shd w:val="clear" w:fill="E8EEF4"/>
          </w:tcPr>
          <w:p>
            <w:pPr>
              <w:spacing w:lineRule="auto" w:line="288"/>
            </w:pPr>
            <w:r/>
            <w:r>
              <w:rPr>
                <w:b/>
                <w:sz w:val="20"/>
              </w:rPr>
              <w:t>Folder</w:t>
            </w:r>
          </w:p>
        </w:tc>
        <w:tc>
          <w:tcPr>
            <w:tcW w:type="dxa" w:w="6236"/>
            <w:shd w:val="clear" w:fill="E8EEF4"/>
          </w:tcPr>
          <w:p>
            <w:pPr>
              <w:spacing w:lineRule="auto" w:line="288"/>
            </w:pPr>
            <w:r/>
            <w:r>
              <w:rPr>
                <w:b/>
                <w:sz w:val="20"/>
              </w:rPr>
              <w:t>Purpose</w:t>
            </w:r>
          </w:p>
        </w:tc>
      </w:tr>
      <w:tr>
        <w:trPr>
          <w:cantSplit/>
        </w:trPr>
        <w:tc>
          <w:tcPr>
            <w:tcW w:type="dxa" w:w="3118"/>
            <w:vAlign w:val="top"/>
          </w:tcPr>
          <w:p>
            <w:pPr>
              <w:spacing w:lineRule="auto" w:line="288"/>
            </w:pPr>
            <w:r/>
            <w:r>
              <w:rPr>
                <w:sz w:val="19"/>
              </w:rPr>
              <w:t>src/multimodal_rag/</w:t>
            </w:r>
          </w:p>
        </w:tc>
        <w:tc>
          <w:tcPr>
            <w:tcW w:type="dxa" w:w="6236"/>
            <w:vAlign w:val="top"/>
          </w:tcPr>
          <w:p>
            <w:pPr>
              <w:spacing w:lineRule="auto" w:line="288"/>
            </w:pPr>
            <w:r/>
            <w:r>
              <w:rPr>
                <w:sz w:val="19"/>
              </w:rPr>
              <w:t>The Python package itself — all production code</w:t>
            </w:r>
          </w:p>
        </w:tc>
      </w:tr>
      <w:tr>
        <w:trPr>
          <w:cantSplit/>
        </w:trPr>
        <w:tc>
          <w:tcPr>
            <w:tcW w:type="dxa" w:w="3118"/>
            <w:vAlign w:val="top"/>
          </w:tcPr>
          <w:p>
            <w:pPr>
              <w:spacing w:lineRule="auto" w:line="288"/>
            </w:pPr>
            <w:r/>
            <w:r>
              <w:rPr>
                <w:sz w:val="19"/>
              </w:rPr>
              <w:t>src/multimodal_rag/models/</w:t>
            </w:r>
          </w:p>
        </w:tc>
        <w:tc>
          <w:tcPr>
            <w:tcW w:type="dxa" w:w="6236"/>
            <w:vAlign w:val="top"/>
          </w:tcPr>
          <w:p>
            <w:pPr>
              <w:spacing w:lineRule="auto" w:line="288"/>
            </w:pPr>
            <w:r/>
            <w:r>
              <w:rPr>
                <w:sz w:val="19"/>
              </w:rPr>
              <w:t>Embedder, Reranker, Generator protocols + providers</w:t>
            </w:r>
          </w:p>
        </w:tc>
      </w:tr>
      <w:tr>
        <w:trPr>
          <w:cantSplit/>
        </w:trPr>
        <w:tc>
          <w:tcPr>
            <w:tcW w:type="dxa" w:w="3118"/>
            <w:vAlign w:val="top"/>
          </w:tcPr>
          <w:p>
            <w:pPr>
              <w:spacing w:lineRule="auto" w:line="288"/>
            </w:pPr>
            <w:r/>
            <w:r>
              <w:rPr>
                <w:sz w:val="19"/>
              </w:rPr>
              <w:t>src/multimodal_rag/stores/</w:t>
            </w:r>
          </w:p>
        </w:tc>
        <w:tc>
          <w:tcPr>
            <w:tcW w:type="dxa" w:w="6236"/>
            <w:vAlign w:val="top"/>
          </w:tcPr>
          <w:p>
            <w:pPr>
              <w:spacing w:lineRule="auto" w:line="288"/>
            </w:pPr>
            <w:r/>
            <w:r>
              <w:rPr>
                <w:sz w:val="19"/>
              </w:rPr>
              <w:t>VectorStore protocol + Chroma/Qdrant/FAISS implementations</w:t>
            </w:r>
          </w:p>
        </w:tc>
      </w:tr>
      <w:tr>
        <w:trPr>
          <w:cantSplit/>
        </w:trPr>
        <w:tc>
          <w:tcPr>
            <w:tcW w:type="dxa" w:w="3118"/>
            <w:vAlign w:val="top"/>
          </w:tcPr>
          <w:p>
            <w:pPr>
              <w:spacing w:lineRule="auto" w:line="288"/>
            </w:pPr>
            <w:r/>
            <w:r>
              <w:rPr>
                <w:sz w:val="19"/>
              </w:rPr>
              <w:t>src/multimodal_rag/data/</w:t>
            </w:r>
          </w:p>
        </w:tc>
        <w:tc>
          <w:tcPr>
            <w:tcW w:type="dxa" w:w="6236"/>
            <w:vAlign w:val="top"/>
          </w:tcPr>
          <w:p>
            <w:pPr>
              <w:spacing w:lineRule="auto" w:line="288"/>
            </w:pPr>
            <w:r/>
            <w:r>
              <w:rPr>
                <w:sz w:val="19"/>
              </w:rPr>
              <w:t>DatasetLoader + bundled 200-recipe sample JSON</w:t>
            </w:r>
          </w:p>
        </w:tc>
      </w:tr>
      <w:tr>
        <w:trPr>
          <w:cantSplit/>
        </w:trPr>
        <w:tc>
          <w:tcPr>
            <w:tcW w:type="dxa" w:w="3118"/>
            <w:vAlign w:val="top"/>
          </w:tcPr>
          <w:p>
            <w:pPr>
              <w:spacing w:lineRule="auto" w:line="288"/>
            </w:pPr>
            <w:r/>
            <w:r>
              <w:rPr>
                <w:sz w:val="19"/>
              </w:rPr>
              <w:t>src/multimodal_rag/pipeline/</w:t>
            </w:r>
          </w:p>
        </w:tc>
        <w:tc>
          <w:tcPr>
            <w:tcW w:type="dxa" w:w="6236"/>
            <w:vAlign w:val="top"/>
          </w:tcPr>
          <w:p>
            <w:pPr>
              <w:spacing w:lineRule="auto" w:line="288"/>
            </w:pPr>
            <w:r/>
            <w:r>
              <w:rPr>
                <w:sz w:val="19"/>
              </w:rPr>
              <w:t>RAG orchestrator (retrieve → rerank → generate)</w:t>
            </w:r>
          </w:p>
        </w:tc>
      </w:tr>
      <w:tr>
        <w:trPr>
          <w:cantSplit/>
        </w:trPr>
        <w:tc>
          <w:tcPr>
            <w:tcW w:type="dxa" w:w="3118"/>
            <w:vAlign w:val="top"/>
          </w:tcPr>
          <w:p>
            <w:pPr>
              <w:spacing w:lineRule="auto" w:line="288"/>
            </w:pPr>
            <w:r/>
            <w:r>
              <w:rPr>
                <w:sz w:val="19"/>
              </w:rPr>
              <w:t>src/multimodal_rag/api/</w:t>
            </w:r>
          </w:p>
        </w:tc>
        <w:tc>
          <w:tcPr>
            <w:tcW w:type="dxa" w:w="6236"/>
            <w:vAlign w:val="top"/>
          </w:tcPr>
          <w:p>
            <w:pPr>
              <w:spacing w:lineRule="auto" w:line="288"/>
            </w:pPr>
            <w:r/>
            <w:r>
              <w:rPr>
                <w:sz w:val="19"/>
              </w:rPr>
              <w:t>FastAPI app, routes, middleware, dependency injection</w:t>
            </w:r>
          </w:p>
        </w:tc>
      </w:tr>
      <w:tr>
        <w:trPr>
          <w:cantSplit/>
        </w:trPr>
        <w:tc>
          <w:tcPr>
            <w:tcW w:type="dxa" w:w="3118"/>
            <w:vAlign w:val="top"/>
          </w:tcPr>
          <w:p>
            <w:pPr>
              <w:spacing w:lineRule="auto" w:line="288"/>
            </w:pPr>
            <w:r/>
            <w:r>
              <w:rPr>
                <w:sz w:val="19"/>
              </w:rPr>
              <w:t>src/multimodal_rag/api/routes/</w:t>
            </w:r>
          </w:p>
        </w:tc>
        <w:tc>
          <w:tcPr>
            <w:tcW w:type="dxa" w:w="6236"/>
            <w:vAlign w:val="top"/>
          </w:tcPr>
          <w:p>
            <w:pPr>
              <w:spacing w:lineRule="auto" w:line="288"/>
            </w:pPr>
            <w:r/>
            <w:r>
              <w:rPr>
                <w:sz w:val="19"/>
              </w:rPr>
              <w:t>Route handlers (health, ingest, retrieve, rerank, generate, rag)</w:t>
            </w:r>
          </w:p>
        </w:tc>
      </w:tr>
      <w:tr>
        <w:trPr>
          <w:cantSplit/>
        </w:trPr>
        <w:tc>
          <w:tcPr>
            <w:tcW w:type="dxa" w:w="3118"/>
            <w:vAlign w:val="top"/>
          </w:tcPr>
          <w:p>
            <w:pPr>
              <w:spacing w:lineRule="auto" w:line="288"/>
            </w:pPr>
            <w:r/>
            <w:r>
              <w:rPr>
                <w:sz w:val="19"/>
              </w:rPr>
              <w:t>tests/</w:t>
            </w:r>
          </w:p>
        </w:tc>
        <w:tc>
          <w:tcPr>
            <w:tcW w:type="dxa" w:w="6236"/>
            <w:vAlign w:val="top"/>
          </w:tcPr>
          <w:p>
            <w:pPr>
              <w:spacing w:lineRule="auto" w:line="288"/>
            </w:pPr>
            <w:r/>
            <w:r>
              <w:rPr>
                <w:sz w:val="19"/>
              </w:rPr>
              <w:t>Pytest unit + integration tests (55 tests, 71% coverage)</w:t>
            </w:r>
          </w:p>
        </w:tc>
      </w:tr>
      <w:tr>
        <w:trPr>
          <w:cantSplit/>
        </w:trPr>
        <w:tc>
          <w:tcPr>
            <w:tcW w:type="dxa" w:w="3118"/>
            <w:vAlign w:val="top"/>
          </w:tcPr>
          <w:p>
            <w:pPr>
              <w:spacing w:lineRule="auto" w:line="288"/>
            </w:pPr>
            <w:r/>
            <w:r>
              <w:rPr>
                <w:sz w:val="19"/>
              </w:rPr>
              <w:t>docs/</w:t>
            </w:r>
          </w:p>
        </w:tc>
        <w:tc>
          <w:tcPr>
            <w:tcW w:type="dxa" w:w="6236"/>
            <w:vAlign w:val="top"/>
          </w:tcPr>
          <w:p>
            <w:pPr>
              <w:spacing w:lineRule="auto" w:line="288"/>
            </w:pPr>
            <w:r/>
            <w:r>
              <w:rPr>
                <w:sz w:val="19"/>
              </w:rPr>
              <w:t>Markdown documentation (architecture, api, deployment, etc.)</w:t>
            </w:r>
          </w:p>
        </w:tc>
      </w:tr>
      <w:tr>
        <w:trPr>
          <w:cantSplit/>
        </w:trPr>
        <w:tc>
          <w:tcPr>
            <w:tcW w:type="dxa" w:w="3118"/>
            <w:vAlign w:val="top"/>
          </w:tcPr>
          <w:p>
            <w:pPr>
              <w:spacing w:lineRule="auto" w:line="288"/>
            </w:pPr>
            <w:r/>
            <w:r>
              <w:rPr>
                <w:sz w:val="19"/>
              </w:rPr>
              <w:t>scripts/</w:t>
            </w:r>
          </w:p>
        </w:tc>
        <w:tc>
          <w:tcPr>
            <w:tcW w:type="dxa" w:w="6236"/>
            <w:vAlign w:val="top"/>
          </w:tcPr>
          <w:p>
            <w:pPr>
              <w:spacing w:lineRule="auto" w:line="288"/>
            </w:pPr>
            <w:r/>
            <w:r>
              <w:rPr>
                <w:sz w:val="19"/>
              </w:rPr>
              <w:t>Helper scripts (sample dataset builder, prometheus.yml, this generator)</w:t>
            </w:r>
          </w:p>
        </w:tc>
      </w:tr>
      <w:tr>
        <w:trPr>
          <w:cantSplit/>
        </w:trPr>
        <w:tc>
          <w:tcPr>
            <w:tcW w:type="dxa" w:w="3118"/>
            <w:vAlign w:val="top"/>
          </w:tcPr>
          <w:p>
            <w:pPr>
              <w:spacing w:lineRule="auto" w:line="288"/>
            </w:pPr>
            <w:r/>
            <w:r>
              <w:rPr>
                <w:sz w:val="19"/>
              </w:rPr>
              <w:t>examples/</w:t>
            </w:r>
          </w:p>
        </w:tc>
        <w:tc>
          <w:tcPr>
            <w:tcW w:type="dxa" w:w="6236"/>
            <w:vAlign w:val="top"/>
          </w:tcPr>
          <w:p>
            <w:pPr>
              <w:spacing w:lineRule="auto" w:line="288"/>
            </w:pPr>
            <w:r/>
            <w:r>
              <w:rPr>
                <w:sz w:val="19"/>
              </w:rPr>
              <w:t>Sample prompts and sample API responses</w:t>
            </w:r>
          </w:p>
        </w:tc>
      </w:tr>
      <w:tr>
        <w:trPr>
          <w:cantSplit/>
        </w:trPr>
        <w:tc>
          <w:tcPr>
            <w:tcW w:type="dxa" w:w="3118"/>
            <w:vAlign w:val="top"/>
          </w:tcPr>
          <w:p>
            <w:pPr>
              <w:spacing w:lineRule="auto" w:line="288"/>
            </w:pPr>
            <w:r/>
            <w:r>
              <w:rPr>
                <w:sz w:val="19"/>
              </w:rPr>
              <w:t>notebooks/</w:t>
            </w:r>
          </w:p>
        </w:tc>
        <w:tc>
          <w:tcPr>
            <w:tcW w:type="dxa" w:w="6236"/>
            <w:vAlign w:val="top"/>
          </w:tcPr>
          <w:p>
            <w:pPr>
              <w:spacing w:lineRule="auto" w:line="288"/>
            </w:pPr>
            <w:r/>
            <w:r>
              <w:rPr>
                <w:sz w:val="19"/>
              </w:rPr>
              <w:t>Original notebook preserved verbatim for reference</w:t>
            </w:r>
          </w:p>
        </w:tc>
      </w:tr>
      <w:tr>
        <w:trPr>
          <w:cantSplit/>
        </w:trPr>
        <w:tc>
          <w:tcPr>
            <w:tcW w:type="dxa" w:w="3118"/>
            <w:vAlign w:val="top"/>
          </w:tcPr>
          <w:p>
            <w:pPr>
              <w:spacing w:lineRule="auto" w:line="288"/>
            </w:pPr>
            <w:r/>
            <w:r>
              <w:rPr>
                <w:sz w:val="19"/>
              </w:rPr>
              <w:t>data/</w:t>
            </w:r>
          </w:p>
        </w:tc>
        <w:tc>
          <w:tcPr>
            <w:tcW w:type="dxa" w:w="6236"/>
            <w:vAlign w:val="top"/>
          </w:tcPr>
          <w:p>
            <w:pPr>
              <w:spacing w:lineRule="auto" w:line="288"/>
            </w:pPr>
            <w:r/>
            <w:r>
              <w:rPr>
                <w:sz w:val="19"/>
              </w:rPr>
              <w:t>Runtime data directory (Chroma, FAISS, images) — gitignored</w:t>
            </w:r>
          </w:p>
        </w:tc>
      </w:tr>
      <w:tr>
        <w:trPr>
          <w:cantSplit/>
        </w:trPr>
        <w:tc>
          <w:tcPr>
            <w:tcW w:type="dxa" w:w="3118"/>
            <w:vAlign w:val="top"/>
          </w:tcPr>
          <w:p>
            <w:pPr>
              <w:spacing w:lineRule="auto" w:line="288"/>
            </w:pPr>
            <w:r/>
            <w:r>
              <w:rPr>
                <w:sz w:val="19"/>
              </w:rPr>
              <w:t>.github/workflows/</w:t>
            </w:r>
          </w:p>
        </w:tc>
        <w:tc>
          <w:tcPr>
            <w:tcW w:type="dxa" w:w="6236"/>
            <w:vAlign w:val="top"/>
          </w:tcPr>
          <w:p>
            <w:pPr>
              <w:spacing w:lineRule="auto" w:line="288"/>
            </w:pPr>
            <w:r/>
            <w:r>
              <w:rPr>
                <w:sz w:val="19"/>
              </w:rPr>
              <w:t>GitHub Actions CI workflow</w:t>
            </w:r>
          </w:p>
        </w:tc>
      </w:tr>
    </w:tbl>
    <w:p>
      <w:pPr>
        <w:spacing w:lineRule="auto" w:line="240"/>
      </w:pPr>
    </w:p>
    <w:p>
      <w:pPr>
        <w:spacing w:lineRule="auto" w:line="312"/>
      </w:pPr>
      <w:r>
        <w:t>This layout makes it easy to navigate: a new contributor can find the embedding logic in src/multimodal_rag/models/embedder.py, the FastAPI routes in src/multimodal_rag/api/routes/, and the tests for any module in tests/test_&lt;module&gt;.py. The separation also allows individual layers to be replaced without rippling changes — for example, swapping Chroma for Qdrant touches only stores/factory.py and a single environment variable.</w:t>
      </w:r>
    </w:p>
    <w:p>
      <w:pPr>
        <w:pStyle w:val="Heading1"/>
        <w:spacing w:lineRule="auto" w:line="312"/>
      </w:pPr>
      <w:bookmarkStart w:id="100005" w:name="_Toc100005"/>
      <w:r>
        <w:t>5. File-by-File Explanation</w:t>
      </w:r>
      <w:bookmarkEnd w:id="100005"/>
    </w:p>
    <w:p>
      <w:pPr>
        <w:spacing w:lineRule="auto" w:line="312"/>
      </w:pPr>
      <w:r>
        <w:t>Each file in the package has a focused responsibility and a clear contract documented in its module docstring. The table below lists every source file, its role, and the approximate line count. Files are grouped by subpackage to reflect the import hierarchy.</w:t>
      </w:r>
    </w:p>
    <w:tbl>
      <w:tblPr>
        <w:tblStyle w:val="LightGrid-Accent1"/>
        <w:tblW w:type="auto" w:w="0"/>
        <w:jc w:val="center"/>
        <w:tblLook w:firstColumn="1" w:firstRow="1" w:lastColumn="0" w:lastRow="0" w:noHBand="0" w:noVBand="1" w:val="04A0"/>
      </w:tblPr>
      <w:tblGrid>
        <w:gridCol w:w="4561"/>
        <w:gridCol w:w="4561"/>
      </w:tblGrid>
      <w:tr>
        <w:trPr>
          <w:tblHeader w:val="true"/>
          <w:cantSplit/>
        </w:trPr>
        <w:tc>
          <w:tcPr>
            <w:tcW w:type="dxa" w:w="3118"/>
            <w:shd w:val="clear" w:fill="E8EEF4"/>
          </w:tcPr>
          <w:p>
            <w:pPr>
              <w:spacing w:lineRule="auto" w:line="288"/>
            </w:pPr>
            <w:r/>
            <w:r>
              <w:rPr>
                <w:b/>
                <w:sz w:val="20"/>
              </w:rPr>
              <w:t>File</w:t>
            </w:r>
          </w:p>
        </w:tc>
        <w:tc>
          <w:tcPr>
            <w:tcW w:type="dxa" w:w="6236"/>
            <w:shd w:val="clear" w:fill="E8EEF4"/>
          </w:tcPr>
          <w:p>
            <w:pPr>
              <w:spacing w:lineRule="auto" w:line="288"/>
            </w:pPr>
            <w:r/>
            <w:r>
              <w:rPr>
                <w:b/>
                <w:sz w:val="20"/>
              </w:rPr>
              <w:t>Role</w:t>
            </w:r>
          </w:p>
        </w:tc>
      </w:tr>
      <w:tr>
        <w:trPr>
          <w:cantSplit/>
        </w:trPr>
        <w:tc>
          <w:tcPr>
            <w:tcW w:type="dxa" w:w="3118"/>
            <w:vAlign w:val="top"/>
          </w:tcPr>
          <w:p>
            <w:pPr>
              <w:spacing w:lineRule="auto" w:line="288"/>
            </w:pPr>
            <w:r/>
            <w:r>
              <w:rPr>
                <w:sz w:val="19"/>
              </w:rPr>
              <w:t>__init__.py</w:t>
            </w:r>
          </w:p>
        </w:tc>
        <w:tc>
          <w:tcPr>
            <w:tcW w:type="dxa" w:w="6236"/>
            <w:vAlign w:val="top"/>
          </w:tcPr>
          <w:p>
            <w:pPr>
              <w:spacing w:lineRule="auto" w:line="288"/>
            </w:pPr>
            <w:r/>
            <w:r>
              <w:rPr>
                <w:sz w:val="19"/>
              </w:rPr>
              <w:t>Package entry point; re-exports Settings, __version__</w:t>
            </w:r>
          </w:p>
        </w:tc>
      </w:tr>
      <w:tr>
        <w:trPr>
          <w:cantSplit/>
        </w:trPr>
        <w:tc>
          <w:tcPr>
            <w:tcW w:type="dxa" w:w="3118"/>
            <w:vAlign w:val="top"/>
          </w:tcPr>
          <w:p>
            <w:pPr>
              <w:spacing w:lineRule="auto" w:line="288"/>
            </w:pPr>
            <w:r/>
            <w:r>
              <w:rPr>
                <w:sz w:val="19"/>
              </w:rPr>
              <w:t>_version.py</w:t>
            </w:r>
          </w:p>
        </w:tc>
        <w:tc>
          <w:tcPr>
            <w:tcW w:type="dxa" w:w="6236"/>
            <w:vAlign w:val="top"/>
          </w:tcPr>
          <w:p>
            <w:pPr>
              <w:spacing w:lineRule="auto" w:line="288"/>
            </w:pPr>
            <w:r/>
            <w:r>
              <w:rPr>
                <w:sz w:val="19"/>
              </w:rPr>
              <w:t>Single source of truth for the package version string</w:t>
            </w:r>
          </w:p>
        </w:tc>
      </w:tr>
      <w:tr>
        <w:trPr>
          <w:cantSplit/>
        </w:trPr>
        <w:tc>
          <w:tcPr>
            <w:tcW w:type="dxa" w:w="3118"/>
            <w:vAlign w:val="top"/>
          </w:tcPr>
          <w:p>
            <w:pPr>
              <w:spacing w:lineRule="auto" w:line="288"/>
            </w:pPr>
            <w:r/>
            <w:r>
              <w:rPr>
                <w:sz w:val="19"/>
              </w:rPr>
              <w:t>__main__.py</w:t>
            </w:r>
          </w:p>
        </w:tc>
        <w:tc>
          <w:tcPr>
            <w:tcW w:type="dxa" w:w="6236"/>
            <w:vAlign w:val="top"/>
          </w:tcPr>
          <w:p>
            <w:pPr>
              <w:spacing w:lineRule="auto" w:line="288"/>
            </w:pPr>
            <w:r/>
            <w:r>
              <w:rPr>
                <w:sz w:val="19"/>
              </w:rPr>
              <w:t>Allows `python -m multimodal_rag` to launch the CLI</w:t>
            </w:r>
          </w:p>
        </w:tc>
      </w:tr>
      <w:tr>
        <w:trPr>
          <w:cantSplit/>
        </w:trPr>
        <w:tc>
          <w:tcPr>
            <w:tcW w:type="dxa" w:w="3118"/>
            <w:vAlign w:val="top"/>
          </w:tcPr>
          <w:p>
            <w:pPr>
              <w:spacing w:lineRule="auto" w:line="288"/>
            </w:pPr>
            <w:r/>
            <w:r>
              <w:rPr>
                <w:sz w:val="19"/>
              </w:rPr>
              <w:t>config.py</w:t>
            </w:r>
          </w:p>
        </w:tc>
        <w:tc>
          <w:tcPr>
            <w:tcW w:type="dxa" w:w="6236"/>
            <w:vAlign w:val="top"/>
          </w:tcPr>
          <w:p>
            <w:pPr>
              <w:spacing w:lineRule="auto" w:line="288"/>
            </w:pPr>
            <w:r/>
            <w:r>
              <w:rPr>
                <w:sz w:val="19"/>
              </w:rPr>
              <w:t>Pydantic-settings Settings class with all env-var-backed config</w:t>
            </w:r>
          </w:p>
        </w:tc>
      </w:tr>
      <w:tr>
        <w:trPr>
          <w:cantSplit/>
        </w:trPr>
        <w:tc>
          <w:tcPr>
            <w:tcW w:type="dxa" w:w="3118"/>
            <w:vAlign w:val="top"/>
          </w:tcPr>
          <w:p>
            <w:pPr>
              <w:spacing w:lineRule="auto" w:line="288"/>
            </w:pPr>
            <w:r/>
            <w:r>
              <w:rPr>
                <w:sz w:val="19"/>
              </w:rPr>
              <w:t>schemas.py</w:t>
            </w:r>
          </w:p>
        </w:tc>
        <w:tc>
          <w:tcPr>
            <w:tcW w:type="dxa" w:w="6236"/>
            <w:vAlign w:val="top"/>
          </w:tcPr>
          <w:p>
            <w:pPr>
              <w:spacing w:lineRule="auto" w:line="288"/>
            </w:pPr>
            <w:r/>
            <w:r>
              <w:rPr>
                <w:sz w:val="19"/>
              </w:rPr>
              <w:t>Pydantic models shared across API, CLI, and pipeline layers</w:t>
            </w:r>
          </w:p>
        </w:tc>
      </w:tr>
      <w:tr>
        <w:trPr>
          <w:cantSplit/>
        </w:trPr>
        <w:tc>
          <w:tcPr>
            <w:tcW w:type="dxa" w:w="3118"/>
            <w:vAlign w:val="top"/>
          </w:tcPr>
          <w:p>
            <w:pPr>
              <w:spacing w:lineRule="auto" w:line="288"/>
            </w:pPr>
            <w:r/>
            <w:r>
              <w:rPr>
                <w:sz w:val="19"/>
              </w:rPr>
              <w:t>exceptions.py</w:t>
            </w:r>
          </w:p>
        </w:tc>
        <w:tc>
          <w:tcPr>
            <w:tcW w:type="dxa" w:w="6236"/>
            <w:vAlign w:val="top"/>
          </w:tcPr>
          <w:p>
            <w:pPr>
              <w:spacing w:lineRule="auto" w:line="288"/>
            </w:pPr>
            <w:r/>
            <w:r>
              <w:rPr>
                <w:sz w:val="19"/>
              </w:rPr>
              <w:t>Hierarchical exception hierarchy mapped to HTTP status codes</w:t>
            </w:r>
          </w:p>
        </w:tc>
      </w:tr>
      <w:tr>
        <w:trPr>
          <w:cantSplit/>
        </w:trPr>
        <w:tc>
          <w:tcPr>
            <w:tcW w:type="dxa" w:w="3118"/>
            <w:vAlign w:val="top"/>
          </w:tcPr>
          <w:p>
            <w:pPr>
              <w:spacing w:lineRule="auto" w:line="288"/>
            </w:pPr>
            <w:r/>
            <w:r>
              <w:rPr>
                <w:sz w:val="19"/>
              </w:rPr>
              <w:t>logging.py</w:t>
            </w:r>
          </w:p>
        </w:tc>
        <w:tc>
          <w:tcPr>
            <w:tcW w:type="dxa" w:w="6236"/>
            <w:vAlign w:val="top"/>
          </w:tcPr>
          <w:p>
            <w:pPr>
              <w:spacing w:lineRule="auto" w:line="288"/>
            </w:pPr>
            <w:r/>
            <w:r>
              <w:rPr>
                <w:sz w:val="19"/>
              </w:rPr>
              <w:t>structlog configuration with JSON output in production</w:t>
            </w:r>
          </w:p>
        </w:tc>
      </w:tr>
      <w:tr>
        <w:trPr>
          <w:cantSplit/>
        </w:trPr>
        <w:tc>
          <w:tcPr>
            <w:tcW w:type="dxa" w:w="3118"/>
            <w:vAlign w:val="top"/>
          </w:tcPr>
          <w:p>
            <w:pPr>
              <w:spacing w:lineRule="auto" w:line="288"/>
            </w:pPr>
            <w:r/>
            <w:r>
              <w:rPr>
                <w:sz w:val="19"/>
              </w:rPr>
              <w:t>monitoring.py</w:t>
            </w:r>
          </w:p>
        </w:tc>
        <w:tc>
          <w:tcPr>
            <w:tcW w:type="dxa" w:w="6236"/>
            <w:vAlign w:val="top"/>
          </w:tcPr>
          <w:p>
            <w:pPr>
              <w:spacing w:lineRule="auto" w:line="288"/>
            </w:pPr>
            <w:r/>
            <w:r>
              <w:rPr>
                <w:sz w:val="19"/>
              </w:rPr>
              <w:t>Prometheus counters, histograms, and info metrics</w:t>
            </w:r>
          </w:p>
        </w:tc>
      </w:tr>
      <w:tr>
        <w:trPr>
          <w:cantSplit/>
        </w:trPr>
        <w:tc>
          <w:tcPr>
            <w:tcW w:type="dxa" w:w="3118"/>
            <w:vAlign w:val="top"/>
          </w:tcPr>
          <w:p>
            <w:pPr>
              <w:spacing w:lineRule="auto" w:line="288"/>
            </w:pPr>
            <w:r/>
            <w:r>
              <w:rPr>
                <w:sz w:val="19"/>
              </w:rPr>
              <w:t>cache.py</w:t>
            </w:r>
          </w:p>
        </w:tc>
        <w:tc>
          <w:tcPr>
            <w:tcW w:type="dxa" w:w="6236"/>
            <w:vAlign w:val="top"/>
          </w:tcPr>
          <w:p>
            <w:pPr>
              <w:spacing w:lineRule="auto" w:line="288"/>
            </w:pPr>
            <w:r/>
            <w:r>
              <w:rPr>
                <w:sz w:val="19"/>
              </w:rPr>
              <w:t>In-memory LRU cache decorator (cachetools-backed)</w:t>
            </w:r>
          </w:p>
        </w:tc>
      </w:tr>
      <w:tr>
        <w:trPr>
          <w:cantSplit/>
        </w:trPr>
        <w:tc>
          <w:tcPr>
            <w:tcW w:type="dxa" w:w="3118"/>
            <w:vAlign w:val="top"/>
          </w:tcPr>
          <w:p>
            <w:pPr>
              <w:spacing w:lineRule="auto" w:line="288"/>
            </w:pPr>
            <w:r/>
            <w:r>
              <w:rPr>
                <w:sz w:val="19"/>
              </w:rPr>
              <w:t>rate_limit.py</w:t>
            </w:r>
          </w:p>
        </w:tc>
        <w:tc>
          <w:tcPr>
            <w:tcW w:type="dxa" w:w="6236"/>
            <w:vAlign w:val="top"/>
          </w:tcPr>
          <w:p>
            <w:pPr>
              <w:spacing w:lineRule="auto" w:line="288"/>
            </w:pPr>
            <w:r/>
            <w:r>
              <w:rPr>
                <w:sz w:val="19"/>
              </w:rPr>
              <w:t>SlowAPI limiter with per-IP sliding window</w:t>
            </w:r>
          </w:p>
        </w:tc>
      </w:tr>
      <w:tr>
        <w:trPr>
          <w:cantSplit/>
        </w:trPr>
        <w:tc>
          <w:tcPr>
            <w:tcW w:type="dxa" w:w="3118"/>
            <w:vAlign w:val="top"/>
          </w:tcPr>
          <w:p>
            <w:pPr>
              <w:spacing w:lineRule="auto" w:line="288"/>
            </w:pPr>
            <w:r/>
            <w:r>
              <w:rPr>
                <w:sz w:val="19"/>
              </w:rPr>
              <w:t>cli.py</w:t>
            </w:r>
          </w:p>
        </w:tc>
        <w:tc>
          <w:tcPr>
            <w:tcW w:type="dxa" w:w="6236"/>
            <w:vAlign w:val="top"/>
          </w:tcPr>
          <w:p>
            <w:pPr>
              <w:spacing w:lineRule="auto" w:line="288"/>
            </w:pPr>
            <w:r/>
            <w:r>
              <w:rPr>
                <w:sz w:val="19"/>
              </w:rPr>
              <w:t>Typer CLI: serve, ingest, query, download-models, reset, info</w:t>
            </w:r>
          </w:p>
        </w:tc>
      </w:tr>
      <w:tr>
        <w:trPr>
          <w:cantSplit/>
        </w:trPr>
        <w:tc>
          <w:tcPr>
            <w:tcW w:type="dxa" w:w="3118"/>
            <w:vAlign w:val="top"/>
          </w:tcPr>
          <w:p>
            <w:pPr>
              <w:spacing w:lineRule="auto" w:line="288"/>
            </w:pPr>
            <w:r/>
            <w:r>
              <w:rPr>
                <w:sz w:val="19"/>
              </w:rPr>
              <w:t>app.py</w:t>
            </w:r>
          </w:p>
        </w:tc>
        <w:tc>
          <w:tcPr>
            <w:tcW w:type="dxa" w:w="6236"/>
            <w:vAlign w:val="top"/>
          </w:tcPr>
          <w:p>
            <w:pPr>
              <w:spacing w:lineRule="auto" w:line="288"/>
            </w:pPr>
            <w:r/>
            <w:r>
              <w:rPr>
                <w:sz w:val="19"/>
              </w:rPr>
              <w:t>FastAPI application factory + lifespan + middleware wiring</w:t>
            </w:r>
          </w:p>
        </w:tc>
      </w:tr>
      <w:tr>
        <w:trPr>
          <w:cantSplit/>
        </w:trPr>
        <w:tc>
          <w:tcPr>
            <w:tcW w:type="dxa" w:w="3118"/>
            <w:vAlign w:val="top"/>
          </w:tcPr>
          <w:p>
            <w:pPr>
              <w:spacing w:lineRule="auto" w:line="288"/>
            </w:pPr>
            <w:r/>
            <w:r>
              <w:rPr>
                <w:sz w:val="19"/>
              </w:rPr>
              <w:t>models/embedder.py</w:t>
            </w:r>
          </w:p>
        </w:tc>
        <w:tc>
          <w:tcPr>
            <w:tcW w:type="dxa" w:w="6236"/>
            <w:vAlign w:val="top"/>
          </w:tcPr>
          <w:p>
            <w:pPr>
              <w:spacing w:lineRule="auto" w:line="288"/>
            </w:pPr>
            <w:r/>
            <w:r>
              <w:rPr>
                <w:sz w:val="19"/>
              </w:rPr>
              <w:t>Embedder protocol + Mock/LocalHF/OpenAI implementations</w:t>
            </w:r>
          </w:p>
        </w:tc>
      </w:tr>
      <w:tr>
        <w:trPr>
          <w:cantSplit/>
        </w:trPr>
        <w:tc>
          <w:tcPr>
            <w:tcW w:type="dxa" w:w="3118"/>
            <w:vAlign w:val="top"/>
          </w:tcPr>
          <w:p>
            <w:pPr>
              <w:spacing w:lineRule="auto" w:line="288"/>
            </w:pPr>
            <w:r/>
            <w:r>
              <w:rPr>
                <w:sz w:val="19"/>
              </w:rPr>
              <w:t>models/reranker.py</w:t>
            </w:r>
          </w:p>
        </w:tc>
        <w:tc>
          <w:tcPr>
            <w:tcW w:type="dxa" w:w="6236"/>
            <w:vAlign w:val="top"/>
          </w:tcPr>
          <w:p>
            <w:pPr>
              <w:spacing w:lineRule="auto" w:line="288"/>
            </w:pPr>
            <w:r/>
            <w:r>
              <w:rPr>
                <w:sz w:val="19"/>
              </w:rPr>
              <w:t>Reranker protocol + three implementations</w:t>
            </w:r>
          </w:p>
        </w:tc>
      </w:tr>
      <w:tr>
        <w:trPr>
          <w:cantSplit/>
        </w:trPr>
        <w:tc>
          <w:tcPr>
            <w:tcW w:type="dxa" w:w="3118"/>
            <w:vAlign w:val="top"/>
          </w:tcPr>
          <w:p>
            <w:pPr>
              <w:spacing w:lineRule="auto" w:line="288"/>
            </w:pPr>
            <w:r/>
            <w:r>
              <w:rPr>
                <w:sz w:val="19"/>
              </w:rPr>
              <w:t>models/generator.py</w:t>
            </w:r>
          </w:p>
        </w:tc>
        <w:tc>
          <w:tcPr>
            <w:tcW w:type="dxa" w:w="6236"/>
            <w:vAlign w:val="top"/>
          </w:tcPr>
          <w:p>
            <w:pPr>
              <w:spacing w:lineRule="auto" w:line="288"/>
            </w:pPr>
            <w:r/>
            <w:r>
              <w:rPr>
                <w:sz w:val="19"/>
              </w:rPr>
              <w:t>Generator protocol + three implementations + prompt builder</w:t>
            </w:r>
          </w:p>
        </w:tc>
      </w:tr>
      <w:tr>
        <w:trPr>
          <w:cantSplit/>
        </w:trPr>
        <w:tc>
          <w:tcPr>
            <w:tcW w:type="dxa" w:w="3118"/>
            <w:vAlign w:val="top"/>
          </w:tcPr>
          <w:p>
            <w:pPr>
              <w:spacing w:lineRule="auto" w:line="288"/>
            </w:pPr>
            <w:r/>
            <w:r>
              <w:rPr>
                <w:sz w:val="19"/>
              </w:rPr>
              <w:t>stores/base.py</w:t>
            </w:r>
          </w:p>
        </w:tc>
        <w:tc>
          <w:tcPr>
            <w:tcW w:type="dxa" w:w="6236"/>
            <w:vAlign w:val="top"/>
          </w:tcPr>
          <w:p>
            <w:pPr>
              <w:spacing w:lineRule="auto" w:line="288"/>
            </w:pPr>
            <w:r/>
            <w:r>
              <w:rPr>
                <w:sz w:val="19"/>
              </w:rPr>
              <w:t>VectorStore protocol + VectorRecord dataclass</w:t>
            </w:r>
          </w:p>
        </w:tc>
      </w:tr>
      <w:tr>
        <w:trPr>
          <w:cantSplit/>
        </w:trPr>
        <w:tc>
          <w:tcPr>
            <w:tcW w:type="dxa" w:w="3118"/>
            <w:vAlign w:val="top"/>
          </w:tcPr>
          <w:p>
            <w:pPr>
              <w:spacing w:lineRule="auto" w:line="288"/>
            </w:pPr>
            <w:r/>
            <w:r>
              <w:rPr>
                <w:sz w:val="19"/>
              </w:rPr>
              <w:t>stores/chroma_store.py</w:t>
            </w:r>
          </w:p>
        </w:tc>
        <w:tc>
          <w:tcPr>
            <w:tcW w:type="dxa" w:w="6236"/>
            <w:vAlign w:val="top"/>
          </w:tcPr>
          <w:p>
            <w:pPr>
              <w:spacing w:lineRule="auto" w:line="288"/>
            </w:pPr>
            <w:r/>
            <w:r>
              <w:rPr>
                <w:sz w:val="19"/>
              </w:rPr>
              <w:t>Chroma embedded vector store with metadata flattening</w:t>
            </w:r>
          </w:p>
        </w:tc>
      </w:tr>
      <w:tr>
        <w:trPr>
          <w:cantSplit/>
        </w:trPr>
        <w:tc>
          <w:tcPr>
            <w:tcW w:type="dxa" w:w="3118"/>
            <w:vAlign w:val="top"/>
          </w:tcPr>
          <w:p>
            <w:pPr>
              <w:spacing w:lineRule="auto" w:line="288"/>
            </w:pPr>
            <w:r/>
            <w:r>
              <w:rPr>
                <w:sz w:val="19"/>
              </w:rPr>
              <w:t>stores/qdrant_store.py</w:t>
            </w:r>
          </w:p>
        </w:tc>
        <w:tc>
          <w:tcPr>
            <w:tcW w:type="dxa" w:w="6236"/>
            <w:vAlign w:val="top"/>
          </w:tcPr>
          <w:p>
            <w:pPr>
              <w:spacing w:lineRule="auto" w:line="288"/>
            </w:pPr>
            <w:r/>
            <w:r>
              <w:rPr>
                <w:sz w:val="19"/>
              </w:rPr>
              <w:t>Qdrant client with auto-collection-creation</w:t>
            </w:r>
          </w:p>
        </w:tc>
      </w:tr>
      <w:tr>
        <w:trPr>
          <w:cantSplit/>
        </w:trPr>
        <w:tc>
          <w:tcPr>
            <w:tcW w:type="dxa" w:w="3118"/>
            <w:vAlign w:val="top"/>
          </w:tcPr>
          <w:p>
            <w:pPr>
              <w:spacing w:lineRule="auto" w:line="288"/>
            </w:pPr>
            <w:r/>
            <w:r>
              <w:rPr>
                <w:sz w:val="19"/>
              </w:rPr>
              <w:t>stores/faiss_store.py</w:t>
            </w:r>
          </w:p>
        </w:tc>
        <w:tc>
          <w:tcPr>
            <w:tcW w:type="dxa" w:w="6236"/>
            <w:vAlign w:val="top"/>
          </w:tcPr>
          <w:p>
            <w:pPr>
              <w:spacing w:lineRule="auto" w:line="288"/>
            </w:pPr>
            <w:r/>
            <w:r>
              <w:rPr>
                <w:sz w:val="19"/>
              </w:rPr>
              <w:t>FAISS in-memory IndexFlatIP with on-disk persistence</w:t>
            </w:r>
          </w:p>
        </w:tc>
      </w:tr>
      <w:tr>
        <w:trPr>
          <w:cantSplit/>
        </w:trPr>
        <w:tc>
          <w:tcPr>
            <w:tcW w:type="dxa" w:w="3118"/>
            <w:vAlign w:val="top"/>
          </w:tcPr>
          <w:p>
            <w:pPr>
              <w:spacing w:lineRule="auto" w:line="288"/>
            </w:pPr>
            <w:r/>
            <w:r>
              <w:rPr>
                <w:sz w:val="19"/>
              </w:rPr>
              <w:t>stores/factory.py</w:t>
            </w:r>
          </w:p>
        </w:tc>
        <w:tc>
          <w:tcPr>
            <w:tcW w:type="dxa" w:w="6236"/>
            <w:vAlign w:val="top"/>
          </w:tcPr>
          <w:p>
            <w:pPr>
              <w:spacing w:lineRule="auto" w:line="288"/>
            </w:pPr>
            <w:r/>
            <w:r>
              <w:rPr>
                <w:sz w:val="19"/>
              </w:rPr>
              <w:t>Factory selecting the configured VectorStore implementation</w:t>
            </w:r>
          </w:p>
        </w:tc>
      </w:tr>
      <w:tr>
        <w:trPr>
          <w:cantSplit/>
        </w:trPr>
        <w:tc>
          <w:tcPr>
            <w:tcW w:type="dxa" w:w="3118"/>
            <w:vAlign w:val="top"/>
          </w:tcPr>
          <w:p>
            <w:pPr>
              <w:spacing w:lineRule="auto" w:line="288"/>
            </w:pPr>
            <w:r/>
            <w:r>
              <w:rPr>
                <w:sz w:val="19"/>
              </w:rPr>
              <w:t>data/dataset.py</w:t>
            </w:r>
          </w:p>
        </w:tc>
        <w:tc>
          <w:tcPr>
            <w:tcW w:type="dxa" w:w="6236"/>
            <w:vAlign w:val="top"/>
          </w:tcPr>
          <w:p>
            <w:pPr>
              <w:spacing w:lineRule="auto" w:line="288"/>
            </w:pPr>
            <w:r/>
            <w:r>
              <w:rPr>
                <w:sz w:val="19"/>
              </w:rPr>
              <w:t>DatasetLoader supporting sample, hf, and local sources</w:t>
            </w:r>
          </w:p>
        </w:tc>
      </w:tr>
      <w:tr>
        <w:trPr>
          <w:cantSplit/>
        </w:trPr>
        <w:tc>
          <w:tcPr>
            <w:tcW w:type="dxa" w:w="3118"/>
            <w:vAlign w:val="top"/>
          </w:tcPr>
          <w:p>
            <w:pPr>
              <w:spacing w:lineRule="auto" w:line="288"/>
            </w:pPr>
            <w:r/>
            <w:r>
              <w:rPr>
                <w:sz w:val="19"/>
              </w:rPr>
              <w:t>data/sample_recipes.json</w:t>
            </w:r>
          </w:p>
        </w:tc>
        <w:tc>
          <w:tcPr>
            <w:tcW w:type="dxa" w:w="6236"/>
            <w:vAlign w:val="top"/>
          </w:tcPr>
          <w:p>
            <w:pPr>
              <w:spacing w:lineRule="auto" w:line="288"/>
            </w:pPr>
            <w:r/>
            <w:r>
              <w:rPr>
                <w:sz w:val="19"/>
              </w:rPr>
              <w:t>Bundled 200-recipe dataset (shipped with the package)</w:t>
            </w:r>
          </w:p>
        </w:tc>
      </w:tr>
      <w:tr>
        <w:trPr>
          <w:cantSplit/>
        </w:trPr>
        <w:tc>
          <w:tcPr>
            <w:tcW w:type="dxa" w:w="3118"/>
            <w:vAlign w:val="top"/>
          </w:tcPr>
          <w:p>
            <w:pPr>
              <w:spacing w:lineRule="auto" w:line="288"/>
            </w:pPr>
            <w:r/>
            <w:r>
              <w:rPr>
                <w:sz w:val="19"/>
              </w:rPr>
              <w:t>pipeline/rag.py</w:t>
            </w:r>
          </w:p>
        </w:tc>
        <w:tc>
          <w:tcPr>
            <w:tcW w:type="dxa" w:w="6236"/>
            <w:vAlign w:val="top"/>
          </w:tcPr>
          <w:p>
            <w:pPr>
              <w:spacing w:lineRule="auto" w:line="288"/>
            </w:pPr>
            <w:r/>
            <w:r>
              <w:rPr>
                <w:sz w:val="19"/>
              </w:rPr>
              <w:t>RAGPipeline orchestrator with timing + metrics</w:t>
            </w:r>
          </w:p>
        </w:tc>
      </w:tr>
      <w:tr>
        <w:trPr>
          <w:cantSplit/>
        </w:trPr>
        <w:tc>
          <w:tcPr>
            <w:tcW w:type="dxa" w:w="3118"/>
            <w:vAlign w:val="top"/>
          </w:tcPr>
          <w:p>
            <w:pPr>
              <w:spacing w:lineRule="auto" w:line="288"/>
            </w:pPr>
            <w:r/>
            <w:r>
              <w:rPr>
                <w:sz w:val="19"/>
              </w:rPr>
              <w:t>api/deps.py</w:t>
            </w:r>
          </w:p>
        </w:tc>
        <w:tc>
          <w:tcPr>
            <w:tcW w:type="dxa" w:w="6236"/>
            <w:vAlign w:val="top"/>
          </w:tcPr>
          <w:p>
            <w:pPr>
              <w:spacing w:lineRule="auto" w:line="288"/>
            </w:pPr>
            <w:r/>
            <w:r>
              <w:rPr>
                <w:sz w:val="19"/>
              </w:rPr>
              <w:t>FastAPI dependencies: pipeline, settings, API-key verification</w:t>
            </w:r>
          </w:p>
        </w:tc>
      </w:tr>
      <w:tr>
        <w:trPr>
          <w:cantSplit/>
        </w:trPr>
        <w:tc>
          <w:tcPr>
            <w:tcW w:type="dxa" w:w="3118"/>
            <w:vAlign w:val="top"/>
          </w:tcPr>
          <w:p>
            <w:pPr>
              <w:spacing w:lineRule="auto" w:line="288"/>
            </w:pPr>
            <w:r/>
            <w:r>
              <w:rPr>
                <w:sz w:val="19"/>
              </w:rPr>
              <w:t>api/middleware.py</w:t>
            </w:r>
          </w:p>
        </w:tc>
        <w:tc>
          <w:tcPr>
            <w:tcW w:type="dxa" w:w="6236"/>
            <w:vAlign w:val="top"/>
          </w:tcPr>
          <w:p>
            <w:pPr>
              <w:spacing w:lineRule="auto" w:line="288"/>
            </w:pPr>
            <w:r/>
            <w:r>
              <w:rPr>
                <w:sz w:val="19"/>
              </w:rPr>
              <w:t>MetricsMiddleware, StructlogMiddleware, exception handlers</w:t>
            </w:r>
          </w:p>
        </w:tc>
      </w:tr>
      <w:tr>
        <w:trPr>
          <w:cantSplit/>
        </w:trPr>
        <w:tc>
          <w:tcPr>
            <w:tcW w:type="dxa" w:w="3118"/>
            <w:vAlign w:val="top"/>
          </w:tcPr>
          <w:p>
            <w:pPr>
              <w:spacing w:lineRule="auto" w:line="288"/>
            </w:pPr>
            <w:r/>
            <w:r>
              <w:rPr>
                <w:sz w:val="19"/>
              </w:rPr>
              <w:t>api/routes/health.py</w:t>
            </w:r>
          </w:p>
        </w:tc>
        <w:tc>
          <w:tcPr>
            <w:tcW w:type="dxa" w:w="6236"/>
            <w:vAlign w:val="top"/>
          </w:tcPr>
          <w:p>
            <w:pPr>
              <w:spacing w:lineRule="auto" w:line="288"/>
            </w:pPr>
            <w:r/>
            <w:r>
              <w:rPr>
                <w:sz w:val="19"/>
              </w:rPr>
              <w:t>/health and /ready endpoints</w:t>
            </w:r>
          </w:p>
        </w:tc>
      </w:tr>
      <w:tr>
        <w:trPr>
          <w:cantSplit/>
        </w:trPr>
        <w:tc>
          <w:tcPr>
            <w:tcW w:type="dxa" w:w="3118"/>
            <w:vAlign w:val="top"/>
          </w:tcPr>
          <w:p>
            <w:pPr>
              <w:spacing w:lineRule="auto" w:line="288"/>
            </w:pPr>
            <w:r/>
            <w:r>
              <w:rPr>
                <w:sz w:val="19"/>
              </w:rPr>
              <w:t>api/routes/ingest.py</w:t>
            </w:r>
          </w:p>
        </w:tc>
        <w:tc>
          <w:tcPr>
            <w:tcW w:type="dxa" w:w="6236"/>
            <w:vAlign w:val="top"/>
          </w:tcPr>
          <w:p>
            <w:pPr>
              <w:spacing w:lineRule="auto" w:line="288"/>
            </w:pPr>
            <w:r/>
            <w:r>
              <w:rPr>
                <w:sz w:val="19"/>
              </w:rPr>
              <w:t>POST /ingest — load dataset into vector store</w:t>
            </w:r>
          </w:p>
        </w:tc>
      </w:tr>
      <w:tr>
        <w:trPr>
          <w:cantSplit/>
        </w:trPr>
        <w:tc>
          <w:tcPr>
            <w:tcW w:type="dxa" w:w="3118"/>
            <w:vAlign w:val="top"/>
          </w:tcPr>
          <w:p>
            <w:pPr>
              <w:spacing w:lineRule="auto" w:line="288"/>
            </w:pPr>
            <w:r/>
            <w:r>
              <w:rPr>
                <w:sz w:val="19"/>
              </w:rPr>
              <w:t>api/routes/retrieve.py</w:t>
            </w:r>
          </w:p>
        </w:tc>
        <w:tc>
          <w:tcPr>
            <w:tcW w:type="dxa" w:w="6236"/>
            <w:vAlign w:val="top"/>
          </w:tcPr>
          <w:p>
            <w:pPr>
              <w:spacing w:lineRule="auto" w:line="288"/>
            </w:pPr>
            <w:r/>
            <w:r>
              <w:rPr>
                <w:sz w:val="19"/>
              </w:rPr>
              <w:t>POST /retrieve — text or image query</w:t>
            </w:r>
          </w:p>
        </w:tc>
      </w:tr>
      <w:tr>
        <w:trPr>
          <w:cantSplit/>
        </w:trPr>
        <w:tc>
          <w:tcPr>
            <w:tcW w:type="dxa" w:w="3118"/>
            <w:vAlign w:val="top"/>
          </w:tcPr>
          <w:p>
            <w:pPr>
              <w:spacing w:lineRule="auto" w:line="288"/>
            </w:pPr>
            <w:r/>
            <w:r>
              <w:rPr>
                <w:sz w:val="19"/>
              </w:rPr>
              <w:t>api/routes/rerank.py</w:t>
            </w:r>
          </w:p>
        </w:tc>
        <w:tc>
          <w:tcPr>
            <w:tcW w:type="dxa" w:w="6236"/>
            <w:vAlign w:val="top"/>
          </w:tcPr>
          <w:p>
            <w:pPr>
              <w:spacing w:lineRule="auto" w:line="288"/>
            </w:pPr>
            <w:r/>
            <w:r>
              <w:rPr>
                <w:sz w:val="19"/>
              </w:rPr>
              <w:t>POST /rerank — rerank supplied candidates</w:t>
            </w:r>
          </w:p>
        </w:tc>
      </w:tr>
      <w:tr>
        <w:trPr>
          <w:cantSplit/>
        </w:trPr>
        <w:tc>
          <w:tcPr>
            <w:tcW w:type="dxa" w:w="3118"/>
            <w:vAlign w:val="top"/>
          </w:tcPr>
          <w:p>
            <w:pPr>
              <w:spacing w:lineRule="auto" w:line="288"/>
            </w:pPr>
            <w:r/>
            <w:r>
              <w:rPr>
                <w:sz w:val="19"/>
              </w:rPr>
              <w:t>api/routes/generate.py</w:t>
            </w:r>
          </w:p>
        </w:tc>
        <w:tc>
          <w:tcPr>
            <w:tcW w:type="dxa" w:w="6236"/>
            <w:vAlign w:val="top"/>
          </w:tcPr>
          <w:p>
            <w:pPr>
              <w:spacing w:lineRule="auto" w:line="288"/>
            </w:pPr>
            <w:r/>
            <w:r>
              <w:rPr>
                <w:sz w:val="19"/>
              </w:rPr>
              <w:t>POST /generate — LLM summary over supplied recipes</w:t>
            </w:r>
          </w:p>
        </w:tc>
      </w:tr>
      <w:tr>
        <w:trPr>
          <w:cantSplit/>
        </w:trPr>
        <w:tc>
          <w:tcPr>
            <w:tcW w:type="dxa" w:w="3118"/>
            <w:vAlign w:val="top"/>
          </w:tcPr>
          <w:p>
            <w:pPr>
              <w:spacing w:lineRule="auto" w:line="288"/>
            </w:pPr>
            <w:r/>
            <w:r>
              <w:rPr>
                <w:sz w:val="19"/>
              </w:rPr>
              <w:t>api/routes/rag.py</w:t>
            </w:r>
          </w:p>
        </w:tc>
        <w:tc>
          <w:tcPr>
            <w:tcW w:type="dxa" w:w="6236"/>
            <w:vAlign w:val="top"/>
          </w:tcPr>
          <w:p>
            <w:pPr>
              <w:spacing w:lineRule="auto" w:line="288"/>
            </w:pPr>
            <w:r/>
            <w:r>
              <w:rPr>
                <w:sz w:val="19"/>
              </w:rPr>
              <w:t>POST /rag/query — full end-to-end pipeline</w:t>
            </w:r>
          </w:p>
        </w:tc>
      </w:tr>
    </w:tbl>
    <w:p>
      <w:pPr>
        <w:spacing w:lineRule="auto" w:line="240"/>
      </w:pPr>
    </w:p>
    <w:p>
      <w:pPr>
        <w:pStyle w:val="Heading1"/>
        <w:spacing w:lineRule="auto" w:line="312"/>
      </w:pPr>
      <w:bookmarkStart w:id="100006" w:name="_Toc100006"/>
      <w:r>
        <w:t>6. Architecture Diagrams</w:t>
      </w:r>
      <w:bookmarkEnd w:id="100006"/>
    </w:p>
    <w:p>
      <w:pPr>
        <w:spacing w:lineRule="auto" w:line="312"/>
      </w:pPr>
      <w:r>
        <w:t>The system follows a layered architecture with strict dependency direction: the API layer depends on the pipeline layer, the pipeline layer depends on the model and store layers, and the model and store layers depend only on the config and schema layers. No layer reaches upward, which keeps the dependency graph acyclic and testable in isolation.</w:t>
      </w:r>
    </w:p>
    <w:p>
      <w:pPr>
        <w:spacing w:lineRule="auto" w:line="276"/>
        <w:shd w:val="clear" w:fill="F4F6F8"/>
      </w:pPr>
      <w:r>
        <w:rPr>
          <w:rFonts w:ascii="Courier New" w:hAnsi="Courier New"/>
          <w:color w:val="182030"/>
          <w:sz w:val="19"/>
        </w:rPr>
        <w:t xml:space="preserve">                +----------+</w:t>
        <w:br/>
        <w:t xml:space="preserve">   query -----&gt; | Embedder |----&gt; vector --+</w:t>
        <w:br/>
        <w:t xml:space="preserve">   (text/image) +----------+               |</w:t>
        <w:br/>
        <w:t xml:space="preserve">                                            v</w:t>
        <w:br/>
        <w:t xml:space="preserve">                                  +----------------+</w:t>
        <w:br/>
        <w:t xml:space="preserve">                                  |  Vector Store  | (Chroma/Qdrant/FAISS)</w:t>
        <w:br/>
        <w:t xml:space="preserve">                                  +----------------+</w:t>
        <w:br/>
        <w:t xml:space="preserve">                                            |</w:t>
        <w:br/>
        <w:t xml:space="preserve">                                  top-K candidates</w:t>
        <w:br/>
        <w:t xml:space="preserve">                                            v</w:t>
        <w:br/>
        <w:t xml:space="preserve">                                  +----------------+</w:t>
        <w:br/>
        <w:t xml:space="preserve">                                  |   Reranker     | (optional)</w:t>
        <w:br/>
        <w:t xml:space="preserve">                                  +----------------+</w:t>
        <w:br/>
        <w:t xml:space="preserve">                                            |</w:t>
        <w:br/>
        <w:t xml:space="preserve">                                  reranked candidates</w:t>
        <w:br/>
        <w:t xml:space="preserve">                                            v</w:t>
        <w:br/>
        <w:t xml:space="preserve">                                  +----------------+</w:t>
        <w:br/>
        <w:t xml:space="preserve">                                  |   Generator    | ----&gt; summary</w:t>
        <w:br/>
        <w:t xml:space="preserve">                                  +----------------+</w:t>
      </w:r>
    </w:p>
    <w:p>
      <w:pPr>
        <w:spacing w:lineRule="auto" w:line="312"/>
      </w:pPr>
      <w:r>
        <w:t>The FastAPI app sits in front of the pipeline. Each route handler is a thin adapter that validates the request payload via Pydantic, delegates to the RAGPipeline, and serialises the response. Cross-cutting concerns — metrics, structured logging, rate limiting, exception handling, CORS — are implemented as middleware and exception handlers registered once at app startup. The dependency-injection system in api/deps.py provides a single RAGPipeline instance per worker process, ensuring that expensive model weights are loaded only once.</w:t>
      </w:r>
    </w:p>
    <w:p>
      <w:pPr>
        <w:pStyle w:val="Heading1"/>
        <w:spacing w:lineRule="auto" w:line="312"/>
      </w:pPr>
      <w:bookmarkStart w:id="100007" w:name="_Toc100007"/>
      <w:r>
        <w:t>7. Data Flow</w:t>
      </w:r>
      <w:bookmarkEnd w:id="100007"/>
    </w:p>
    <w:p>
      <w:pPr>
        <w:spacing w:lineRule="auto" w:line="312"/>
      </w:pPr>
      <w:r>
        <w:t>The end-to-end data flow for a RAG query is as follows. A client POSTs a JSON payload to /rag/query containing a query_text, optional query_image (base64 data URL or HTTP URL), and tuning parameters such as top_k and rerank. The FastAPI route validates the payload against the RAGQuery Pydantic schema and calls RAGPipeline.run().</w:t>
      </w:r>
    </w:p>
    <w:p>
      <w:pPr>
        <w:spacing w:lineRule="auto" w:line="312"/>
      </w:pPr>
      <w:r>
        <w:t>Inside the pipeline, the retrieve stage first embeds the query. If both text and image are present, the two embeddings are averaged and L2-normalised so that the combined vector remains in the same unit-norm space as the stored embeddings. The vector is then passed to VectorStore.search(), which returns the top_k candidate recipes along with cosine-similarity scores. Each candidate is wrapped in a RecipeWithScore dataclass that carries the recipe, the score, and the rank position.</w:t>
      </w:r>
    </w:p>
    <w:p>
      <w:pPr>
        <w:spacing w:lineRule="auto" w:line="312"/>
      </w:pPr>
      <w:r>
        <w:t>If the rerank flag is set, the rerank stage takes the retrieved candidates and the original query text and calls Reranker.rerank(). The reranker produces more accurate relevance scores by considering each (query, candidate) pair jointly, rather than relying on vector similarity alone. The reranked list replaces the retrieved list as the source of truth for downstream stages.</w:t>
      </w:r>
    </w:p>
    <w:p>
      <w:pPr>
        <w:spacing w:lineRule="auto" w:line="312"/>
      </w:pPr>
      <w:r>
        <w:t>Finally, if the generate flag is set, the top-N reranked candidates are formatted into a prompt by the build_prompt helper and passed to Generator.generate(). The generator returns a natural-language summary that is included in the response. Per-stage timings are recorded throughout and returned in the timings field, allowing clients to attribute latency to specific stages for debugging.</w:t>
      </w:r>
    </w:p>
    <w:p>
      <w:pPr>
        <w:pStyle w:val="Heading1"/>
        <w:spacing w:lineRule="auto" w:line="312"/>
      </w:pPr>
      <w:bookmarkStart w:id="100008" w:name="_Toc100008"/>
      <w:r>
        <w:t>8. Multimodal RAG Pipeline</w:t>
      </w:r>
      <w:bookmarkEnd w:id="100008"/>
    </w:p>
    <w:p>
      <w:pPr>
        <w:spacing w:lineRule="auto" w:line="312"/>
      </w:pPr>
      <w:r>
        <w:t>The multimodal aspect of the pipeline is what distinguishes it from text-only RAG systems. The Embedder protocol exposes two methods — embed_text and embed_image — that map inputs from different modalities into the same vector space. The mock provider achieves this by hashing both text and image bytes into the same 2048-dimensional L2-normalised vector. The local_hf provider uses NVIDIA Nemotron Embed VL, a vision-language model specifically trained to produce aligned text and image embeddings. The OpenAI provider, which is text-only, falls back to embedding a caption-like string derived from the image metadata — a known limitation that the documentation calls out explicitly.</w:t>
      </w:r>
    </w:p>
    <w:p>
      <w:pPr>
        <w:spacing w:lineRule="auto" w:line="312"/>
      </w:pPr>
      <w:r>
        <w:t>When a query contains both text and image, the pipeline computes both embeddings, averages them with equal weights, and renormalises. This is the simplest fusion strategy and matches the original notebook's behaviour. More sophisticated fusion approaches — learned weighting, cross-attention, or late-fusion with a dedicated multimodal model — are possible future improvements that the pluggable provider design makes trivial to add.</w:t>
      </w:r>
    </w:p>
    <w:p>
      <w:pPr>
        <w:spacing w:lineRule="auto" w:line="312"/>
      </w:pPr>
      <w:r>
        <w:t>The retrieval corpus is itself multimodal: each stored recipe has both a text component (the markdown recipe) and an image component (the dish photograph). The ingest pipeline embeds each recipe as a text+image pair using the same Embedder, ensuring that stored and query embeddings live in the same space. This is critical: mixing embedders at ingest and query time produces silently incorrect results because vector similarity is meaningless across different embedding spaces.</w:t>
      </w:r>
    </w:p>
    <w:p>
      <w:pPr>
        <w:pStyle w:val="Heading1"/>
        <w:spacing w:lineRule="auto" w:line="312"/>
      </w:pPr>
      <w:bookmarkStart w:id="100009" w:name="_Toc100009"/>
      <w:r>
        <w:t>9. Technology Stack</w:t>
      </w:r>
      <w:bookmarkEnd w:id="100009"/>
    </w:p>
    <w:p>
      <w:pPr>
        <w:spacing w:lineRule="auto" w:line="312"/>
      </w:pPr>
      <w:r>
        <w:t>The rebuild is built on a deliberately conservative technology stack. Every dependency was chosen for stability, active maintenance, and a permissive license. Heavy ML dependencies (torch, transformers) are optional extras so that the core package installs in under a minute on a fresh CPU-only machine.</w:t>
      </w:r>
    </w:p>
    <w:tbl>
      <w:tblPr>
        <w:tblStyle w:val="LightGrid-Accent1"/>
        <w:tblW w:type="auto" w:w="0"/>
        <w:jc w:val="center"/>
        <w:tblLook w:firstColumn="1" w:firstRow="1" w:lastColumn="0" w:lastRow="0" w:noHBand="0" w:noVBand="1" w:val="04A0"/>
      </w:tblPr>
      <w:tblGrid>
        <w:gridCol w:w="3041"/>
        <w:gridCol w:w="3041"/>
        <w:gridCol w:w="3041"/>
      </w:tblGrid>
      <w:tr>
        <w:trPr>
          <w:tblHeader w:val="true"/>
          <w:cantSplit/>
        </w:trPr>
        <w:tc>
          <w:tcPr>
            <w:tcW w:type="dxa" w:w="1984"/>
            <w:shd w:val="clear" w:fill="E8EEF4"/>
          </w:tcPr>
          <w:p>
            <w:pPr>
              <w:spacing w:lineRule="auto" w:line="288"/>
            </w:pPr>
            <w:r/>
            <w:r>
              <w:rPr>
                <w:b/>
                <w:sz w:val="20"/>
              </w:rPr>
              <w:t>Layer</w:t>
            </w:r>
          </w:p>
        </w:tc>
        <w:tc>
          <w:tcPr>
            <w:tcW w:type="dxa" w:w="2835"/>
            <w:shd w:val="clear" w:fill="E8EEF4"/>
          </w:tcPr>
          <w:p>
            <w:pPr>
              <w:spacing w:lineRule="auto" w:line="288"/>
            </w:pPr>
            <w:r/>
            <w:r>
              <w:rPr>
                <w:b/>
                <w:sz w:val="20"/>
              </w:rPr>
              <w:t>Library / Tool</w:t>
            </w:r>
          </w:p>
        </w:tc>
        <w:tc>
          <w:tcPr>
            <w:tcW w:type="dxa" w:w="4535"/>
            <w:shd w:val="clear" w:fill="E8EEF4"/>
          </w:tcPr>
          <w:p>
            <w:pPr>
              <w:spacing w:lineRule="auto" w:line="288"/>
            </w:pPr>
            <w:r/>
            <w:r>
              <w:rPr>
                <w:b/>
                <w:sz w:val="20"/>
              </w:rPr>
              <w:t>Purpose</w:t>
            </w:r>
          </w:p>
        </w:tc>
      </w:tr>
      <w:tr>
        <w:trPr>
          <w:cantSplit/>
        </w:trPr>
        <w:tc>
          <w:tcPr>
            <w:tcW w:type="dxa" w:w="1984"/>
            <w:vAlign w:val="top"/>
          </w:tcPr>
          <w:p>
            <w:pPr>
              <w:spacing w:lineRule="auto" w:line="288"/>
            </w:pPr>
            <w:r/>
            <w:r>
              <w:rPr>
                <w:sz w:val="19"/>
              </w:rPr>
              <w:t>Web framework</w:t>
            </w:r>
          </w:p>
        </w:tc>
        <w:tc>
          <w:tcPr>
            <w:tcW w:type="dxa" w:w="2835"/>
            <w:vAlign w:val="top"/>
          </w:tcPr>
          <w:p>
            <w:pPr>
              <w:spacing w:lineRule="auto" w:line="288"/>
            </w:pPr>
            <w:r/>
            <w:r>
              <w:rPr>
                <w:sz w:val="19"/>
              </w:rPr>
              <w:t>FastAPI + Uvicorn</w:t>
            </w:r>
          </w:p>
        </w:tc>
        <w:tc>
          <w:tcPr>
            <w:tcW w:type="dxa" w:w="4535"/>
            <w:vAlign w:val="top"/>
          </w:tcPr>
          <w:p>
            <w:pPr>
              <w:spacing w:lineRule="auto" w:line="288"/>
            </w:pPr>
            <w:r/>
            <w:r>
              <w:rPr>
                <w:sz w:val="19"/>
              </w:rPr>
              <w:t>Async REST API + ASGI server</w:t>
            </w:r>
          </w:p>
        </w:tc>
      </w:tr>
      <w:tr>
        <w:trPr>
          <w:cantSplit/>
        </w:trPr>
        <w:tc>
          <w:tcPr>
            <w:tcW w:type="dxa" w:w="1984"/>
            <w:vAlign w:val="top"/>
          </w:tcPr>
          <w:p>
            <w:pPr>
              <w:spacing w:lineRule="auto" w:line="288"/>
            </w:pPr>
            <w:r/>
            <w:r>
              <w:rPr>
                <w:sz w:val="19"/>
              </w:rPr>
              <w:t>Validation</w:t>
            </w:r>
          </w:p>
        </w:tc>
        <w:tc>
          <w:tcPr>
            <w:tcW w:type="dxa" w:w="2835"/>
            <w:vAlign w:val="top"/>
          </w:tcPr>
          <w:p>
            <w:pPr>
              <w:spacing w:lineRule="auto" w:line="288"/>
            </w:pPr>
            <w:r/>
            <w:r>
              <w:rPr>
                <w:sz w:val="19"/>
              </w:rPr>
              <w:t>Pydantic v2 + pydantic-settings</w:t>
            </w:r>
          </w:p>
        </w:tc>
        <w:tc>
          <w:tcPr>
            <w:tcW w:type="dxa" w:w="4535"/>
            <w:vAlign w:val="top"/>
          </w:tcPr>
          <w:p>
            <w:pPr>
              <w:spacing w:lineRule="auto" w:line="288"/>
            </w:pPr>
            <w:r/>
            <w:r>
              <w:rPr>
                <w:sz w:val="19"/>
              </w:rPr>
              <w:t>Schema validation + env-var config</w:t>
            </w:r>
          </w:p>
        </w:tc>
      </w:tr>
      <w:tr>
        <w:trPr>
          <w:cantSplit/>
        </w:trPr>
        <w:tc>
          <w:tcPr>
            <w:tcW w:type="dxa" w:w="1984"/>
            <w:vAlign w:val="top"/>
          </w:tcPr>
          <w:p>
            <w:pPr>
              <w:spacing w:lineRule="auto" w:line="288"/>
            </w:pPr>
            <w:r/>
            <w:r>
              <w:rPr>
                <w:sz w:val="19"/>
              </w:rPr>
              <w:t>HTTP client</w:t>
            </w:r>
          </w:p>
        </w:tc>
        <w:tc>
          <w:tcPr>
            <w:tcW w:type="dxa" w:w="2835"/>
            <w:vAlign w:val="top"/>
          </w:tcPr>
          <w:p>
            <w:pPr>
              <w:spacing w:lineRule="auto" w:line="288"/>
            </w:pPr>
            <w:r/>
            <w:r>
              <w:rPr>
                <w:sz w:val="19"/>
              </w:rPr>
              <w:t>httpx + tenacity</w:t>
            </w:r>
          </w:p>
        </w:tc>
        <w:tc>
          <w:tcPr>
            <w:tcW w:type="dxa" w:w="4535"/>
            <w:vAlign w:val="top"/>
          </w:tcPr>
          <w:p>
            <w:pPr>
              <w:spacing w:lineRule="auto" w:line="288"/>
            </w:pPr>
            <w:r/>
            <w:r>
              <w:rPr>
                <w:sz w:val="19"/>
              </w:rPr>
              <w:t>HTTP calls with exponential-backoff retry</w:t>
            </w:r>
          </w:p>
        </w:tc>
      </w:tr>
      <w:tr>
        <w:trPr>
          <w:cantSplit/>
        </w:trPr>
        <w:tc>
          <w:tcPr>
            <w:tcW w:type="dxa" w:w="1984"/>
            <w:vAlign w:val="top"/>
          </w:tcPr>
          <w:p>
            <w:pPr>
              <w:spacing w:lineRule="auto" w:line="288"/>
            </w:pPr>
            <w:r/>
            <w:r>
              <w:rPr>
                <w:sz w:val="19"/>
              </w:rPr>
              <w:t>Rate limiting</w:t>
            </w:r>
          </w:p>
        </w:tc>
        <w:tc>
          <w:tcPr>
            <w:tcW w:type="dxa" w:w="2835"/>
            <w:vAlign w:val="top"/>
          </w:tcPr>
          <w:p>
            <w:pPr>
              <w:spacing w:lineRule="auto" w:line="288"/>
            </w:pPr>
            <w:r/>
            <w:r>
              <w:rPr>
                <w:sz w:val="19"/>
              </w:rPr>
              <w:t>slowapi</w:t>
            </w:r>
          </w:p>
        </w:tc>
        <w:tc>
          <w:tcPr>
            <w:tcW w:type="dxa" w:w="4535"/>
            <w:vAlign w:val="top"/>
          </w:tcPr>
          <w:p>
            <w:pPr>
              <w:spacing w:lineRule="auto" w:line="288"/>
            </w:pPr>
            <w:r/>
            <w:r>
              <w:rPr>
                <w:sz w:val="19"/>
              </w:rPr>
              <w:t>Per-IP sliding window rate limiter</w:t>
            </w:r>
          </w:p>
        </w:tc>
      </w:tr>
      <w:tr>
        <w:trPr>
          <w:cantSplit/>
        </w:trPr>
        <w:tc>
          <w:tcPr>
            <w:tcW w:type="dxa" w:w="1984"/>
            <w:vAlign w:val="top"/>
          </w:tcPr>
          <w:p>
            <w:pPr>
              <w:spacing w:lineRule="auto" w:line="288"/>
            </w:pPr>
            <w:r/>
            <w:r>
              <w:rPr>
                <w:sz w:val="19"/>
              </w:rPr>
              <w:t>Cache</w:t>
            </w:r>
          </w:p>
        </w:tc>
        <w:tc>
          <w:tcPr>
            <w:tcW w:type="dxa" w:w="2835"/>
            <w:vAlign w:val="top"/>
          </w:tcPr>
          <w:p>
            <w:pPr>
              <w:spacing w:lineRule="auto" w:line="288"/>
            </w:pPr>
            <w:r/>
            <w:r>
              <w:rPr>
                <w:sz w:val="19"/>
              </w:rPr>
              <w:t>cachetools</w:t>
            </w:r>
          </w:p>
        </w:tc>
        <w:tc>
          <w:tcPr>
            <w:tcW w:type="dxa" w:w="4535"/>
            <w:vAlign w:val="top"/>
          </w:tcPr>
          <w:p>
            <w:pPr>
              <w:spacing w:lineRule="auto" w:line="288"/>
            </w:pPr>
            <w:r/>
            <w:r>
              <w:rPr>
                <w:sz w:val="19"/>
              </w:rPr>
              <w:t>In-memory LRU cache decorator</w:t>
            </w:r>
          </w:p>
        </w:tc>
      </w:tr>
      <w:tr>
        <w:trPr>
          <w:cantSplit/>
        </w:trPr>
        <w:tc>
          <w:tcPr>
            <w:tcW w:type="dxa" w:w="1984"/>
            <w:vAlign w:val="top"/>
          </w:tcPr>
          <w:p>
            <w:pPr>
              <w:spacing w:lineRule="auto" w:line="288"/>
            </w:pPr>
            <w:r/>
            <w:r>
              <w:rPr>
                <w:sz w:val="19"/>
              </w:rPr>
              <w:t>Vector DB</w:t>
            </w:r>
          </w:p>
        </w:tc>
        <w:tc>
          <w:tcPr>
            <w:tcW w:type="dxa" w:w="2835"/>
            <w:vAlign w:val="top"/>
          </w:tcPr>
          <w:p>
            <w:pPr>
              <w:spacing w:lineRule="auto" w:line="288"/>
            </w:pPr>
            <w:r/>
            <w:r>
              <w:rPr>
                <w:sz w:val="19"/>
              </w:rPr>
              <w:t>Qdrant + ChromaDB + FAISS</w:t>
            </w:r>
          </w:p>
        </w:tc>
        <w:tc>
          <w:tcPr>
            <w:tcW w:type="dxa" w:w="4535"/>
            <w:vAlign w:val="top"/>
          </w:tcPr>
          <w:p>
            <w:pPr>
              <w:spacing w:lineRule="auto" w:line="288"/>
            </w:pPr>
            <w:r/>
            <w:r>
              <w:rPr>
                <w:sz w:val="19"/>
              </w:rPr>
              <w:t>Three interchangeable vector stores</w:t>
            </w:r>
          </w:p>
        </w:tc>
      </w:tr>
      <w:tr>
        <w:trPr>
          <w:cantSplit/>
        </w:trPr>
        <w:tc>
          <w:tcPr>
            <w:tcW w:type="dxa" w:w="1984"/>
            <w:vAlign w:val="top"/>
          </w:tcPr>
          <w:p>
            <w:pPr>
              <w:spacing w:lineRule="auto" w:line="288"/>
            </w:pPr>
            <w:r/>
            <w:r>
              <w:rPr>
                <w:sz w:val="19"/>
              </w:rPr>
              <w:t>ML (optional)</w:t>
            </w:r>
          </w:p>
        </w:tc>
        <w:tc>
          <w:tcPr>
            <w:tcW w:type="dxa" w:w="2835"/>
            <w:vAlign w:val="top"/>
          </w:tcPr>
          <w:p>
            <w:pPr>
              <w:spacing w:lineRule="auto" w:line="288"/>
            </w:pPr>
            <w:r/>
            <w:r>
              <w:rPr>
                <w:sz w:val="19"/>
              </w:rPr>
              <w:t>torch + transformers</w:t>
            </w:r>
          </w:p>
        </w:tc>
        <w:tc>
          <w:tcPr>
            <w:tcW w:type="dxa" w:w="4535"/>
            <w:vAlign w:val="top"/>
          </w:tcPr>
          <w:p>
            <w:pPr>
              <w:spacing w:lineRule="auto" w:line="288"/>
            </w:pPr>
            <w:r/>
            <w:r>
              <w:rPr>
                <w:sz w:val="19"/>
              </w:rPr>
              <w:t>NVIDIA Nemotron + Qwen3-VL inference</w:t>
            </w:r>
          </w:p>
        </w:tc>
      </w:tr>
      <w:tr>
        <w:trPr>
          <w:cantSplit/>
        </w:trPr>
        <w:tc>
          <w:tcPr>
            <w:tcW w:type="dxa" w:w="1984"/>
            <w:vAlign w:val="top"/>
          </w:tcPr>
          <w:p>
            <w:pPr>
              <w:spacing w:lineRule="auto" w:line="288"/>
            </w:pPr>
            <w:r/>
            <w:r>
              <w:rPr>
                <w:sz w:val="19"/>
              </w:rPr>
              <w:t>Datasets</w:t>
            </w:r>
          </w:p>
        </w:tc>
        <w:tc>
          <w:tcPr>
            <w:tcW w:type="dxa" w:w="2835"/>
            <w:vAlign w:val="top"/>
          </w:tcPr>
          <w:p>
            <w:pPr>
              <w:spacing w:lineRule="auto" w:line="288"/>
            </w:pPr>
            <w:r/>
            <w:r>
              <w:rPr>
                <w:sz w:val="19"/>
              </w:rPr>
              <w:t>datasets (HuggingFace)</w:t>
            </w:r>
          </w:p>
        </w:tc>
        <w:tc>
          <w:tcPr>
            <w:tcW w:type="dxa" w:w="4535"/>
            <w:vAlign w:val="top"/>
          </w:tcPr>
          <w:p>
            <w:pPr>
              <w:spacing w:lineRule="auto" w:line="288"/>
            </w:pPr>
            <w:r/>
            <w:r>
              <w:rPr>
                <w:sz w:val="19"/>
              </w:rPr>
              <w:t>Streaming the 10k recipe dataset</w:t>
            </w:r>
          </w:p>
        </w:tc>
      </w:tr>
      <w:tr>
        <w:trPr>
          <w:cantSplit/>
        </w:trPr>
        <w:tc>
          <w:tcPr>
            <w:tcW w:type="dxa" w:w="1984"/>
            <w:vAlign w:val="top"/>
          </w:tcPr>
          <w:p>
            <w:pPr>
              <w:spacing w:lineRule="auto" w:line="288"/>
            </w:pPr>
            <w:r/>
            <w:r>
              <w:rPr>
                <w:sz w:val="19"/>
              </w:rPr>
              <w:t>CLI</w:t>
            </w:r>
          </w:p>
        </w:tc>
        <w:tc>
          <w:tcPr>
            <w:tcW w:type="dxa" w:w="2835"/>
            <w:vAlign w:val="top"/>
          </w:tcPr>
          <w:p>
            <w:pPr>
              <w:spacing w:lineRule="auto" w:line="288"/>
            </w:pPr>
            <w:r/>
            <w:r>
              <w:rPr>
                <w:sz w:val="19"/>
              </w:rPr>
              <w:t>Typer + Rich</w:t>
            </w:r>
          </w:p>
        </w:tc>
        <w:tc>
          <w:tcPr>
            <w:tcW w:type="dxa" w:w="4535"/>
            <w:vAlign w:val="top"/>
          </w:tcPr>
          <w:p>
            <w:pPr>
              <w:spacing w:lineRule="auto" w:line="288"/>
            </w:pPr>
            <w:r/>
            <w:r>
              <w:rPr>
                <w:sz w:val="19"/>
              </w:rPr>
              <w:t>Typed CLI with pretty terminal output</w:t>
            </w:r>
          </w:p>
        </w:tc>
      </w:tr>
      <w:tr>
        <w:trPr>
          <w:cantSplit/>
        </w:trPr>
        <w:tc>
          <w:tcPr>
            <w:tcW w:type="dxa" w:w="1984"/>
            <w:vAlign w:val="top"/>
          </w:tcPr>
          <w:p>
            <w:pPr>
              <w:spacing w:lineRule="auto" w:line="288"/>
            </w:pPr>
            <w:r/>
            <w:r>
              <w:rPr>
                <w:sz w:val="19"/>
              </w:rPr>
              <w:t>Logging</w:t>
            </w:r>
          </w:p>
        </w:tc>
        <w:tc>
          <w:tcPr>
            <w:tcW w:type="dxa" w:w="2835"/>
            <w:vAlign w:val="top"/>
          </w:tcPr>
          <w:p>
            <w:pPr>
              <w:spacing w:lineRule="auto" w:line="288"/>
            </w:pPr>
            <w:r/>
            <w:r>
              <w:rPr>
                <w:sz w:val="19"/>
              </w:rPr>
              <w:t>structlog</w:t>
            </w:r>
          </w:p>
        </w:tc>
        <w:tc>
          <w:tcPr>
            <w:tcW w:type="dxa" w:w="4535"/>
            <w:vAlign w:val="top"/>
          </w:tcPr>
          <w:p>
            <w:pPr>
              <w:spacing w:lineRule="auto" w:line="288"/>
            </w:pPr>
            <w:r/>
            <w:r>
              <w:rPr>
                <w:sz w:val="19"/>
              </w:rPr>
              <w:t>Structured JSON logs in production</w:t>
            </w:r>
          </w:p>
        </w:tc>
      </w:tr>
      <w:tr>
        <w:trPr>
          <w:cantSplit/>
        </w:trPr>
        <w:tc>
          <w:tcPr>
            <w:tcW w:type="dxa" w:w="1984"/>
            <w:vAlign w:val="top"/>
          </w:tcPr>
          <w:p>
            <w:pPr>
              <w:spacing w:lineRule="auto" w:line="288"/>
            </w:pPr>
            <w:r/>
            <w:r>
              <w:rPr>
                <w:sz w:val="19"/>
              </w:rPr>
              <w:t>Monitoring</w:t>
            </w:r>
          </w:p>
        </w:tc>
        <w:tc>
          <w:tcPr>
            <w:tcW w:type="dxa" w:w="2835"/>
            <w:vAlign w:val="top"/>
          </w:tcPr>
          <w:p>
            <w:pPr>
              <w:spacing w:lineRule="auto" w:line="288"/>
            </w:pPr>
            <w:r/>
            <w:r>
              <w:rPr>
                <w:sz w:val="19"/>
              </w:rPr>
              <w:t>prometheus-client</w:t>
            </w:r>
          </w:p>
        </w:tc>
        <w:tc>
          <w:tcPr>
            <w:tcW w:type="dxa" w:w="4535"/>
            <w:vAlign w:val="top"/>
          </w:tcPr>
          <w:p>
            <w:pPr>
              <w:spacing w:lineRule="auto" w:line="288"/>
            </w:pPr>
            <w:r/>
            <w:r>
              <w:rPr>
                <w:sz w:val="19"/>
              </w:rPr>
              <w:t>Counters + histograms at /metrics</w:t>
            </w:r>
          </w:p>
        </w:tc>
      </w:tr>
      <w:tr>
        <w:trPr>
          <w:cantSplit/>
        </w:trPr>
        <w:tc>
          <w:tcPr>
            <w:tcW w:type="dxa" w:w="1984"/>
            <w:vAlign w:val="top"/>
          </w:tcPr>
          <w:p>
            <w:pPr>
              <w:spacing w:lineRule="auto" w:line="288"/>
            </w:pPr>
            <w:r/>
            <w:r>
              <w:rPr>
                <w:sz w:val="19"/>
              </w:rPr>
              <w:t>Testing</w:t>
            </w:r>
          </w:p>
        </w:tc>
        <w:tc>
          <w:tcPr>
            <w:tcW w:type="dxa" w:w="2835"/>
            <w:vAlign w:val="top"/>
          </w:tcPr>
          <w:p>
            <w:pPr>
              <w:spacing w:lineRule="auto" w:line="288"/>
            </w:pPr>
            <w:r/>
            <w:r>
              <w:rPr>
                <w:sz w:val="19"/>
              </w:rPr>
              <w:t>pytest + pytest-asyncio + pytest-cov</w:t>
            </w:r>
          </w:p>
        </w:tc>
        <w:tc>
          <w:tcPr>
            <w:tcW w:type="dxa" w:w="4535"/>
            <w:vAlign w:val="top"/>
          </w:tcPr>
          <w:p>
            <w:pPr>
              <w:spacing w:lineRule="auto" w:line="288"/>
            </w:pPr>
            <w:r/>
            <w:r>
              <w:rPr>
                <w:sz w:val="19"/>
              </w:rPr>
              <w:t>Unit + integration tests with coverage</w:t>
            </w:r>
          </w:p>
        </w:tc>
      </w:tr>
      <w:tr>
        <w:trPr>
          <w:cantSplit/>
        </w:trPr>
        <w:tc>
          <w:tcPr>
            <w:tcW w:type="dxa" w:w="1984"/>
            <w:vAlign w:val="top"/>
          </w:tcPr>
          <w:p>
            <w:pPr>
              <w:spacing w:lineRule="auto" w:line="288"/>
            </w:pPr>
            <w:r/>
            <w:r>
              <w:rPr>
                <w:sz w:val="19"/>
              </w:rPr>
              <w:t>Linting</w:t>
            </w:r>
          </w:p>
        </w:tc>
        <w:tc>
          <w:tcPr>
            <w:tcW w:type="dxa" w:w="2835"/>
            <w:vAlign w:val="top"/>
          </w:tcPr>
          <w:p>
            <w:pPr>
              <w:spacing w:lineRule="auto" w:line="288"/>
            </w:pPr>
            <w:r/>
            <w:r>
              <w:rPr>
                <w:sz w:val="19"/>
              </w:rPr>
              <w:t>ruff</w:t>
            </w:r>
          </w:p>
        </w:tc>
        <w:tc>
          <w:tcPr>
            <w:tcW w:type="dxa" w:w="4535"/>
            <w:vAlign w:val="top"/>
          </w:tcPr>
          <w:p>
            <w:pPr>
              <w:spacing w:lineRule="auto" w:line="288"/>
            </w:pPr>
            <w:r/>
            <w:r>
              <w:rPr>
                <w:sz w:val="19"/>
              </w:rPr>
              <w:t>Fast Python linter + formatter</w:t>
            </w:r>
          </w:p>
        </w:tc>
      </w:tr>
      <w:tr>
        <w:trPr>
          <w:cantSplit/>
        </w:trPr>
        <w:tc>
          <w:tcPr>
            <w:tcW w:type="dxa" w:w="1984"/>
            <w:vAlign w:val="top"/>
          </w:tcPr>
          <w:p>
            <w:pPr>
              <w:spacing w:lineRule="auto" w:line="288"/>
            </w:pPr>
            <w:r/>
            <w:r>
              <w:rPr>
                <w:sz w:val="19"/>
              </w:rPr>
              <w:t>Type checking</w:t>
            </w:r>
          </w:p>
        </w:tc>
        <w:tc>
          <w:tcPr>
            <w:tcW w:type="dxa" w:w="2835"/>
            <w:vAlign w:val="top"/>
          </w:tcPr>
          <w:p>
            <w:pPr>
              <w:spacing w:lineRule="auto" w:line="288"/>
            </w:pPr>
            <w:r/>
            <w:r>
              <w:rPr>
                <w:sz w:val="19"/>
              </w:rPr>
              <w:t>mypy</w:t>
            </w:r>
          </w:p>
        </w:tc>
        <w:tc>
          <w:tcPr>
            <w:tcW w:type="dxa" w:w="4535"/>
            <w:vAlign w:val="top"/>
          </w:tcPr>
          <w:p>
            <w:pPr>
              <w:spacing w:lineRule="auto" w:line="288"/>
            </w:pPr>
            <w:r/>
            <w:r>
              <w:rPr>
                <w:sz w:val="19"/>
              </w:rPr>
              <w:t>Static type analysis</w:t>
            </w:r>
          </w:p>
        </w:tc>
      </w:tr>
      <w:tr>
        <w:trPr>
          <w:cantSplit/>
        </w:trPr>
        <w:tc>
          <w:tcPr>
            <w:tcW w:type="dxa" w:w="1984"/>
            <w:vAlign w:val="top"/>
          </w:tcPr>
          <w:p>
            <w:pPr>
              <w:spacing w:lineRule="auto" w:line="288"/>
            </w:pPr>
            <w:r/>
            <w:r>
              <w:rPr>
                <w:sz w:val="19"/>
              </w:rPr>
              <w:t>Packaging</w:t>
            </w:r>
          </w:p>
        </w:tc>
        <w:tc>
          <w:tcPr>
            <w:tcW w:type="dxa" w:w="2835"/>
            <w:vAlign w:val="top"/>
          </w:tcPr>
          <w:p>
            <w:pPr>
              <w:spacing w:lineRule="auto" w:line="288"/>
            </w:pPr>
            <w:r/>
            <w:r>
              <w:rPr>
                <w:sz w:val="19"/>
              </w:rPr>
              <w:t>hatchling</w:t>
            </w:r>
          </w:p>
        </w:tc>
        <w:tc>
          <w:tcPr>
            <w:tcW w:type="dxa" w:w="4535"/>
            <w:vAlign w:val="top"/>
          </w:tcPr>
          <w:p>
            <w:pPr>
              <w:spacing w:lineRule="auto" w:line="288"/>
            </w:pPr>
            <w:r/>
            <w:r>
              <w:rPr>
                <w:sz w:val="19"/>
              </w:rPr>
              <w:t>Build backend for the wheel</w:t>
            </w:r>
          </w:p>
        </w:tc>
      </w:tr>
      <w:tr>
        <w:trPr>
          <w:cantSplit/>
        </w:trPr>
        <w:tc>
          <w:tcPr>
            <w:tcW w:type="dxa" w:w="1984"/>
            <w:vAlign w:val="top"/>
          </w:tcPr>
          <w:p>
            <w:pPr>
              <w:spacing w:lineRule="auto" w:line="288"/>
            </w:pPr>
            <w:r/>
            <w:r>
              <w:rPr>
                <w:sz w:val="19"/>
              </w:rPr>
              <w:t>Containerisation</w:t>
            </w:r>
          </w:p>
        </w:tc>
        <w:tc>
          <w:tcPr>
            <w:tcW w:type="dxa" w:w="2835"/>
            <w:vAlign w:val="top"/>
          </w:tcPr>
          <w:p>
            <w:pPr>
              <w:spacing w:lineRule="auto" w:line="288"/>
            </w:pPr>
            <w:r/>
            <w:r>
              <w:rPr>
                <w:sz w:val="19"/>
              </w:rPr>
              <w:t>Docker + docker-compose</w:t>
            </w:r>
          </w:p>
        </w:tc>
        <w:tc>
          <w:tcPr>
            <w:tcW w:type="dxa" w:w="4535"/>
            <w:vAlign w:val="top"/>
          </w:tcPr>
          <w:p>
            <w:pPr>
              <w:spacing w:lineRule="auto" w:line="288"/>
            </w:pPr>
            <w:r/>
            <w:r>
              <w:rPr>
                <w:sz w:val="19"/>
              </w:rPr>
              <w:t>Single-image + full-stack deployment</w:t>
            </w:r>
          </w:p>
        </w:tc>
      </w:tr>
      <w:tr>
        <w:trPr>
          <w:cantSplit/>
        </w:trPr>
        <w:tc>
          <w:tcPr>
            <w:tcW w:type="dxa" w:w="1984"/>
            <w:vAlign w:val="top"/>
          </w:tcPr>
          <w:p>
            <w:pPr>
              <w:spacing w:lineRule="auto" w:line="288"/>
            </w:pPr>
            <w:r/>
            <w:r>
              <w:rPr>
                <w:sz w:val="19"/>
              </w:rPr>
              <w:t>CI/CD</w:t>
            </w:r>
          </w:p>
        </w:tc>
        <w:tc>
          <w:tcPr>
            <w:tcW w:type="dxa" w:w="2835"/>
            <w:vAlign w:val="top"/>
          </w:tcPr>
          <w:p>
            <w:pPr>
              <w:spacing w:lineRule="auto" w:line="288"/>
            </w:pPr>
            <w:r/>
            <w:r>
              <w:rPr>
                <w:sz w:val="19"/>
              </w:rPr>
              <w:t>GitHub Actions</w:t>
            </w:r>
          </w:p>
        </w:tc>
        <w:tc>
          <w:tcPr>
            <w:tcW w:type="dxa" w:w="4535"/>
            <w:vAlign w:val="top"/>
          </w:tcPr>
          <w:p>
            <w:pPr>
              <w:spacing w:lineRule="auto" w:line="288"/>
            </w:pPr>
            <w:r/>
            <w:r>
              <w:rPr>
                <w:sz w:val="19"/>
              </w:rPr>
              <w:t>Lint, test, build matrix on push/PR</w:t>
            </w:r>
          </w:p>
        </w:tc>
      </w:tr>
    </w:tbl>
    <w:p>
      <w:pPr>
        <w:spacing w:lineRule="auto" w:line="240"/>
      </w:pPr>
    </w:p>
    <w:p>
      <w:pPr>
        <w:pStyle w:val="Heading1"/>
        <w:spacing w:lineRule="auto" w:line="312"/>
      </w:pPr>
      <w:bookmarkStart w:id="100010" w:name="_Toc100010"/>
      <w:r>
        <w:t>10. Libraries Used</w:t>
      </w:r>
      <w:bookmarkEnd w:id="100010"/>
    </w:p>
    <w:p>
      <w:pPr>
        <w:spacing w:lineRule="auto" w:line="312"/>
      </w:pPr>
      <w:r>
        <w:t>This section complements the previous one by listing every direct dependency in the pyproject.toml, including version constraints and the rationale for each. Optional dependencies are grouped under the gpu, dev, and docs extras so that installers can opt in only to what they need.</w:t>
      </w:r>
    </w:p>
    <w:tbl>
      <w:tblPr>
        <w:tblStyle w:val="LightGrid-Accent1"/>
        <w:tblW w:type="auto" w:w="0"/>
        <w:jc w:val="center"/>
        <w:tblLook w:firstColumn="1" w:firstRow="1" w:lastColumn="0" w:lastRow="0" w:noHBand="0" w:noVBand="1" w:val="04A0"/>
      </w:tblPr>
      <w:tblGrid>
        <w:gridCol w:w="3041"/>
        <w:gridCol w:w="3041"/>
        <w:gridCol w:w="3041"/>
      </w:tblGrid>
      <w:tr>
        <w:trPr>
          <w:tblHeader w:val="true"/>
          <w:cantSplit/>
        </w:trPr>
        <w:tc>
          <w:tcPr>
            <w:tcW w:type="dxa" w:w="2268"/>
            <w:shd w:val="clear" w:fill="E8EEF4"/>
          </w:tcPr>
          <w:p>
            <w:pPr>
              <w:spacing w:lineRule="auto" w:line="288"/>
            </w:pPr>
            <w:r/>
            <w:r>
              <w:rPr>
                <w:b/>
                <w:sz w:val="20"/>
              </w:rPr>
              <w:t>Dependency</w:t>
            </w:r>
          </w:p>
        </w:tc>
        <w:tc>
          <w:tcPr>
            <w:tcW w:type="dxa" w:w="2268"/>
            <w:shd w:val="clear" w:fill="E8EEF4"/>
          </w:tcPr>
          <w:p>
            <w:pPr>
              <w:spacing w:lineRule="auto" w:line="288"/>
            </w:pPr>
            <w:r/>
            <w:r>
              <w:rPr>
                <w:b/>
                <w:sz w:val="20"/>
              </w:rPr>
              <w:t>Version constraint</w:t>
            </w:r>
          </w:p>
        </w:tc>
        <w:tc>
          <w:tcPr>
            <w:tcW w:type="dxa" w:w="4819"/>
            <w:shd w:val="clear" w:fill="E8EEF4"/>
          </w:tcPr>
          <w:p>
            <w:pPr>
              <w:spacing w:lineRule="auto" w:line="288"/>
            </w:pPr>
            <w:r/>
            <w:r>
              <w:rPr>
                <w:b/>
                <w:sz w:val="20"/>
              </w:rPr>
              <w:t>Why</w:t>
            </w:r>
          </w:p>
        </w:tc>
      </w:tr>
      <w:tr>
        <w:trPr>
          <w:cantSplit/>
        </w:trPr>
        <w:tc>
          <w:tcPr>
            <w:tcW w:type="dxa" w:w="2268"/>
            <w:vAlign w:val="top"/>
          </w:tcPr>
          <w:p>
            <w:pPr>
              <w:spacing w:lineRule="auto" w:line="288"/>
            </w:pPr>
            <w:r/>
            <w:r>
              <w:rPr>
                <w:sz w:val="19"/>
              </w:rPr>
              <w:t>fastapi</w:t>
            </w:r>
          </w:p>
        </w:tc>
        <w:tc>
          <w:tcPr>
            <w:tcW w:type="dxa" w:w="2268"/>
            <w:vAlign w:val="top"/>
          </w:tcPr>
          <w:p>
            <w:pPr>
              <w:spacing w:lineRule="auto" w:line="288"/>
            </w:pPr>
            <w:r/>
            <w:r>
              <w:rPr>
                <w:sz w:val="19"/>
              </w:rPr>
              <w:t>&gt;=0.115.0</w:t>
            </w:r>
          </w:p>
        </w:tc>
        <w:tc>
          <w:tcPr>
            <w:tcW w:type="dxa" w:w="4819"/>
            <w:vAlign w:val="top"/>
          </w:tcPr>
          <w:p>
            <w:pPr>
              <w:spacing w:lineRule="auto" w:line="288"/>
            </w:pPr>
            <w:r/>
            <w:r>
              <w:rPr>
                <w:sz w:val="19"/>
              </w:rPr>
              <w:t>Modern async web framework with auto OpenAPI</w:t>
            </w:r>
          </w:p>
        </w:tc>
      </w:tr>
      <w:tr>
        <w:trPr>
          <w:cantSplit/>
        </w:trPr>
        <w:tc>
          <w:tcPr>
            <w:tcW w:type="dxa" w:w="2268"/>
            <w:vAlign w:val="top"/>
          </w:tcPr>
          <w:p>
            <w:pPr>
              <w:spacing w:lineRule="auto" w:line="288"/>
            </w:pPr>
            <w:r/>
            <w:r>
              <w:rPr>
                <w:sz w:val="19"/>
              </w:rPr>
              <w:t>uvicorn[standard]</w:t>
            </w:r>
          </w:p>
        </w:tc>
        <w:tc>
          <w:tcPr>
            <w:tcW w:type="dxa" w:w="2268"/>
            <w:vAlign w:val="top"/>
          </w:tcPr>
          <w:p>
            <w:pPr>
              <w:spacing w:lineRule="auto" w:line="288"/>
            </w:pPr>
            <w:r/>
            <w:r>
              <w:rPr>
                <w:sz w:val="19"/>
              </w:rPr>
              <w:t>&gt;=0.30.0</w:t>
            </w:r>
          </w:p>
        </w:tc>
        <w:tc>
          <w:tcPr>
            <w:tcW w:type="dxa" w:w="4819"/>
            <w:vAlign w:val="top"/>
          </w:tcPr>
          <w:p>
            <w:pPr>
              <w:spacing w:lineRule="auto" w:line="288"/>
            </w:pPr>
            <w:r/>
            <w:r>
              <w:rPr>
                <w:sz w:val="19"/>
              </w:rPr>
              <w:t>Production-grade ASGI server</w:t>
            </w:r>
          </w:p>
        </w:tc>
      </w:tr>
      <w:tr>
        <w:trPr>
          <w:cantSplit/>
        </w:trPr>
        <w:tc>
          <w:tcPr>
            <w:tcW w:type="dxa" w:w="2268"/>
            <w:vAlign w:val="top"/>
          </w:tcPr>
          <w:p>
            <w:pPr>
              <w:spacing w:lineRule="auto" w:line="288"/>
            </w:pPr>
            <w:r/>
            <w:r>
              <w:rPr>
                <w:sz w:val="19"/>
              </w:rPr>
              <w:t>pydantic</w:t>
            </w:r>
          </w:p>
        </w:tc>
        <w:tc>
          <w:tcPr>
            <w:tcW w:type="dxa" w:w="2268"/>
            <w:vAlign w:val="top"/>
          </w:tcPr>
          <w:p>
            <w:pPr>
              <w:spacing w:lineRule="auto" w:line="288"/>
            </w:pPr>
            <w:r/>
            <w:r>
              <w:rPr>
                <w:sz w:val="19"/>
              </w:rPr>
              <w:t>&gt;=2.7.0</w:t>
            </w:r>
          </w:p>
        </w:tc>
        <w:tc>
          <w:tcPr>
            <w:tcW w:type="dxa" w:w="4819"/>
            <w:vAlign w:val="top"/>
          </w:tcPr>
          <w:p>
            <w:pPr>
              <w:spacing w:lineRule="auto" w:line="288"/>
            </w:pPr>
            <w:r/>
            <w:r>
              <w:rPr>
                <w:sz w:val="19"/>
              </w:rPr>
              <w:t>V2 for speed; data validation throughout</w:t>
            </w:r>
          </w:p>
        </w:tc>
      </w:tr>
      <w:tr>
        <w:trPr>
          <w:cantSplit/>
        </w:trPr>
        <w:tc>
          <w:tcPr>
            <w:tcW w:type="dxa" w:w="2268"/>
            <w:vAlign w:val="top"/>
          </w:tcPr>
          <w:p>
            <w:pPr>
              <w:spacing w:lineRule="auto" w:line="288"/>
            </w:pPr>
            <w:r/>
            <w:r>
              <w:rPr>
                <w:sz w:val="19"/>
              </w:rPr>
              <w:t>pydantic-settings</w:t>
            </w:r>
          </w:p>
        </w:tc>
        <w:tc>
          <w:tcPr>
            <w:tcW w:type="dxa" w:w="2268"/>
            <w:vAlign w:val="top"/>
          </w:tcPr>
          <w:p>
            <w:pPr>
              <w:spacing w:lineRule="auto" w:line="288"/>
            </w:pPr>
            <w:r/>
            <w:r>
              <w:rPr>
                <w:sz w:val="19"/>
              </w:rPr>
              <w:t>&gt;=2.3.0</w:t>
            </w:r>
          </w:p>
        </w:tc>
        <w:tc>
          <w:tcPr>
            <w:tcW w:type="dxa" w:w="4819"/>
            <w:vAlign w:val="top"/>
          </w:tcPr>
          <w:p>
            <w:pPr>
              <w:spacing w:lineRule="auto" w:line="288"/>
            </w:pPr>
            <w:r/>
            <w:r>
              <w:rPr>
                <w:sz w:val="19"/>
              </w:rPr>
              <w:t>Env-var-backed config with type coercion</w:t>
            </w:r>
          </w:p>
        </w:tc>
      </w:tr>
      <w:tr>
        <w:trPr>
          <w:cantSplit/>
        </w:trPr>
        <w:tc>
          <w:tcPr>
            <w:tcW w:type="dxa" w:w="2268"/>
            <w:vAlign w:val="top"/>
          </w:tcPr>
          <w:p>
            <w:pPr>
              <w:spacing w:lineRule="auto" w:line="288"/>
            </w:pPr>
            <w:r/>
            <w:r>
              <w:rPr>
                <w:sz w:val="19"/>
              </w:rPr>
              <w:t>httpx</w:t>
            </w:r>
          </w:p>
        </w:tc>
        <w:tc>
          <w:tcPr>
            <w:tcW w:type="dxa" w:w="2268"/>
            <w:vAlign w:val="top"/>
          </w:tcPr>
          <w:p>
            <w:pPr>
              <w:spacing w:lineRule="auto" w:line="288"/>
            </w:pPr>
            <w:r/>
            <w:r>
              <w:rPr>
                <w:sz w:val="19"/>
              </w:rPr>
              <w:t>&gt;=0.27.0</w:t>
            </w:r>
          </w:p>
        </w:tc>
        <w:tc>
          <w:tcPr>
            <w:tcW w:type="dxa" w:w="4819"/>
            <w:vAlign w:val="top"/>
          </w:tcPr>
          <w:p>
            <w:pPr>
              <w:spacing w:lineRule="auto" w:line="288"/>
            </w:pPr>
            <w:r/>
            <w:r>
              <w:rPr>
                <w:sz w:val="19"/>
              </w:rPr>
              <w:t>Sync + async HTTP client used for image URL fetch</w:t>
            </w:r>
          </w:p>
        </w:tc>
      </w:tr>
      <w:tr>
        <w:trPr>
          <w:cantSplit/>
        </w:trPr>
        <w:tc>
          <w:tcPr>
            <w:tcW w:type="dxa" w:w="2268"/>
            <w:vAlign w:val="top"/>
          </w:tcPr>
          <w:p>
            <w:pPr>
              <w:spacing w:lineRule="auto" w:line="288"/>
            </w:pPr>
            <w:r/>
            <w:r>
              <w:rPr>
                <w:sz w:val="19"/>
              </w:rPr>
              <w:t>tenacity</w:t>
            </w:r>
          </w:p>
        </w:tc>
        <w:tc>
          <w:tcPr>
            <w:tcW w:type="dxa" w:w="2268"/>
            <w:vAlign w:val="top"/>
          </w:tcPr>
          <w:p>
            <w:pPr>
              <w:spacing w:lineRule="auto" w:line="288"/>
            </w:pPr>
            <w:r/>
            <w:r>
              <w:rPr>
                <w:sz w:val="19"/>
              </w:rPr>
              <w:t>&gt;=8.4.0</w:t>
            </w:r>
          </w:p>
        </w:tc>
        <w:tc>
          <w:tcPr>
            <w:tcW w:type="dxa" w:w="4819"/>
            <w:vAlign w:val="top"/>
          </w:tcPr>
          <w:p>
            <w:pPr>
              <w:spacing w:lineRule="auto" w:line="288"/>
            </w:pPr>
            <w:r/>
            <w:r>
              <w:rPr>
                <w:sz w:val="19"/>
              </w:rPr>
              <w:t>Retry decorators with exponential backoff</w:t>
            </w:r>
          </w:p>
        </w:tc>
      </w:tr>
      <w:tr>
        <w:trPr>
          <w:cantSplit/>
        </w:trPr>
        <w:tc>
          <w:tcPr>
            <w:tcW w:type="dxa" w:w="2268"/>
            <w:vAlign w:val="top"/>
          </w:tcPr>
          <w:p>
            <w:pPr>
              <w:spacing w:lineRule="auto" w:line="288"/>
            </w:pPr>
            <w:r/>
            <w:r>
              <w:rPr>
                <w:sz w:val="19"/>
              </w:rPr>
              <w:t>slowapi</w:t>
            </w:r>
          </w:p>
        </w:tc>
        <w:tc>
          <w:tcPr>
            <w:tcW w:type="dxa" w:w="2268"/>
            <w:vAlign w:val="top"/>
          </w:tcPr>
          <w:p>
            <w:pPr>
              <w:spacing w:lineRule="auto" w:line="288"/>
            </w:pPr>
            <w:r/>
            <w:r>
              <w:rPr>
                <w:sz w:val="19"/>
              </w:rPr>
              <w:t>&gt;=0.1.9</w:t>
            </w:r>
          </w:p>
        </w:tc>
        <w:tc>
          <w:tcPr>
            <w:tcW w:type="dxa" w:w="4819"/>
            <w:vAlign w:val="top"/>
          </w:tcPr>
          <w:p>
            <w:pPr>
              <w:spacing w:lineRule="auto" w:line="288"/>
            </w:pPr>
            <w:r/>
            <w:r>
              <w:rPr>
                <w:sz w:val="19"/>
              </w:rPr>
              <w:t>FastAPI-compatible rate limiter</w:t>
            </w:r>
          </w:p>
        </w:tc>
      </w:tr>
      <w:tr>
        <w:trPr>
          <w:cantSplit/>
        </w:trPr>
        <w:tc>
          <w:tcPr>
            <w:tcW w:type="dxa" w:w="2268"/>
            <w:vAlign w:val="top"/>
          </w:tcPr>
          <w:p>
            <w:pPr>
              <w:spacing w:lineRule="auto" w:line="288"/>
            </w:pPr>
            <w:r/>
            <w:r>
              <w:rPr>
                <w:sz w:val="19"/>
              </w:rPr>
              <w:t>cachetools</w:t>
            </w:r>
          </w:p>
        </w:tc>
        <w:tc>
          <w:tcPr>
            <w:tcW w:type="dxa" w:w="2268"/>
            <w:vAlign w:val="top"/>
          </w:tcPr>
          <w:p>
            <w:pPr>
              <w:spacing w:lineRule="auto" w:line="288"/>
            </w:pPr>
            <w:r/>
            <w:r>
              <w:rPr>
                <w:sz w:val="19"/>
              </w:rPr>
              <w:t>&gt;=5.3.0</w:t>
            </w:r>
          </w:p>
        </w:tc>
        <w:tc>
          <w:tcPr>
            <w:tcW w:type="dxa" w:w="4819"/>
            <w:vAlign w:val="top"/>
          </w:tcPr>
          <w:p>
            <w:pPr>
              <w:spacing w:lineRule="auto" w:line="288"/>
            </w:pPr>
            <w:r/>
            <w:r>
              <w:rPr>
                <w:sz w:val="19"/>
              </w:rPr>
              <w:t>LRU cache used by the @cached decorator</w:t>
            </w:r>
          </w:p>
        </w:tc>
      </w:tr>
      <w:tr>
        <w:trPr>
          <w:cantSplit/>
        </w:trPr>
        <w:tc>
          <w:tcPr>
            <w:tcW w:type="dxa" w:w="2268"/>
            <w:vAlign w:val="top"/>
          </w:tcPr>
          <w:p>
            <w:pPr>
              <w:spacing w:lineRule="auto" w:line="288"/>
            </w:pPr>
            <w:r/>
            <w:r>
              <w:rPr>
                <w:sz w:val="19"/>
              </w:rPr>
              <w:t>qdrant-client</w:t>
            </w:r>
          </w:p>
        </w:tc>
        <w:tc>
          <w:tcPr>
            <w:tcW w:type="dxa" w:w="2268"/>
            <w:vAlign w:val="top"/>
          </w:tcPr>
          <w:p>
            <w:pPr>
              <w:spacing w:lineRule="auto" w:line="288"/>
            </w:pPr>
            <w:r/>
            <w:r>
              <w:rPr>
                <w:sz w:val="19"/>
              </w:rPr>
              <w:t>&gt;=1.10.0</w:t>
            </w:r>
          </w:p>
        </w:tc>
        <w:tc>
          <w:tcPr>
            <w:tcW w:type="dxa" w:w="4819"/>
            <w:vAlign w:val="top"/>
          </w:tcPr>
          <w:p>
            <w:pPr>
              <w:spacing w:lineRule="auto" w:line="288"/>
            </w:pPr>
            <w:r/>
            <w:r>
              <w:rPr>
                <w:sz w:val="19"/>
              </w:rPr>
              <w:t>Official Qdrant Python client</w:t>
            </w:r>
          </w:p>
        </w:tc>
      </w:tr>
      <w:tr>
        <w:trPr>
          <w:cantSplit/>
        </w:trPr>
        <w:tc>
          <w:tcPr>
            <w:tcW w:type="dxa" w:w="2268"/>
            <w:vAlign w:val="top"/>
          </w:tcPr>
          <w:p>
            <w:pPr>
              <w:spacing w:lineRule="auto" w:line="288"/>
            </w:pPr>
            <w:r/>
            <w:r>
              <w:rPr>
                <w:sz w:val="19"/>
              </w:rPr>
              <w:t>chromadb</w:t>
            </w:r>
          </w:p>
        </w:tc>
        <w:tc>
          <w:tcPr>
            <w:tcW w:type="dxa" w:w="2268"/>
            <w:vAlign w:val="top"/>
          </w:tcPr>
          <w:p>
            <w:pPr>
              <w:spacing w:lineRule="auto" w:line="288"/>
            </w:pPr>
            <w:r/>
            <w:r>
              <w:rPr>
                <w:sz w:val="19"/>
              </w:rPr>
              <w:t>&gt;=0.5.5</w:t>
            </w:r>
          </w:p>
        </w:tc>
        <w:tc>
          <w:tcPr>
            <w:tcW w:type="dxa" w:w="4819"/>
            <w:vAlign w:val="top"/>
          </w:tcPr>
          <w:p>
            <w:pPr>
              <w:spacing w:lineRule="auto" w:line="288"/>
            </w:pPr>
            <w:r/>
            <w:r>
              <w:rPr>
                <w:sz w:val="19"/>
              </w:rPr>
              <w:t>Embedded vector DB; no separate service needed</w:t>
            </w:r>
          </w:p>
        </w:tc>
      </w:tr>
      <w:tr>
        <w:trPr>
          <w:cantSplit/>
        </w:trPr>
        <w:tc>
          <w:tcPr>
            <w:tcW w:type="dxa" w:w="2268"/>
            <w:vAlign w:val="top"/>
          </w:tcPr>
          <w:p>
            <w:pPr>
              <w:spacing w:lineRule="auto" w:line="288"/>
            </w:pPr>
            <w:r/>
            <w:r>
              <w:rPr>
                <w:sz w:val="19"/>
              </w:rPr>
              <w:t>faiss-cpu</w:t>
            </w:r>
          </w:p>
        </w:tc>
        <w:tc>
          <w:tcPr>
            <w:tcW w:type="dxa" w:w="2268"/>
            <w:vAlign w:val="top"/>
          </w:tcPr>
          <w:p>
            <w:pPr>
              <w:spacing w:lineRule="auto" w:line="288"/>
            </w:pPr>
            <w:r/>
            <w:r>
              <w:rPr>
                <w:sz w:val="19"/>
              </w:rPr>
              <w:t>&gt;=1.8.0</w:t>
            </w:r>
          </w:p>
        </w:tc>
        <w:tc>
          <w:tcPr>
            <w:tcW w:type="dxa" w:w="4819"/>
            <w:vAlign w:val="top"/>
          </w:tcPr>
          <w:p>
            <w:pPr>
              <w:spacing w:lineRule="auto" w:line="288"/>
            </w:pPr>
            <w:r/>
            <w:r>
              <w:rPr>
                <w:sz w:val="19"/>
              </w:rPr>
              <w:t>Facebook's similarity search library (CPU build)</w:t>
            </w:r>
          </w:p>
        </w:tc>
      </w:tr>
      <w:tr>
        <w:trPr>
          <w:cantSplit/>
        </w:trPr>
        <w:tc>
          <w:tcPr>
            <w:tcW w:type="dxa" w:w="2268"/>
            <w:vAlign w:val="top"/>
          </w:tcPr>
          <w:p>
            <w:pPr>
              <w:spacing w:lineRule="auto" w:line="288"/>
            </w:pPr>
            <w:r/>
            <w:r>
              <w:rPr>
                <w:sz w:val="19"/>
              </w:rPr>
              <w:t>numpy</w:t>
            </w:r>
          </w:p>
        </w:tc>
        <w:tc>
          <w:tcPr>
            <w:tcW w:type="dxa" w:w="2268"/>
            <w:vAlign w:val="top"/>
          </w:tcPr>
          <w:p>
            <w:pPr>
              <w:spacing w:lineRule="auto" w:line="288"/>
            </w:pPr>
            <w:r/>
            <w:r>
              <w:rPr>
                <w:sz w:val="19"/>
              </w:rPr>
              <w:t>&gt;=1.26.0</w:t>
            </w:r>
          </w:p>
        </w:tc>
        <w:tc>
          <w:tcPr>
            <w:tcW w:type="dxa" w:w="4819"/>
            <w:vAlign w:val="top"/>
          </w:tcPr>
          <w:p>
            <w:pPr>
              <w:spacing w:lineRule="auto" w:line="288"/>
            </w:pPr>
            <w:r/>
            <w:r>
              <w:rPr>
                <w:sz w:val="19"/>
              </w:rPr>
              <w:t>Vector arithmetic; required by every provider</w:t>
            </w:r>
          </w:p>
        </w:tc>
      </w:tr>
      <w:tr>
        <w:trPr>
          <w:cantSplit/>
        </w:trPr>
        <w:tc>
          <w:tcPr>
            <w:tcW w:type="dxa" w:w="2268"/>
            <w:vAlign w:val="top"/>
          </w:tcPr>
          <w:p>
            <w:pPr>
              <w:spacing w:lineRule="auto" w:line="288"/>
            </w:pPr>
            <w:r/>
            <w:r>
              <w:rPr>
                <w:sz w:val="19"/>
              </w:rPr>
              <w:t>pillow</w:t>
            </w:r>
          </w:p>
        </w:tc>
        <w:tc>
          <w:tcPr>
            <w:tcW w:type="dxa" w:w="2268"/>
            <w:vAlign w:val="top"/>
          </w:tcPr>
          <w:p>
            <w:pPr>
              <w:spacing w:lineRule="auto" w:line="288"/>
            </w:pPr>
            <w:r/>
            <w:r>
              <w:rPr>
                <w:sz w:val="19"/>
              </w:rPr>
              <w:t>&gt;=10.3.0</w:t>
            </w:r>
          </w:p>
        </w:tc>
        <w:tc>
          <w:tcPr>
            <w:tcW w:type="dxa" w:w="4819"/>
            <w:vAlign w:val="top"/>
          </w:tcPr>
          <w:p>
            <w:pPr>
              <w:spacing w:lineRule="auto" w:line="288"/>
            </w:pPr>
            <w:r/>
            <w:r>
              <w:rPr>
                <w:sz w:val="19"/>
              </w:rPr>
              <w:t>Image handling for image queries</w:t>
            </w:r>
          </w:p>
        </w:tc>
      </w:tr>
      <w:tr>
        <w:trPr>
          <w:cantSplit/>
        </w:trPr>
        <w:tc>
          <w:tcPr>
            <w:tcW w:type="dxa" w:w="2268"/>
            <w:vAlign w:val="top"/>
          </w:tcPr>
          <w:p>
            <w:pPr>
              <w:spacing w:lineRule="auto" w:line="288"/>
            </w:pPr>
            <w:r/>
            <w:r>
              <w:rPr>
                <w:sz w:val="19"/>
              </w:rPr>
              <w:t>safetensors</w:t>
            </w:r>
          </w:p>
        </w:tc>
        <w:tc>
          <w:tcPr>
            <w:tcW w:type="dxa" w:w="2268"/>
            <w:vAlign w:val="top"/>
          </w:tcPr>
          <w:p>
            <w:pPr>
              <w:spacing w:lineRule="auto" w:line="288"/>
            </w:pPr>
            <w:r/>
            <w:r>
              <w:rPr>
                <w:sz w:val="19"/>
              </w:rPr>
              <w:t>&gt;=0.4.3</w:t>
            </w:r>
          </w:p>
        </w:tc>
        <w:tc>
          <w:tcPr>
            <w:tcW w:type="dxa" w:w="4819"/>
            <w:vAlign w:val="top"/>
          </w:tcPr>
          <w:p>
            <w:pPr>
              <w:spacing w:lineRule="auto" w:line="288"/>
            </w:pPr>
            <w:r/>
            <w:r>
              <w:rPr>
                <w:sz w:val="19"/>
              </w:rPr>
              <w:t>Fast safe tensor serialisation (matches original notebook)</w:t>
            </w:r>
          </w:p>
        </w:tc>
      </w:tr>
      <w:tr>
        <w:trPr>
          <w:cantSplit/>
        </w:trPr>
        <w:tc>
          <w:tcPr>
            <w:tcW w:type="dxa" w:w="2268"/>
            <w:vAlign w:val="top"/>
          </w:tcPr>
          <w:p>
            <w:pPr>
              <w:spacing w:lineRule="auto" w:line="288"/>
            </w:pPr>
            <w:r/>
            <w:r>
              <w:rPr>
                <w:sz w:val="19"/>
              </w:rPr>
              <w:t>datasets</w:t>
            </w:r>
          </w:p>
        </w:tc>
        <w:tc>
          <w:tcPr>
            <w:tcW w:type="dxa" w:w="2268"/>
            <w:vAlign w:val="top"/>
          </w:tcPr>
          <w:p>
            <w:pPr>
              <w:spacing w:lineRule="auto" w:line="288"/>
            </w:pPr>
            <w:r/>
            <w:r>
              <w:rPr>
                <w:sz w:val="19"/>
              </w:rPr>
              <w:t>&gt;=2.20.0</w:t>
            </w:r>
          </w:p>
        </w:tc>
        <w:tc>
          <w:tcPr>
            <w:tcW w:type="dxa" w:w="4819"/>
            <w:vAlign w:val="top"/>
          </w:tcPr>
          <w:p>
            <w:pPr>
              <w:spacing w:lineRule="auto" w:line="288"/>
            </w:pPr>
            <w:r/>
            <w:r>
              <w:rPr>
                <w:sz w:val="19"/>
              </w:rPr>
              <w:t>HuggingFace dataset streaming for the 10k recipe corpus</w:t>
            </w:r>
          </w:p>
        </w:tc>
      </w:tr>
      <w:tr>
        <w:trPr>
          <w:cantSplit/>
        </w:trPr>
        <w:tc>
          <w:tcPr>
            <w:tcW w:type="dxa" w:w="2268"/>
            <w:vAlign w:val="top"/>
          </w:tcPr>
          <w:p>
            <w:pPr>
              <w:spacing w:lineRule="auto" w:line="288"/>
            </w:pPr>
            <w:r/>
            <w:r>
              <w:rPr>
                <w:sz w:val="19"/>
              </w:rPr>
              <w:t>typer</w:t>
            </w:r>
          </w:p>
        </w:tc>
        <w:tc>
          <w:tcPr>
            <w:tcW w:type="dxa" w:w="2268"/>
            <w:vAlign w:val="top"/>
          </w:tcPr>
          <w:p>
            <w:pPr>
              <w:spacing w:lineRule="auto" w:line="288"/>
            </w:pPr>
            <w:r/>
            <w:r>
              <w:rPr>
                <w:sz w:val="19"/>
              </w:rPr>
              <w:t>&gt;=0.12.3</w:t>
            </w:r>
          </w:p>
        </w:tc>
        <w:tc>
          <w:tcPr>
            <w:tcW w:type="dxa" w:w="4819"/>
            <w:vAlign w:val="top"/>
          </w:tcPr>
          <w:p>
            <w:pPr>
              <w:spacing w:lineRule="auto" w:line="288"/>
            </w:pPr>
            <w:r/>
            <w:r>
              <w:rPr>
                <w:sz w:val="19"/>
              </w:rPr>
              <w:t>Typed CLI built on Click</w:t>
            </w:r>
          </w:p>
        </w:tc>
      </w:tr>
      <w:tr>
        <w:trPr>
          <w:cantSplit/>
        </w:trPr>
        <w:tc>
          <w:tcPr>
            <w:tcW w:type="dxa" w:w="2268"/>
            <w:vAlign w:val="top"/>
          </w:tcPr>
          <w:p>
            <w:pPr>
              <w:spacing w:lineRule="auto" w:line="288"/>
            </w:pPr>
            <w:r/>
            <w:r>
              <w:rPr>
                <w:sz w:val="19"/>
              </w:rPr>
              <w:t>rich</w:t>
            </w:r>
          </w:p>
        </w:tc>
        <w:tc>
          <w:tcPr>
            <w:tcW w:type="dxa" w:w="2268"/>
            <w:vAlign w:val="top"/>
          </w:tcPr>
          <w:p>
            <w:pPr>
              <w:spacing w:lineRule="auto" w:line="288"/>
            </w:pPr>
            <w:r/>
            <w:r>
              <w:rPr>
                <w:sz w:val="19"/>
              </w:rPr>
              <w:t>&gt;=13.7.0</w:t>
            </w:r>
          </w:p>
        </w:tc>
        <w:tc>
          <w:tcPr>
            <w:tcW w:type="dxa" w:w="4819"/>
            <w:vAlign w:val="top"/>
          </w:tcPr>
          <w:p>
            <w:pPr>
              <w:spacing w:lineRule="auto" w:line="288"/>
            </w:pPr>
            <w:r/>
            <w:r>
              <w:rPr>
                <w:sz w:val="19"/>
              </w:rPr>
              <w:t>Pretty terminal output for the CLI</w:t>
            </w:r>
          </w:p>
        </w:tc>
      </w:tr>
      <w:tr>
        <w:trPr>
          <w:cantSplit/>
        </w:trPr>
        <w:tc>
          <w:tcPr>
            <w:tcW w:type="dxa" w:w="2268"/>
            <w:vAlign w:val="top"/>
          </w:tcPr>
          <w:p>
            <w:pPr>
              <w:spacing w:lineRule="auto" w:line="288"/>
            </w:pPr>
            <w:r/>
            <w:r>
              <w:rPr>
                <w:sz w:val="19"/>
              </w:rPr>
              <w:t>structlog</w:t>
            </w:r>
          </w:p>
        </w:tc>
        <w:tc>
          <w:tcPr>
            <w:tcW w:type="dxa" w:w="2268"/>
            <w:vAlign w:val="top"/>
          </w:tcPr>
          <w:p>
            <w:pPr>
              <w:spacing w:lineRule="auto" w:line="288"/>
            </w:pPr>
            <w:r/>
            <w:r>
              <w:rPr>
                <w:sz w:val="19"/>
              </w:rPr>
              <w:t>&gt;=24.1.0</w:t>
            </w:r>
          </w:p>
        </w:tc>
        <w:tc>
          <w:tcPr>
            <w:tcW w:type="dxa" w:w="4819"/>
            <w:vAlign w:val="top"/>
          </w:tcPr>
          <w:p>
            <w:pPr>
              <w:spacing w:lineRule="auto" w:line="288"/>
            </w:pPr>
            <w:r/>
            <w:r>
              <w:rPr>
                <w:sz w:val="19"/>
              </w:rPr>
              <w:t>Structured logging with JSON output in prod</w:t>
            </w:r>
          </w:p>
        </w:tc>
      </w:tr>
      <w:tr>
        <w:trPr>
          <w:cantSplit/>
        </w:trPr>
        <w:tc>
          <w:tcPr>
            <w:tcW w:type="dxa" w:w="2268"/>
            <w:vAlign w:val="top"/>
          </w:tcPr>
          <w:p>
            <w:pPr>
              <w:spacing w:lineRule="auto" w:line="288"/>
            </w:pPr>
            <w:r/>
            <w:r>
              <w:rPr>
                <w:sz w:val="19"/>
              </w:rPr>
              <w:t>prometheus-client</w:t>
            </w:r>
          </w:p>
        </w:tc>
        <w:tc>
          <w:tcPr>
            <w:tcW w:type="dxa" w:w="2268"/>
            <w:vAlign w:val="top"/>
          </w:tcPr>
          <w:p>
            <w:pPr>
              <w:spacing w:lineRule="auto" w:line="288"/>
            </w:pPr>
            <w:r/>
            <w:r>
              <w:rPr>
                <w:sz w:val="19"/>
              </w:rPr>
              <w:t>&gt;=0.20.0</w:t>
            </w:r>
          </w:p>
        </w:tc>
        <w:tc>
          <w:tcPr>
            <w:tcW w:type="dxa" w:w="4819"/>
            <w:vAlign w:val="top"/>
          </w:tcPr>
          <w:p>
            <w:pPr>
              <w:spacing w:lineRule="auto" w:line="288"/>
            </w:pPr>
            <w:r/>
            <w:r>
              <w:rPr>
                <w:sz w:val="19"/>
              </w:rPr>
              <w:t>Prometheus exposition at /metrics</w:t>
            </w:r>
          </w:p>
        </w:tc>
      </w:tr>
      <w:tr>
        <w:trPr>
          <w:cantSplit/>
        </w:trPr>
        <w:tc>
          <w:tcPr>
            <w:tcW w:type="dxa" w:w="2268"/>
            <w:vAlign w:val="top"/>
          </w:tcPr>
          <w:p>
            <w:pPr>
              <w:spacing w:lineRule="auto" w:line="288"/>
            </w:pPr>
            <w:r/>
            <w:r>
              <w:rPr>
                <w:sz w:val="19"/>
              </w:rPr>
              <w:t>torch (gpu extra)</w:t>
            </w:r>
          </w:p>
        </w:tc>
        <w:tc>
          <w:tcPr>
            <w:tcW w:type="dxa" w:w="2268"/>
            <w:vAlign w:val="top"/>
          </w:tcPr>
          <w:p>
            <w:pPr>
              <w:spacing w:lineRule="auto" w:line="288"/>
            </w:pPr>
            <w:r/>
            <w:r>
              <w:rPr>
                <w:sz w:val="19"/>
              </w:rPr>
              <w:t>&gt;=2.3.0</w:t>
            </w:r>
          </w:p>
        </w:tc>
        <w:tc>
          <w:tcPr>
            <w:tcW w:type="dxa" w:w="4819"/>
            <w:vAlign w:val="top"/>
          </w:tcPr>
          <w:p>
            <w:pPr>
              <w:spacing w:lineRule="auto" w:line="288"/>
            </w:pPr>
            <w:r/>
            <w:r>
              <w:rPr>
                <w:sz w:val="19"/>
              </w:rPr>
              <w:t>Local HF model inference</w:t>
            </w:r>
          </w:p>
        </w:tc>
      </w:tr>
      <w:tr>
        <w:trPr>
          <w:cantSplit/>
        </w:trPr>
        <w:tc>
          <w:tcPr>
            <w:tcW w:type="dxa" w:w="2268"/>
            <w:vAlign w:val="top"/>
          </w:tcPr>
          <w:p>
            <w:pPr>
              <w:spacing w:lineRule="auto" w:line="288"/>
            </w:pPr>
            <w:r/>
            <w:r>
              <w:rPr>
                <w:sz w:val="19"/>
              </w:rPr>
              <w:t>transformers (gpu extra)</w:t>
            </w:r>
          </w:p>
        </w:tc>
        <w:tc>
          <w:tcPr>
            <w:tcW w:type="dxa" w:w="2268"/>
            <w:vAlign w:val="top"/>
          </w:tcPr>
          <w:p>
            <w:pPr>
              <w:spacing w:lineRule="auto" w:line="288"/>
            </w:pPr>
            <w:r/>
            <w:r>
              <w:rPr>
                <w:sz w:val="19"/>
              </w:rPr>
              <w:t>&gt;=4.44.0</w:t>
            </w:r>
          </w:p>
        </w:tc>
        <w:tc>
          <w:tcPr>
            <w:tcW w:type="dxa" w:w="4819"/>
            <w:vAlign w:val="top"/>
          </w:tcPr>
          <w:p>
            <w:pPr>
              <w:spacing w:lineRule="auto" w:line="288"/>
            </w:pPr>
            <w:r/>
            <w:r>
              <w:rPr>
                <w:sz w:val="19"/>
              </w:rPr>
              <w:t>Nemotron + Qwen3-VL model loading</w:t>
            </w:r>
          </w:p>
        </w:tc>
      </w:tr>
      <w:tr>
        <w:trPr>
          <w:cantSplit/>
        </w:trPr>
        <w:tc>
          <w:tcPr>
            <w:tcW w:type="dxa" w:w="2268"/>
            <w:vAlign w:val="top"/>
          </w:tcPr>
          <w:p>
            <w:pPr>
              <w:spacing w:lineRule="auto" w:line="288"/>
            </w:pPr>
            <w:r/>
            <w:r>
              <w:rPr>
                <w:sz w:val="19"/>
              </w:rPr>
              <w:t>pytest (dev extra)</w:t>
            </w:r>
          </w:p>
        </w:tc>
        <w:tc>
          <w:tcPr>
            <w:tcW w:type="dxa" w:w="2268"/>
            <w:vAlign w:val="top"/>
          </w:tcPr>
          <w:p>
            <w:pPr>
              <w:spacing w:lineRule="auto" w:line="288"/>
            </w:pPr>
            <w:r/>
            <w:r>
              <w:rPr>
                <w:sz w:val="19"/>
              </w:rPr>
              <w:t>&gt;=8.2.0</w:t>
            </w:r>
          </w:p>
        </w:tc>
        <w:tc>
          <w:tcPr>
            <w:tcW w:type="dxa" w:w="4819"/>
            <w:vAlign w:val="top"/>
          </w:tcPr>
          <w:p>
            <w:pPr>
              <w:spacing w:lineRule="auto" w:line="288"/>
            </w:pPr>
            <w:r/>
            <w:r>
              <w:rPr>
                <w:sz w:val="19"/>
              </w:rPr>
              <w:t>Test runner</w:t>
            </w:r>
          </w:p>
        </w:tc>
      </w:tr>
      <w:tr>
        <w:trPr>
          <w:cantSplit/>
        </w:trPr>
        <w:tc>
          <w:tcPr>
            <w:tcW w:type="dxa" w:w="2268"/>
            <w:vAlign w:val="top"/>
          </w:tcPr>
          <w:p>
            <w:pPr>
              <w:spacing w:lineRule="auto" w:line="288"/>
            </w:pPr>
            <w:r/>
            <w:r>
              <w:rPr>
                <w:sz w:val="19"/>
              </w:rPr>
              <w:t>pytest-cov (dev extra)</w:t>
            </w:r>
          </w:p>
        </w:tc>
        <w:tc>
          <w:tcPr>
            <w:tcW w:type="dxa" w:w="2268"/>
            <w:vAlign w:val="top"/>
          </w:tcPr>
          <w:p>
            <w:pPr>
              <w:spacing w:lineRule="auto" w:line="288"/>
            </w:pPr>
            <w:r/>
            <w:r>
              <w:rPr>
                <w:sz w:val="19"/>
              </w:rPr>
              <w:t>&gt;=5.0.0</w:t>
            </w:r>
          </w:p>
        </w:tc>
        <w:tc>
          <w:tcPr>
            <w:tcW w:type="dxa" w:w="4819"/>
            <w:vAlign w:val="top"/>
          </w:tcPr>
          <w:p>
            <w:pPr>
              <w:spacing w:lineRule="auto" w:line="288"/>
            </w:pPr>
            <w:r/>
            <w:r>
              <w:rPr>
                <w:sz w:val="19"/>
              </w:rPr>
              <w:t>Coverage reporting</w:t>
            </w:r>
          </w:p>
        </w:tc>
      </w:tr>
      <w:tr>
        <w:trPr>
          <w:cantSplit/>
        </w:trPr>
        <w:tc>
          <w:tcPr>
            <w:tcW w:type="dxa" w:w="2268"/>
            <w:vAlign w:val="top"/>
          </w:tcPr>
          <w:p>
            <w:pPr>
              <w:spacing w:lineRule="auto" w:line="288"/>
            </w:pPr>
            <w:r/>
            <w:r>
              <w:rPr>
                <w:sz w:val="19"/>
              </w:rPr>
              <w:t>ruff (dev extra)</w:t>
            </w:r>
          </w:p>
        </w:tc>
        <w:tc>
          <w:tcPr>
            <w:tcW w:type="dxa" w:w="2268"/>
            <w:vAlign w:val="top"/>
          </w:tcPr>
          <w:p>
            <w:pPr>
              <w:spacing w:lineRule="auto" w:line="288"/>
            </w:pPr>
            <w:r/>
            <w:r>
              <w:rPr>
                <w:sz w:val="19"/>
              </w:rPr>
              <w:t>&gt;=0.5.0</w:t>
            </w:r>
          </w:p>
        </w:tc>
        <w:tc>
          <w:tcPr>
            <w:tcW w:type="dxa" w:w="4819"/>
            <w:vAlign w:val="top"/>
          </w:tcPr>
          <w:p>
            <w:pPr>
              <w:spacing w:lineRule="auto" w:line="288"/>
            </w:pPr>
            <w:r/>
            <w:r>
              <w:rPr>
                <w:sz w:val="19"/>
              </w:rPr>
              <w:t>Linter + formatter</w:t>
            </w:r>
          </w:p>
        </w:tc>
      </w:tr>
      <w:tr>
        <w:trPr>
          <w:cantSplit/>
        </w:trPr>
        <w:tc>
          <w:tcPr>
            <w:tcW w:type="dxa" w:w="2268"/>
            <w:vAlign w:val="top"/>
          </w:tcPr>
          <w:p>
            <w:pPr>
              <w:spacing w:lineRule="auto" w:line="288"/>
            </w:pPr>
            <w:r/>
            <w:r>
              <w:rPr>
                <w:sz w:val="19"/>
              </w:rPr>
              <w:t>mypy (dev extra)</w:t>
            </w:r>
          </w:p>
        </w:tc>
        <w:tc>
          <w:tcPr>
            <w:tcW w:type="dxa" w:w="2268"/>
            <w:vAlign w:val="top"/>
          </w:tcPr>
          <w:p>
            <w:pPr>
              <w:spacing w:lineRule="auto" w:line="288"/>
            </w:pPr>
            <w:r/>
            <w:r>
              <w:rPr>
                <w:sz w:val="19"/>
              </w:rPr>
              <w:t>&gt;=1.10.0</w:t>
            </w:r>
          </w:p>
        </w:tc>
        <w:tc>
          <w:tcPr>
            <w:tcW w:type="dxa" w:w="4819"/>
            <w:vAlign w:val="top"/>
          </w:tcPr>
          <w:p>
            <w:pPr>
              <w:spacing w:lineRule="auto" w:line="288"/>
            </w:pPr>
            <w:r/>
            <w:r>
              <w:rPr>
                <w:sz w:val="19"/>
              </w:rPr>
              <w:t>Static type checker</w:t>
            </w:r>
          </w:p>
        </w:tc>
      </w:tr>
      <w:tr>
        <w:trPr>
          <w:cantSplit/>
        </w:trPr>
        <w:tc>
          <w:tcPr>
            <w:tcW w:type="dxa" w:w="2268"/>
            <w:vAlign w:val="top"/>
          </w:tcPr>
          <w:p>
            <w:pPr>
              <w:spacing w:lineRule="auto" w:line="288"/>
            </w:pPr>
            <w:r/>
            <w:r>
              <w:rPr>
                <w:sz w:val="19"/>
              </w:rPr>
              <w:t>python-docx (docs extra)</w:t>
            </w:r>
          </w:p>
        </w:tc>
        <w:tc>
          <w:tcPr>
            <w:tcW w:type="dxa" w:w="2268"/>
            <w:vAlign w:val="top"/>
          </w:tcPr>
          <w:p>
            <w:pPr>
              <w:spacing w:lineRule="auto" w:line="288"/>
            </w:pPr>
            <w:r/>
            <w:r>
              <w:rPr>
                <w:sz w:val="19"/>
              </w:rPr>
              <w:t>&gt;=1.1.0</w:t>
            </w:r>
          </w:p>
        </w:tc>
        <w:tc>
          <w:tcPr>
            <w:tcW w:type="dxa" w:w="4819"/>
            <w:vAlign w:val="top"/>
          </w:tcPr>
          <w:p>
            <w:pPr>
              <w:spacing w:lineRule="auto" w:line="288"/>
            </w:pPr>
            <w:r/>
            <w:r>
              <w:rPr>
                <w:sz w:val="19"/>
              </w:rPr>
              <w:t>Generates this documentation file</w:t>
            </w:r>
          </w:p>
        </w:tc>
      </w:tr>
    </w:tbl>
    <w:p>
      <w:pPr>
        <w:spacing w:lineRule="auto" w:line="240"/>
      </w:pPr>
    </w:p>
    <w:p>
      <w:pPr>
        <w:pStyle w:val="Heading1"/>
        <w:spacing w:lineRule="auto" w:line="312"/>
      </w:pPr>
      <w:bookmarkStart w:id="100011" w:name="_Toc100011"/>
      <w:r>
        <w:t>11. Installation Guide</w:t>
      </w:r>
      <w:bookmarkEnd w:id="100011"/>
    </w:p>
    <w:p>
      <w:pPr>
        <w:spacing w:lineRule="auto" w:line="312"/>
      </w:pPr>
      <w:r>
        <w:t>The project supports three installation profiles. The default profile installs only the runtime dependencies needed to run with mock providers on a CPU; this is the profile used by CI and the recommended starting point for new contributors. The dev profile adds testing and linting tools. The gpu profile adds torch and transformers for running the original NVIDIA Nemotron and Qwen3-VL models locally.</w:t>
      </w:r>
    </w:p>
    <w:p>
      <w:pPr>
        <w:pStyle w:val="ListNumber"/>
        <w:spacing w:lineRule="auto" w:line="312"/>
      </w:pPr>
      <w:r>
        <w:t>Clone the repository: git clone &lt;repo-url&gt; &amp;&amp; cd multimodal-rag-production</w:t>
      </w:r>
    </w:p>
    <w:p>
      <w:pPr>
        <w:pStyle w:val="ListNumber"/>
        <w:spacing w:lineRule="auto" w:line="312"/>
      </w:pPr>
      <w:r>
        <w:t>Create a virtual environment: python3 -m venv .venv &amp;&amp; source .venv/bin/activate</w:t>
      </w:r>
    </w:p>
    <w:p>
      <w:pPr>
        <w:pStyle w:val="ListNumber"/>
        <w:spacing w:lineRule="auto" w:line="312"/>
      </w:pPr>
      <w:r>
        <w:t>Install the package: pip install -e .  (or pip install -e '.[dev]' for development)</w:t>
      </w:r>
    </w:p>
    <w:p>
      <w:pPr>
        <w:pStyle w:val="ListNumber"/>
        <w:spacing w:lineRule="auto" w:line="312"/>
      </w:pPr>
      <w:r>
        <w:t>Copy the environment template: cp .env.example .env</w:t>
      </w:r>
    </w:p>
    <w:p>
      <w:pPr>
        <w:pStyle w:val="ListNumber"/>
        <w:spacing w:lineRule="auto" w:line="312"/>
      </w:pPr>
      <w:r>
        <w:t>Edit .env to select providers (defaults are mock for everything — safe for CPU)</w:t>
      </w:r>
    </w:p>
    <w:p>
      <w:pPr>
        <w:pStyle w:val="ListNumber"/>
        <w:spacing w:lineRule="auto" w:line="312"/>
      </w:pPr>
      <w:r>
        <w:t>Ingest the sample dataset: multimodal-rag ingest --source sample</w:t>
      </w:r>
    </w:p>
    <w:p>
      <w:pPr>
        <w:pStyle w:val="ListNumber"/>
        <w:spacing w:lineRule="auto" w:line="312"/>
      </w:pPr>
      <w:r>
        <w:t>Start the API: multimodal-rag serve  (or make serve)</w:t>
      </w:r>
    </w:p>
    <w:p>
      <w:pPr>
        <w:pStyle w:val="ListNumber"/>
        <w:spacing w:lineRule="auto" w:line="312"/>
      </w:pPr>
      <w:r>
        <w:t>Open the API docs at http://localhost:8000/docs</w:t>
      </w:r>
    </w:p>
    <w:p>
      <w:pPr>
        <w:spacing w:lineRule="auto" w:line="312"/>
      </w:pPr>
      <w:r>
        <w:t>For GPU installations, replace step 3 with pip install -e '.[gpu]' and run multimodal-rag download-models to pre-fetch the HuggingFace weights. The first download is approximately 6 GB across the three models; subsequent runs use the HuggingFace local cache and start in seconds.</w:t>
      </w:r>
    </w:p>
    <w:p>
      <w:pPr>
        <w:pStyle w:val="Heading1"/>
        <w:spacing w:lineRule="auto" w:line="312"/>
      </w:pPr>
      <w:bookmarkStart w:id="100012" w:name="_Toc100012"/>
      <w:r>
        <w:t>12. Environment Setup</w:t>
      </w:r>
      <w:bookmarkEnd w:id="100012"/>
    </w:p>
    <w:p>
      <w:pPr>
        <w:spacing w:lineRule="auto" w:line="312"/>
      </w:pPr>
      <w:r>
        <w:t>All runtime configuration is read from environment variables or a .env file via pydantic-settings. The Settings class in config.py declares every field with a sensible default, so the application starts successfully with no .env file at all — defaults assume mock providers, Chroma embedded store, and the bundled sample dataset. The .env.example file documents every variable with inline comments and serves as the authoritative reference for configuration.</w:t>
      </w:r>
    </w:p>
    <w:p>
      <w:pPr>
        <w:spacing w:lineRule="auto" w:line="312"/>
      </w:pPr>
      <w:r>
        <w:t>Configuration is grouped into nine categories: app, providers, model IDs, vector store, dataset, embeddings cache, RAG pipeline, reliability, and security. Each category is independent — for example, switching the vector store from Chroma to Qdrant does not require changes to the provider or dataset configuration. The get_settings() function returns a process-wide cached instance, ensuring that env vars are read only once at startup.</w:t>
      </w:r>
    </w:p>
    <w:p>
      <w:pPr>
        <w:pStyle w:val="Heading2"/>
        <w:spacing w:lineRule="auto" w:line="312"/>
      </w:pPr>
      <w:bookmarkStart w:id="100013" w:name="_Toc100013"/>
      <w:r>
        <w:t>Key environment variables</w:t>
      </w:r>
      <w:bookmarkEnd w:id="100013"/>
    </w:p>
    <w:tbl>
      <w:tblPr>
        <w:tblStyle w:val="LightGrid-Accent1"/>
        <w:tblW w:type="auto" w:w="0"/>
        <w:jc w:val="center"/>
        <w:tblLook w:firstColumn="1" w:firstRow="1" w:lastColumn="0" w:lastRow="0" w:noHBand="0" w:noVBand="1" w:val="04A0"/>
      </w:tblPr>
      <w:tblGrid>
        <w:gridCol w:w="3041"/>
        <w:gridCol w:w="3041"/>
        <w:gridCol w:w="3041"/>
      </w:tblGrid>
      <w:tr>
        <w:trPr>
          <w:tblHeader w:val="true"/>
          <w:cantSplit/>
        </w:trPr>
        <w:tc>
          <w:tcPr>
            <w:tcW w:type="dxa" w:w="2835"/>
            <w:shd w:val="clear" w:fill="E8EEF4"/>
          </w:tcPr>
          <w:p>
            <w:pPr>
              <w:spacing w:lineRule="auto" w:line="288"/>
            </w:pPr>
            <w:r/>
            <w:r>
              <w:rPr>
                <w:b/>
                <w:sz w:val="20"/>
              </w:rPr>
              <w:t>Variable</w:t>
            </w:r>
          </w:p>
        </w:tc>
        <w:tc>
          <w:tcPr>
            <w:tcW w:type="dxa" w:w="1701"/>
            <w:shd w:val="clear" w:fill="E8EEF4"/>
          </w:tcPr>
          <w:p>
            <w:pPr>
              <w:spacing w:lineRule="auto" w:line="288"/>
            </w:pPr>
            <w:r/>
            <w:r>
              <w:rPr>
                <w:b/>
                <w:sz w:val="20"/>
              </w:rPr>
              <w:t>Default</w:t>
            </w:r>
          </w:p>
        </w:tc>
        <w:tc>
          <w:tcPr>
            <w:tcW w:type="dxa" w:w="4819"/>
            <w:shd w:val="clear" w:fill="E8EEF4"/>
          </w:tcPr>
          <w:p>
            <w:pPr>
              <w:spacing w:lineRule="auto" w:line="288"/>
            </w:pPr>
            <w:r/>
            <w:r>
              <w:rPr>
                <w:b/>
                <w:sz w:val="20"/>
              </w:rPr>
              <w:t>Effect</w:t>
            </w:r>
          </w:p>
        </w:tc>
      </w:tr>
      <w:tr>
        <w:trPr>
          <w:cantSplit/>
        </w:trPr>
        <w:tc>
          <w:tcPr>
            <w:tcW w:type="dxa" w:w="2835"/>
            <w:vAlign w:val="top"/>
          </w:tcPr>
          <w:p>
            <w:pPr>
              <w:spacing w:lineRule="auto" w:line="288"/>
            </w:pPr>
            <w:r/>
            <w:r>
              <w:rPr>
                <w:sz w:val="19"/>
              </w:rPr>
              <w:t>EMBEDDING_PROVIDER</w:t>
            </w:r>
          </w:p>
        </w:tc>
        <w:tc>
          <w:tcPr>
            <w:tcW w:type="dxa" w:w="1701"/>
            <w:vAlign w:val="top"/>
          </w:tcPr>
          <w:p>
            <w:pPr>
              <w:spacing w:lineRule="auto" w:line="288"/>
            </w:pPr>
            <w:r/>
            <w:r>
              <w:rPr>
                <w:sz w:val="19"/>
              </w:rPr>
              <w:t>mock</w:t>
            </w:r>
          </w:p>
        </w:tc>
        <w:tc>
          <w:tcPr>
            <w:tcW w:type="dxa" w:w="4819"/>
            <w:vAlign w:val="top"/>
          </w:tcPr>
          <w:p>
            <w:pPr>
              <w:spacing w:lineRule="auto" w:line="288"/>
            </w:pPr>
            <w:r/>
            <w:r>
              <w:rPr>
                <w:sz w:val="19"/>
              </w:rPr>
              <w:t>Selects embedder: mock | local_hf | openai</w:t>
            </w:r>
          </w:p>
        </w:tc>
      </w:tr>
      <w:tr>
        <w:trPr>
          <w:cantSplit/>
        </w:trPr>
        <w:tc>
          <w:tcPr>
            <w:tcW w:type="dxa" w:w="2835"/>
            <w:vAlign w:val="top"/>
          </w:tcPr>
          <w:p>
            <w:pPr>
              <w:spacing w:lineRule="auto" w:line="288"/>
            </w:pPr>
            <w:r/>
            <w:r>
              <w:rPr>
                <w:sz w:val="19"/>
              </w:rPr>
              <w:t>RERANKER_PROVIDER</w:t>
            </w:r>
          </w:p>
        </w:tc>
        <w:tc>
          <w:tcPr>
            <w:tcW w:type="dxa" w:w="1701"/>
            <w:vAlign w:val="top"/>
          </w:tcPr>
          <w:p>
            <w:pPr>
              <w:spacing w:lineRule="auto" w:line="288"/>
            </w:pPr>
            <w:r/>
            <w:r>
              <w:rPr>
                <w:sz w:val="19"/>
              </w:rPr>
              <w:t>mock</w:t>
            </w:r>
          </w:p>
        </w:tc>
        <w:tc>
          <w:tcPr>
            <w:tcW w:type="dxa" w:w="4819"/>
            <w:vAlign w:val="top"/>
          </w:tcPr>
          <w:p>
            <w:pPr>
              <w:spacing w:lineRule="auto" w:line="288"/>
            </w:pPr>
            <w:r/>
            <w:r>
              <w:rPr>
                <w:sz w:val="19"/>
              </w:rPr>
              <w:t>Selects reranker</w:t>
            </w:r>
          </w:p>
        </w:tc>
      </w:tr>
      <w:tr>
        <w:trPr>
          <w:cantSplit/>
        </w:trPr>
        <w:tc>
          <w:tcPr>
            <w:tcW w:type="dxa" w:w="2835"/>
            <w:vAlign w:val="top"/>
          </w:tcPr>
          <w:p>
            <w:pPr>
              <w:spacing w:lineRule="auto" w:line="288"/>
            </w:pPr>
            <w:r/>
            <w:r>
              <w:rPr>
                <w:sz w:val="19"/>
              </w:rPr>
              <w:t>GENERATOR_PROVIDER</w:t>
            </w:r>
          </w:p>
        </w:tc>
        <w:tc>
          <w:tcPr>
            <w:tcW w:type="dxa" w:w="1701"/>
            <w:vAlign w:val="top"/>
          </w:tcPr>
          <w:p>
            <w:pPr>
              <w:spacing w:lineRule="auto" w:line="288"/>
            </w:pPr>
            <w:r/>
            <w:r>
              <w:rPr>
                <w:sz w:val="19"/>
              </w:rPr>
              <w:t>mock</w:t>
            </w:r>
          </w:p>
        </w:tc>
        <w:tc>
          <w:tcPr>
            <w:tcW w:type="dxa" w:w="4819"/>
            <w:vAlign w:val="top"/>
          </w:tcPr>
          <w:p>
            <w:pPr>
              <w:spacing w:lineRule="auto" w:line="288"/>
            </w:pPr>
            <w:r/>
            <w:r>
              <w:rPr>
                <w:sz w:val="19"/>
              </w:rPr>
              <w:t>Selects generator</w:t>
            </w:r>
          </w:p>
        </w:tc>
      </w:tr>
      <w:tr>
        <w:trPr>
          <w:cantSplit/>
        </w:trPr>
        <w:tc>
          <w:tcPr>
            <w:tcW w:type="dxa" w:w="2835"/>
            <w:vAlign w:val="top"/>
          </w:tcPr>
          <w:p>
            <w:pPr>
              <w:spacing w:lineRule="auto" w:line="288"/>
            </w:pPr>
            <w:r/>
            <w:r>
              <w:rPr>
                <w:sz w:val="19"/>
              </w:rPr>
              <w:t>VECTOR_STORE</w:t>
            </w:r>
          </w:p>
        </w:tc>
        <w:tc>
          <w:tcPr>
            <w:tcW w:type="dxa" w:w="1701"/>
            <w:vAlign w:val="top"/>
          </w:tcPr>
          <w:p>
            <w:pPr>
              <w:spacing w:lineRule="auto" w:line="288"/>
            </w:pPr>
            <w:r/>
            <w:r>
              <w:rPr>
                <w:sz w:val="19"/>
              </w:rPr>
              <w:t>chroma</w:t>
            </w:r>
          </w:p>
        </w:tc>
        <w:tc>
          <w:tcPr>
            <w:tcW w:type="dxa" w:w="4819"/>
            <w:vAlign w:val="top"/>
          </w:tcPr>
          <w:p>
            <w:pPr>
              <w:spacing w:lineRule="auto" w:line="288"/>
            </w:pPr>
            <w:r/>
            <w:r>
              <w:rPr>
                <w:sz w:val="19"/>
              </w:rPr>
              <w:t>Selects store: chroma | qdrant | faiss</w:t>
            </w:r>
          </w:p>
        </w:tc>
      </w:tr>
      <w:tr>
        <w:trPr>
          <w:cantSplit/>
        </w:trPr>
        <w:tc>
          <w:tcPr>
            <w:tcW w:type="dxa" w:w="2835"/>
            <w:vAlign w:val="top"/>
          </w:tcPr>
          <w:p>
            <w:pPr>
              <w:spacing w:lineRule="auto" w:line="288"/>
            </w:pPr>
            <w:r/>
            <w:r>
              <w:rPr>
                <w:sz w:val="19"/>
              </w:rPr>
              <w:t>DATASET_SOURCE</w:t>
            </w:r>
          </w:p>
        </w:tc>
        <w:tc>
          <w:tcPr>
            <w:tcW w:type="dxa" w:w="1701"/>
            <w:vAlign w:val="top"/>
          </w:tcPr>
          <w:p>
            <w:pPr>
              <w:spacing w:lineRule="auto" w:line="288"/>
            </w:pPr>
            <w:r/>
            <w:r>
              <w:rPr>
                <w:sz w:val="19"/>
              </w:rPr>
              <w:t>sample</w:t>
            </w:r>
          </w:p>
        </w:tc>
        <w:tc>
          <w:tcPr>
            <w:tcW w:type="dxa" w:w="4819"/>
            <w:vAlign w:val="top"/>
          </w:tcPr>
          <w:p>
            <w:pPr>
              <w:spacing w:lineRule="auto" w:line="288"/>
            </w:pPr>
            <w:r/>
            <w:r>
              <w:rPr>
                <w:sz w:val="19"/>
              </w:rPr>
              <w:t>sample | hf | local</w:t>
            </w:r>
          </w:p>
        </w:tc>
      </w:tr>
      <w:tr>
        <w:trPr>
          <w:cantSplit/>
        </w:trPr>
        <w:tc>
          <w:tcPr>
            <w:tcW w:type="dxa" w:w="2835"/>
            <w:vAlign w:val="top"/>
          </w:tcPr>
          <w:p>
            <w:pPr>
              <w:spacing w:lineRule="auto" w:line="288"/>
            </w:pPr>
            <w:r/>
            <w:r>
              <w:rPr>
                <w:sz w:val="19"/>
              </w:rPr>
              <w:t>DATASET_SAMPLE_SIZE</w:t>
            </w:r>
          </w:p>
        </w:tc>
        <w:tc>
          <w:tcPr>
            <w:tcW w:type="dxa" w:w="1701"/>
            <w:vAlign w:val="top"/>
          </w:tcPr>
          <w:p>
            <w:pPr>
              <w:spacing w:lineRule="auto" w:line="288"/>
            </w:pPr>
            <w:r/>
            <w:r>
              <w:rPr>
                <w:sz w:val="19"/>
              </w:rPr>
              <w:t>200</w:t>
            </w:r>
          </w:p>
        </w:tc>
        <w:tc>
          <w:tcPr>
            <w:tcW w:type="dxa" w:w="4819"/>
            <w:vAlign w:val="top"/>
          </w:tcPr>
          <w:p>
            <w:pPr>
              <w:spacing w:lineRule="auto" w:line="288"/>
            </w:pPr>
            <w:r/>
            <w:r>
              <w:rPr>
                <w:sz w:val="19"/>
              </w:rPr>
              <w:t>Number of recipes to ingest from sample</w:t>
            </w:r>
          </w:p>
        </w:tc>
      </w:tr>
      <w:tr>
        <w:trPr>
          <w:cantSplit/>
        </w:trPr>
        <w:tc>
          <w:tcPr>
            <w:tcW w:type="dxa" w:w="2835"/>
            <w:vAlign w:val="top"/>
          </w:tcPr>
          <w:p>
            <w:pPr>
              <w:spacing w:lineRule="auto" w:line="288"/>
            </w:pPr>
            <w:r/>
            <w:r>
              <w:rPr>
                <w:sz w:val="19"/>
              </w:rPr>
              <w:t>DEFAULT_TOP_K</w:t>
            </w:r>
          </w:p>
        </w:tc>
        <w:tc>
          <w:tcPr>
            <w:tcW w:type="dxa" w:w="1701"/>
            <w:vAlign w:val="top"/>
          </w:tcPr>
          <w:p>
            <w:pPr>
              <w:spacing w:lineRule="auto" w:line="288"/>
            </w:pPr>
            <w:r/>
            <w:r>
              <w:rPr>
                <w:sz w:val="19"/>
              </w:rPr>
              <w:t>5</w:t>
            </w:r>
          </w:p>
        </w:tc>
        <w:tc>
          <w:tcPr>
            <w:tcW w:type="dxa" w:w="4819"/>
            <w:vAlign w:val="top"/>
          </w:tcPr>
          <w:p>
            <w:pPr>
              <w:spacing w:lineRule="auto" w:line="288"/>
            </w:pPr>
            <w:r/>
            <w:r>
              <w:rPr>
                <w:sz w:val="19"/>
              </w:rPr>
              <w:t>Default retrieval depth</w:t>
            </w:r>
          </w:p>
        </w:tc>
      </w:tr>
      <w:tr>
        <w:trPr>
          <w:cantSplit/>
        </w:trPr>
        <w:tc>
          <w:tcPr>
            <w:tcW w:type="dxa" w:w="2835"/>
            <w:vAlign w:val="top"/>
          </w:tcPr>
          <w:p>
            <w:pPr>
              <w:spacing w:lineRule="auto" w:line="288"/>
            </w:pPr>
            <w:r/>
            <w:r>
              <w:rPr>
                <w:sz w:val="19"/>
              </w:rPr>
              <w:t>RERANK_TOP_K</w:t>
            </w:r>
          </w:p>
        </w:tc>
        <w:tc>
          <w:tcPr>
            <w:tcW w:type="dxa" w:w="1701"/>
            <w:vAlign w:val="top"/>
          </w:tcPr>
          <w:p>
            <w:pPr>
              <w:spacing w:lineRule="auto" w:line="288"/>
            </w:pPr>
            <w:r/>
            <w:r>
              <w:rPr>
                <w:sz w:val="19"/>
              </w:rPr>
              <w:t>20</w:t>
            </w:r>
          </w:p>
        </w:tc>
        <w:tc>
          <w:tcPr>
            <w:tcW w:type="dxa" w:w="4819"/>
            <w:vAlign w:val="top"/>
          </w:tcPr>
          <w:p>
            <w:pPr>
              <w:spacing w:lineRule="auto" w:line="288"/>
            </w:pPr>
            <w:r/>
            <w:r>
              <w:rPr>
                <w:sz w:val="19"/>
              </w:rPr>
              <w:t>How many candidates to rerank</w:t>
            </w:r>
          </w:p>
        </w:tc>
      </w:tr>
      <w:tr>
        <w:trPr>
          <w:cantSplit/>
        </w:trPr>
        <w:tc>
          <w:tcPr>
            <w:tcW w:type="dxa" w:w="2835"/>
            <w:vAlign w:val="top"/>
          </w:tcPr>
          <w:p>
            <w:pPr>
              <w:spacing w:lineRule="auto" w:line="288"/>
            </w:pPr>
            <w:r/>
            <w:r>
              <w:rPr>
                <w:sz w:val="19"/>
              </w:rPr>
              <w:t>RATE_LIMIT_PER_MINUTE</w:t>
            </w:r>
          </w:p>
        </w:tc>
        <w:tc>
          <w:tcPr>
            <w:tcW w:type="dxa" w:w="1701"/>
            <w:vAlign w:val="top"/>
          </w:tcPr>
          <w:p>
            <w:pPr>
              <w:spacing w:lineRule="auto" w:line="288"/>
            </w:pPr>
            <w:r/>
            <w:r>
              <w:rPr>
                <w:sz w:val="19"/>
              </w:rPr>
              <w:t>60</w:t>
            </w:r>
          </w:p>
        </w:tc>
        <w:tc>
          <w:tcPr>
            <w:tcW w:type="dxa" w:w="4819"/>
            <w:vAlign w:val="top"/>
          </w:tcPr>
          <w:p>
            <w:pPr>
              <w:spacing w:lineRule="auto" w:line="288"/>
            </w:pPr>
            <w:r/>
            <w:r>
              <w:rPr>
                <w:sz w:val="19"/>
              </w:rPr>
              <w:t>Per-IP request limit</w:t>
            </w:r>
          </w:p>
        </w:tc>
      </w:tr>
      <w:tr>
        <w:trPr>
          <w:cantSplit/>
        </w:trPr>
        <w:tc>
          <w:tcPr>
            <w:tcW w:type="dxa" w:w="2835"/>
            <w:vAlign w:val="top"/>
          </w:tcPr>
          <w:p>
            <w:pPr>
              <w:spacing w:lineRule="auto" w:line="288"/>
            </w:pPr>
            <w:r/>
            <w:r>
              <w:rPr>
                <w:sz w:val="19"/>
              </w:rPr>
              <w:t>API_KEY</w:t>
            </w:r>
          </w:p>
        </w:tc>
        <w:tc>
          <w:tcPr>
            <w:tcW w:type="dxa" w:w="1701"/>
            <w:vAlign w:val="top"/>
          </w:tcPr>
          <w:p>
            <w:pPr>
              <w:spacing w:lineRule="auto" w:line="288"/>
            </w:pPr>
            <w:r/>
            <w:r>
              <w:rPr>
                <w:sz w:val="19"/>
              </w:rPr>
              <w:t>(empty)</w:t>
            </w:r>
          </w:p>
        </w:tc>
        <w:tc>
          <w:tcPr>
            <w:tcW w:type="dxa" w:w="4819"/>
            <w:vAlign w:val="top"/>
          </w:tcPr>
          <w:p>
            <w:pPr>
              <w:spacing w:lineRule="auto" w:line="288"/>
            </w:pPr>
            <w:r/>
            <w:r>
              <w:rPr>
                <w:sz w:val="19"/>
              </w:rPr>
              <w:t>If set, requires X-API-Key header from clients</w:t>
            </w:r>
          </w:p>
        </w:tc>
      </w:tr>
      <w:tr>
        <w:trPr>
          <w:cantSplit/>
        </w:trPr>
        <w:tc>
          <w:tcPr>
            <w:tcW w:type="dxa" w:w="2835"/>
            <w:vAlign w:val="top"/>
          </w:tcPr>
          <w:p>
            <w:pPr>
              <w:spacing w:lineRule="auto" w:line="288"/>
            </w:pPr>
            <w:r/>
            <w:r>
              <w:rPr>
                <w:sz w:val="19"/>
              </w:rPr>
              <w:t>CORS_ORIGINS</w:t>
            </w:r>
          </w:p>
        </w:tc>
        <w:tc>
          <w:tcPr>
            <w:tcW w:type="dxa" w:w="1701"/>
            <w:vAlign w:val="top"/>
          </w:tcPr>
          <w:p>
            <w:pPr>
              <w:spacing w:lineRule="auto" w:line="288"/>
            </w:pPr>
            <w:r/>
            <w:r>
              <w:rPr>
                <w:sz w:val="19"/>
              </w:rPr>
              <w:t>*</w:t>
            </w:r>
          </w:p>
        </w:tc>
        <w:tc>
          <w:tcPr>
            <w:tcW w:type="dxa" w:w="4819"/>
            <w:vAlign w:val="top"/>
          </w:tcPr>
          <w:p>
            <w:pPr>
              <w:spacing w:lineRule="auto" w:line="288"/>
            </w:pPr>
            <w:r/>
            <w:r>
              <w:rPr>
                <w:sz w:val="19"/>
              </w:rPr>
              <w:t>Comma-separated list of allowed origins</w:t>
            </w:r>
          </w:p>
        </w:tc>
      </w:tr>
    </w:tbl>
    <w:p>
      <w:pPr>
        <w:spacing w:lineRule="auto" w:line="240"/>
      </w:pPr>
    </w:p>
    <w:p>
      <w:pPr>
        <w:pStyle w:val="Heading1"/>
        <w:spacing w:lineRule="auto" w:line="312"/>
      </w:pPr>
      <w:bookmarkStart w:id="100014" w:name="_Toc100014"/>
      <w:r>
        <w:t>13. Code Explanation</w:t>
      </w:r>
      <w:bookmarkEnd w:id="100014"/>
    </w:p>
    <w:p>
      <w:pPr>
        <w:spacing w:lineRule="auto" w:line="312"/>
      </w:pPr>
      <w:r>
        <w:t>The codebase is deliberately small — under 2,500 lines of Python across 30 source files — and follows a strict separation of concerns. Every module begins with a docstring explaining its role, every public class and function has a docstring, and type hints are used throughout. The RAGPipeline class in pipeline/rag.py is the central orchestrator and the only place where the embedder, store, reranker, and generator are used together.</w:t>
      </w:r>
    </w:p>
    <w:p>
      <w:pPr>
        <w:spacing w:lineRule="auto" w:line="312"/>
      </w:pPr>
      <w:r>
        <w:t>The pipeline exposes three stage methods — retrieve, rerank, generate — each of which can be called independently. This makes it trivial to build alternative interfaces: the /retrieve API endpoint calls only retrieve, the /rerank endpoint calls only rerank, and the /rag/query endpoint calls all three via the run() method. Each stage records its latency via the PIPELINE_STAGE_LATENCY histogram, and the run() method returns a timings dict so callers can see exactly where time was spent.</w:t>
      </w:r>
    </w:p>
    <w:p>
      <w:pPr>
        <w:spacing w:lineRule="auto" w:line="312"/>
      </w:pPr>
      <w:r>
        <w:t>Error handling follows a hierarchical exception design. The base MultimodalRagError class has subclasses for each layer — ProviderError, VectorStoreError, PipelineError, etc. — and the FastAPI middleware in api/middleware.py maps each leaf class to an HTTP status code. This means a VectorStoreConnectionError automatically becomes a 503 response, a ValidationError becomes a 400, and so on, without any boilerplate in the route handlers.</w:t>
      </w:r>
    </w:p>
    <w:p>
      <w:pPr>
        <w:pStyle w:val="Heading1"/>
        <w:spacing w:lineRule="auto" w:line="312"/>
      </w:pPr>
      <w:bookmarkStart w:id="100015" w:name="_Toc100015"/>
      <w:r>
        <w:t>14. Model Explanation</w:t>
      </w:r>
      <w:bookmarkEnd w:id="100015"/>
    </w:p>
    <w:p>
      <w:pPr>
        <w:spacing w:lineRule="auto" w:line="312"/>
      </w:pPr>
      <w:r>
        <w:t>The original notebook uses three models. NVIDIA Nemotron Embed VL is a vision-language embedding model that produces 2,048-dimensional vectors jointly encoding an image and its accompanying text. NVIDIA Llama-Nemotron Rerank VL is a sequence-classification model fine-tuned to score the relevance of a (query, document) pair, where the document may contain both text and image. Qwen3-VL-2B-Instruct is a small (2-billion-parameter) instruction-tuned vision-language model used to generate the final summary.</w:t>
      </w:r>
    </w:p>
    <w:p>
      <w:pPr>
        <w:spacing w:lineRule="auto" w:line="312"/>
      </w:pPr>
      <w:r>
        <w:t>The rebuild wraps each of these in a Python class that lazily loads the model on first use, exposing a clean protocol-typed interface. The LocalHFEmbedder, LocalHFReranker, and LocalHFGenerator classes defer their torch and transformers imports to __init__ so that the mock providers can be used without those packages installed. The retry decorator from tenacity wraps every network-adjacent call, providing automatic exponential-backoff retry on transient failures.</w:t>
      </w:r>
    </w:p>
    <w:p>
      <w:pPr>
        <w:spacing w:lineRule="auto" w:line="312"/>
      </w:pPr>
      <w:r>
        <w:t>The mock providers are not just stubs — they implement the same protocols with deterministic, dependency-free logic. MockEmbedder produces an L2-normalised SHA-256 hash of the input bytes, MockReranker uses token-overlap (Jaccard similarity) between the query and each candidate's text, and MockGenerator returns a templated string that includes the query and the top recipe titles. These mocks are fast, deterministic, and good enough to exercise every code path in tests without requiring GPU resources or network access.</w:t>
      </w:r>
    </w:p>
    <w:p>
      <w:pPr>
        <w:pStyle w:val="Heading1"/>
        <w:spacing w:lineRule="auto" w:line="312"/>
      </w:pPr>
      <w:bookmarkStart w:id="100016" w:name="_Toc100016"/>
      <w:r>
        <w:t>15. Embedding Workflow</w:t>
      </w:r>
      <w:bookmarkEnd w:id="100016"/>
    </w:p>
    <w:p>
      <w:pPr>
        <w:spacing w:lineRule="auto" w:line="312"/>
      </w:pPr>
      <w:r>
        <w:t>Embedding is the first stage of every RAG query and every ingest operation. At ingest time, each recipe's text (and image, when available) is passed to Embedder.embed_batch, which returns a (N, dim) float32 numpy array. The vectors are L2-normalised so that inner product equals cosine similarity, then upserted into the vector store alongside the recipe payload. At query time, the query text or image is embedded with the same embedder, and the resulting vector is used to search the store.</w:t>
      </w:r>
    </w:p>
    <w:p>
      <w:pPr>
        <w:spacing w:lineRule="auto" w:line="312"/>
      </w:pPr>
      <w:r>
        <w:t>The embed_batch method takes a list of dicts, each of which may contain a text key, an image key (a PIL.Image), or both. This flexible input shape lets the ingest pipeline handle pure-text recipes, pure-image items, and text+image pairs with a single code path. When both modalities are present, the mock provider averages the two embeddings and renormalises; the local_hf provider passes both to Nemotron's processor, which handles fusion internally.</w:t>
      </w:r>
    </w:p>
    <w:p>
      <w:pPr>
        <w:spacing w:lineRule="auto" w:line="312"/>
      </w:pPr>
      <w:r>
        <w:t>The EMBEDDING_OPS Prometheus counter tracks how many embedding operations each provider performs, labelled by provider name and operation kind (text, image, batch). This metric is invaluable for capacity planning: a sudden spike in image embeds suggests users are uploading photos rather than typing queries, which may warrant additional GPU capacity if the local_hf provider is in use.</w:t>
      </w:r>
    </w:p>
    <w:p>
      <w:pPr>
        <w:pStyle w:val="Heading1"/>
        <w:spacing w:lineRule="auto" w:line="312"/>
      </w:pPr>
      <w:bookmarkStart w:id="100017" w:name="_Toc100017"/>
      <w:r>
        <w:t>16. Vector Database Workflow</w:t>
      </w:r>
      <w:bookmarkEnd w:id="100017"/>
    </w:p>
    <w:p>
      <w:pPr>
        <w:spacing w:lineRule="auto" w:line="312"/>
      </w:pPr>
      <w:r>
        <w:t>The VectorStore protocol defines four operations: upsert, search, count, and delete_all. Three implementations are provided. ChromaStore is the default — it uses an embedded PersistentClient that writes to a local directory, requiring no external services. QdrantStore connects to a separate Qdrant instance (typically running in Docker Compose) and auto-creates the collection if it does not exist. FAISSStore uses an in-memory IndexFlatIP with optional on-disk persistence; it is the fastest option for single-node deployments up to around one million vectors.</w:t>
      </w:r>
    </w:p>
    <w:p>
      <w:pPr>
        <w:spacing w:lineRule="auto" w:line="312"/>
      </w:pPr>
      <w:r>
        <w:t>Each implementation handles metadata slightly differently. Chroma accepts only scalar values at the top level, so ChromaStore flattens nested metadata into prefixed keys (meta_cuisine, meta_category, etc.) and JSON-encodes complex values. Qdrant accepts arbitrary JSON payloads, so QdrantStore stores recipes verbatim. FAISSStore keeps a Python dict mapping integer indices to Recipe objects, since FAISS itself does not store payloads. The unification is handled by VectorRecord, a Pydantic model that converts between the Recipe schema and each store's native representation.</w:t>
      </w:r>
    </w:p>
    <w:p>
      <w:pPr>
        <w:spacing w:lineRule="auto" w:line="312"/>
      </w:pPr>
      <w:r>
        <w:t>Searching returns a list of (Recipe, score) tuples sorted by descending relevance. Chroma and Qdrant compute cosine similarity natively; FAISS uses inner product on L2-normalised vectors, which is mathematically equivalent. The search method accepts an optional filter dict for metadata-based filtering — Chroma and Qdrant push this down to the store, while FAISS applies it as a post-filter. This abstraction lets the pipeline use the same search call regardless of which store is active.</w:t>
      </w:r>
    </w:p>
    <w:p>
      <w:pPr>
        <w:pStyle w:val="Heading1"/>
        <w:spacing w:lineRule="auto" w:line="312"/>
      </w:pPr>
      <w:bookmarkStart w:id="100018" w:name="_Toc100018"/>
      <w:r>
        <w:t>17. Retrieval Process</w:t>
      </w:r>
      <w:bookmarkEnd w:id="100018"/>
    </w:p>
    <w:p>
      <w:pPr>
        <w:spacing w:lineRule="auto" w:line="312"/>
      </w:pPr>
      <w:r>
        <w:t>Retrieval is the second stage of the RAG pipeline and the most performance-sensitive. The retrieve method on RAGPipeline first embeds the query (handling the text+image fusion case described earlier), then calls VectorStore.search with the configured top_k. The result is a list of RecipeWithScore objects, each carrying the recipe, its similarity score, and its rank position (1-indexed).</w:t>
      </w:r>
    </w:p>
    <w:p>
      <w:pPr>
        <w:spacing w:lineRule="auto" w:line="312"/>
      </w:pPr>
      <w:r>
        <w:t>The default top_k is 5, tunable via DEFAULT_TOP_K or the top_k parameter on each request. Higher values improve recall at the cost of latency and downstream token consumption (the generator must process more context). For most culinary queries, top_k between 3 and 10 produces good results; the reranker can then re-order these candidates more accurately than raw similarity would.</w:t>
      </w:r>
    </w:p>
    <w:p>
      <w:pPr>
        <w:spacing w:lineRule="auto" w:line="312"/>
      </w:pPr>
      <w:r>
        <w:t>If the vector store returns fewer than top_k results (for example, because the collection is small or a metadata filter excluded most candidates), the pipeline simply returns what it has — no error is raised. This graceful degradation is important for production: a query that returns one result is still a useful query, whereas a 500 error would be a poor user experience. The response envelope always includes the actual number of results returned, so clients can detect short lists.</w:t>
      </w:r>
    </w:p>
    <w:p>
      <w:pPr>
        <w:pStyle w:val="Heading1"/>
        <w:spacing w:lineRule="auto" w:line="312"/>
      </w:pPr>
      <w:bookmarkStart w:id="100019" w:name="_Toc100019"/>
      <w:r>
        <w:t>18. Prompt Engineering</w:t>
      </w:r>
      <w:bookmarkEnd w:id="100019"/>
    </w:p>
    <w:p>
      <w:pPr>
        <w:spacing w:lineRule="auto" w:line="312"/>
      </w:pPr>
      <w:r>
        <w:t>The generator's prompt is built by the build_prompt function in models/generator.py. The function takes the user query, the list of retrieved recipes, and a style parameter (summary, comparison, or recipe_card) and returns a single string prompt that works across all three generator providers. This shared prompt builder is key to provider portability: switching from the mock generator to Qwen3-VL or OpenAI does not require any prompt changes.</w:t>
      </w:r>
    </w:p>
    <w:p>
      <w:pPr>
        <w:spacing w:lineRule="auto" w:line="312"/>
      </w:pPr>
      <w:r>
        <w:t>The prompt structure is: a system-style instruction line that varies by style, the user query, a numbered list of retrieved recipes (title plus up to 800 characters of text), and a final 'Assistant:' marker. The summary style asks for key ingredients, technique, and tips; the comparison style asks for differences in ingredients, technique, and serving size; the recipe_card style formats the most relevant recipe as a structured card with title, ingredients, steps, and serving size.</w:t>
      </w:r>
    </w:p>
    <w:p>
      <w:pPr>
        <w:spacing w:lineRule="auto" w:line="312"/>
      </w:pPr>
      <w:r>
        <w:t>The 800-character truncation per recipe is deliberate: it keeps the total prompt under the 4,096-token context limit of Qwen3-VL-2B even when ten recipes are retrieved. For longer-context models (the OpenAI provider supports up to 128k tokens), the truncation could be relaxed, but the current value keeps behaviour consistent across providers. Future improvements could make this configurable per provider, or use a smarter truncation strategy that preserves ingredient lists over instructions.</w:t>
      </w:r>
    </w:p>
    <w:p>
      <w:pPr>
        <w:pStyle w:val="Heading1"/>
        <w:spacing w:lineRule="auto" w:line="312"/>
      </w:pPr>
      <w:bookmarkStart w:id="100020" w:name="_Toc100020"/>
      <w:r>
        <w:t>19. API Documentation</w:t>
      </w:r>
      <w:bookmarkEnd w:id="100020"/>
    </w:p>
    <w:p>
      <w:pPr>
        <w:spacing w:lineRule="auto" w:line="312"/>
      </w:pPr>
      <w:r>
        <w:t>The FastAPI app exposes seven endpoints. Three are operational — /health, /ready, and /metrics — and four are functional — /ingest, /retrieve, /rerank, /generate, and /rag/query. The OpenAPI schema is auto-generated and served at /openapi.json, with interactive Swagger UI at /docs and ReDoc at /redoc. All request and response bodies are Pydantic models declared in schemas.py, ensuring that the documentation is always in sync with the code.</w:t>
      </w:r>
    </w:p>
    <w:tbl>
      <w:tblPr>
        <w:tblStyle w:val="LightGrid-Accent1"/>
        <w:tblW w:type="auto" w:w="0"/>
        <w:jc w:val="center"/>
        <w:tblLook w:firstColumn="1" w:firstRow="1" w:lastColumn="0" w:lastRow="0" w:noHBand="0" w:noVBand="1" w:val="04A0"/>
      </w:tblPr>
      <w:tblGrid>
        <w:gridCol w:w="3041"/>
        <w:gridCol w:w="3041"/>
        <w:gridCol w:w="3041"/>
      </w:tblGrid>
      <w:tr>
        <w:trPr>
          <w:tblHeader w:val="true"/>
          <w:cantSplit/>
        </w:trPr>
        <w:tc>
          <w:tcPr>
            <w:tcW w:type="dxa" w:w="1984"/>
            <w:shd w:val="clear" w:fill="E8EEF4"/>
          </w:tcPr>
          <w:p>
            <w:pPr>
              <w:spacing w:lineRule="auto" w:line="288"/>
            </w:pPr>
            <w:r/>
            <w:r>
              <w:rPr>
                <w:b/>
                <w:sz w:val="20"/>
              </w:rPr>
              <w:t>Endpoint</w:t>
            </w:r>
          </w:p>
        </w:tc>
        <w:tc>
          <w:tcPr>
            <w:tcW w:type="dxa" w:w="1020"/>
            <w:shd w:val="clear" w:fill="E8EEF4"/>
          </w:tcPr>
          <w:p>
            <w:pPr>
              <w:spacing w:lineRule="auto" w:line="288"/>
            </w:pPr>
            <w:r/>
            <w:r>
              <w:rPr>
                <w:b/>
                <w:sz w:val="20"/>
              </w:rPr>
              <w:t>Method</w:t>
            </w:r>
          </w:p>
        </w:tc>
        <w:tc>
          <w:tcPr>
            <w:tcW w:type="dxa" w:w="6350"/>
            <w:shd w:val="clear" w:fill="E8EEF4"/>
          </w:tcPr>
          <w:p>
            <w:pPr>
              <w:spacing w:lineRule="auto" w:line="288"/>
            </w:pPr>
            <w:r/>
            <w:r>
              <w:rPr>
                <w:b/>
                <w:sz w:val="20"/>
              </w:rPr>
              <w:t>Purpose</w:t>
            </w:r>
          </w:p>
        </w:tc>
      </w:tr>
      <w:tr>
        <w:trPr>
          <w:cantSplit/>
        </w:trPr>
        <w:tc>
          <w:tcPr>
            <w:tcW w:type="dxa" w:w="1984"/>
            <w:vAlign w:val="top"/>
          </w:tcPr>
          <w:p>
            <w:pPr>
              <w:spacing w:lineRule="auto" w:line="288"/>
            </w:pPr>
            <w:r/>
            <w:r>
              <w:rPr>
                <w:sz w:val="19"/>
              </w:rPr>
              <w:t>/health</w:t>
            </w:r>
          </w:p>
        </w:tc>
        <w:tc>
          <w:tcPr>
            <w:tcW w:type="dxa" w:w="1020"/>
            <w:vAlign w:val="top"/>
          </w:tcPr>
          <w:p>
            <w:pPr>
              <w:spacing w:lineRule="auto" w:line="288"/>
            </w:pPr>
            <w:r/>
            <w:r>
              <w:rPr>
                <w:sz w:val="19"/>
              </w:rPr>
              <w:t>GET</w:t>
            </w:r>
          </w:p>
        </w:tc>
        <w:tc>
          <w:tcPr>
            <w:tcW w:type="dxa" w:w="6350"/>
            <w:vAlign w:val="top"/>
          </w:tcPr>
          <w:p>
            <w:pPr>
              <w:spacing w:lineRule="auto" w:line="288"/>
            </w:pPr>
            <w:r/>
            <w:r>
              <w:rPr>
                <w:sz w:val="19"/>
              </w:rPr>
              <w:t>Liveness/readiness probe; returns provider + dataset info</w:t>
            </w:r>
          </w:p>
        </w:tc>
      </w:tr>
      <w:tr>
        <w:trPr>
          <w:cantSplit/>
        </w:trPr>
        <w:tc>
          <w:tcPr>
            <w:tcW w:type="dxa" w:w="1984"/>
            <w:vAlign w:val="top"/>
          </w:tcPr>
          <w:p>
            <w:pPr>
              <w:spacing w:lineRule="auto" w:line="288"/>
            </w:pPr>
            <w:r/>
            <w:r>
              <w:rPr>
                <w:sz w:val="19"/>
              </w:rPr>
              <w:t>/ready</w:t>
            </w:r>
          </w:p>
        </w:tc>
        <w:tc>
          <w:tcPr>
            <w:tcW w:type="dxa" w:w="1020"/>
            <w:vAlign w:val="top"/>
          </w:tcPr>
          <w:p>
            <w:pPr>
              <w:spacing w:lineRule="auto" w:line="288"/>
            </w:pPr>
            <w:r/>
            <w:r>
              <w:rPr>
                <w:sz w:val="19"/>
              </w:rPr>
              <w:t>GET</w:t>
            </w:r>
          </w:p>
        </w:tc>
        <w:tc>
          <w:tcPr>
            <w:tcW w:type="dxa" w:w="6350"/>
            <w:vAlign w:val="top"/>
          </w:tcPr>
          <w:p>
            <w:pPr>
              <w:spacing w:lineRule="auto" w:line="288"/>
            </w:pPr>
            <w:r/>
            <w:r>
              <w:rPr>
                <w:sz w:val="19"/>
              </w:rPr>
              <w:t>Kubernetes-style readiness probe</w:t>
            </w:r>
          </w:p>
        </w:tc>
      </w:tr>
      <w:tr>
        <w:trPr>
          <w:cantSplit/>
        </w:trPr>
        <w:tc>
          <w:tcPr>
            <w:tcW w:type="dxa" w:w="1984"/>
            <w:vAlign w:val="top"/>
          </w:tcPr>
          <w:p>
            <w:pPr>
              <w:spacing w:lineRule="auto" w:line="288"/>
            </w:pPr>
            <w:r/>
            <w:r>
              <w:rPr>
                <w:sz w:val="19"/>
              </w:rPr>
              <w:t>/metrics</w:t>
            </w:r>
          </w:p>
        </w:tc>
        <w:tc>
          <w:tcPr>
            <w:tcW w:type="dxa" w:w="1020"/>
            <w:vAlign w:val="top"/>
          </w:tcPr>
          <w:p>
            <w:pPr>
              <w:spacing w:lineRule="auto" w:line="288"/>
            </w:pPr>
            <w:r/>
            <w:r>
              <w:rPr>
                <w:sz w:val="19"/>
              </w:rPr>
              <w:t>GET</w:t>
            </w:r>
          </w:p>
        </w:tc>
        <w:tc>
          <w:tcPr>
            <w:tcW w:type="dxa" w:w="6350"/>
            <w:vAlign w:val="top"/>
          </w:tcPr>
          <w:p>
            <w:pPr>
              <w:spacing w:lineRule="auto" w:line="288"/>
            </w:pPr>
            <w:r/>
            <w:r>
              <w:rPr>
                <w:sz w:val="19"/>
              </w:rPr>
              <w:t>Prometheus exposition format</w:t>
            </w:r>
          </w:p>
        </w:tc>
      </w:tr>
      <w:tr>
        <w:trPr>
          <w:cantSplit/>
        </w:trPr>
        <w:tc>
          <w:tcPr>
            <w:tcW w:type="dxa" w:w="1984"/>
            <w:vAlign w:val="top"/>
          </w:tcPr>
          <w:p>
            <w:pPr>
              <w:spacing w:lineRule="auto" w:line="288"/>
            </w:pPr>
            <w:r/>
            <w:r>
              <w:rPr>
                <w:sz w:val="19"/>
              </w:rPr>
              <w:t>/ingest</w:t>
            </w:r>
          </w:p>
        </w:tc>
        <w:tc>
          <w:tcPr>
            <w:tcW w:type="dxa" w:w="1020"/>
            <w:vAlign w:val="top"/>
          </w:tcPr>
          <w:p>
            <w:pPr>
              <w:spacing w:lineRule="auto" w:line="288"/>
            </w:pPr>
            <w:r/>
            <w:r>
              <w:rPr>
                <w:sz w:val="19"/>
              </w:rPr>
              <w:t>POST</w:t>
            </w:r>
          </w:p>
        </w:tc>
        <w:tc>
          <w:tcPr>
            <w:tcW w:type="dxa" w:w="6350"/>
            <w:vAlign w:val="top"/>
          </w:tcPr>
          <w:p>
            <w:pPr>
              <w:spacing w:lineRule="auto" w:line="288"/>
            </w:pPr>
            <w:r/>
            <w:r>
              <w:rPr>
                <w:sz w:val="19"/>
              </w:rPr>
              <w:t>Load dataset (sample | hf | local) into vector store</w:t>
            </w:r>
          </w:p>
        </w:tc>
      </w:tr>
      <w:tr>
        <w:trPr>
          <w:cantSplit/>
        </w:trPr>
        <w:tc>
          <w:tcPr>
            <w:tcW w:type="dxa" w:w="1984"/>
            <w:vAlign w:val="top"/>
          </w:tcPr>
          <w:p>
            <w:pPr>
              <w:spacing w:lineRule="auto" w:line="288"/>
            </w:pPr>
            <w:r/>
            <w:r>
              <w:rPr>
                <w:sz w:val="19"/>
              </w:rPr>
              <w:t>/retrieve</w:t>
            </w:r>
          </w:p>
        </w:tc>
        <w:tc>
          <w:tcPr>
            <w:tcW w:type="dxa" w:w="1020"/>
            <w:vAlign w:val="top"/>
          </w:tcPr>
          <w:p>
            <w:pPr>
              <w:spacing w:lineRule="auto" w:line="288"/>
            </w:pPr>
            <w:r/>
            <w:r>
              <w:rPr>
                <w:sz w:val="19"/>
              </w:rPr>
              <w:t>POST</w:t>
            </w:r>
          </w:p>
        </w:tc>
        <w:tc>
          <w:tcPr>
            <w:tcW w:type="dxa" w:w="6350"/>
            <w:vAlign w:val="top"/>
          </w:tcPr>
          <w:p>
            <w:pPr>
              <w:spacing w:lineRule="auto" w:line="288"/>
            </w:pPr>
            <w:r/>
            <w:r>
              <w:rPr>
                <w:sz w:val="19"/>
              </w:rPr>
              <w:t>Embed query and return top-K candidates</w:t>
            </w:r>
          </w:p>
        </w:tc>
      </w:tr>
      <w:tr>
        <w:trPr>
          <w:cantSplit/>
        </w:trPr>
        <w:tc>
          <w:tcPr>
            <w:tcW w:type="dxa" w:w="1984"/>
            <w:vAlign w:val="top"/>
          </w:tcPr>
          <w:p>
            <w:pPr>
              <w:spacing w:lineRule="auto" w:line="288"/>
            </w:pPr>
            <w:r/>
            <w:r>
              <w:rPr>
                <w:sz w:val="19"/>
              </w:rPr>
              <w:t>/rerank</w:t>
            </w:r>
          </w:p>
        </w:tc>
        <w:tc>
          <w:tcPr>
            <w:tcW w:type="dxa" w:w="1020"/>
            <w:vAlign w:val="top"/>
          </w:tcPr>
          <w:p>
            <w:pPr>
              <w:spacing w:lineRule="auto" w:line="288"/>
            </w:pPr>
            <w:r/>
            <w:r>
              <w:rPr>
                <w:sz w:val="19"/>
              </w:rPr>
              <w:t>POST</w:t>
            </w:r>
          </w:p>
        </w:tc>
        <w:tc>
          <w:tcPr>
            <w:tcW w:type="dxa" w:w="6350"/>
            <w:vAlign w:val="top"/>
          </w:tcPr>
          <w:p>
            <w:pPr>
              <w:spacing w:lineRule="auto" w:line="288"/>
            </w:pPr>
            <w:r/>
            <w:r>
              <w:rPr>
                <w:sz w:val="19"/>
              </w:rPr>
              <w:t>Rerank supplied candidates against a query</w:t>
            </w:r>
          </w:p>
        </w:tc>
      </w:tr>
      <w:tr>
        <w:trPr>
          <w:cantSplit/>
        </w:trPr>
        <w:tc>
          <w:tcPr>
            <w:tcW w:type="dxa" w:w="1984"/>
            <w:vAlign w:val="top"/>
          </w:tcPr>
          <w:p>
            <w:pPr>
              <w:spacing w:lineRule="auto" w:line="288"/>
            </w:pPr>
            <w:r/>
            <w:r>
              <w:rPr>
                <w:sz w:val="19"/>
              </w:rPr>
              <w:t>/generate</w:t>
            </w:r>
          </w:p>
        </w:tc>
        <w:tc>
          <w:tcPr>
            <w:tcW w:type="dxa" w:w="1020"/>
            <w:vAlign w:val="top"/>
          </w:tcPr>
          <w:p>
            <w:pPr>
              <w:spacing w:lineRule="auto" w:line="288"/>
            </w:pPr>
            <w:r/>
            <w:r>
              <w:rPr>
                <w:sz w:val="19"/>
              </w:rPr>
              <w:t>POST</w:t>
            </w:r>
          </w:p>
        </w:tc>
        <w:tc>
          <w:tcPr>
            <w:tcW w:type="dxa" w:w="6350"/>
            <w:vAlign w:val="top"/>
          </w:tcPr>
          <w:p>
            <w:pPr>
              <w:spacing w:lineRule="auto" w:line="288"/>
            </w:pPr>
            <w:r/>
            <w:r>
              <w:rPr>
                <w:sz w:val="19"/>
              </w:rPr>
              <w:t>Generate a summary over supplied recipes</w:t>
            </w:r>
          </w:p>
        </w:tc>
      </w:tr>
      <w:tr>
        <w:trPr>
          <w:cantSplit/>
        </w:trPr>
        <w:tc>
          <w:tcPr>
            <w:tcW w:type="dxa" w:w="1984"/>
            <w:vAlign w:val="top"/>
          </w:tcPr>
          <w:p>
            <w:pPr>
              <w:spacing w:lineRule="auto" w:line="288"/>
            </w:pPr>
            <w:r/>
            <w:r>
              <w:rPr>
                <w:sz w:val="19"/>
              </w:rPr>
              <w:t>/rag/query</w:t>
            </w:r>
          </w:p>
        </w:tc>
        <w:tc>
          <w:tcPr>
            <w:tcW w:type="dxa" w:w="1020"/>
            <w:vAlign w:val="top"/>
          </w:tcPr>
          <w:p>
            <w:pPr>
              <w:spacing w:lineRule="auto" w:line="288"/>
            </w:pPr>
            <w:r/>
            <w:r>
              <w:rPr>
                <w:sz w:val="19"/>
              </w:rPr>
              <w:t>POST</w:t>
            </w:r>
          </w:p>
        </w:tc>
        <w:tc>
          <w:tcPr>
            <w:tcW w:type="dxa" w:w="6350"/>
            <w:vAlign w:val="top"/>
          </w:tcPr>
          <w:p>
            <w:pPr>
              <w:spacing w:lineRule="auto" w:line="288"/>
            </w:pPr>
            <w:r/>
            <w:r>
              <w:rPr>
                <w:sz w:val="19"/>
              </w:rPr>
              <w:t>End-to-end: retrieve → rerank → generate</w:t>
            </w:r>
          </w:p>
        </w:tc>
      </w:tr>
    </w:tbl>
    <w:p>
      <w:pPr>
        <w:spacing w:lineRule="auto" w:line="240"/>
      </w:pPr>
    </w:p>
    <w:p>
      <w:pPr>
        <w:spacing w:lineRule="auto" w:line="312"/>
      </w:pPr>
      <w:r>
        <w:t>Authentication is optional. If the API_KEY environment variable is set, every request must include an X-API-Key header matching that value; otherwise authentication is disabled. The verify_api_key dependency in api/deps.py implements this check and is wired into every functional endpoint. Rate limiting is enforced by slowapi with a default of 60 requests per minute per IP, configurable via RATE_LIMIT_PER_MINUTE.</w:t>
      </w:r>
    </w:p>
    <w:p>
      <w:pPr>
        <w:spacing w:lineRule="auto" w:line="312"/>
      </w:pPr>
      <w:r>
        <w:t>Errors return a consistent JSON envelope: {"error": {"error": "ClassName", "detail": "...", "code": "404"}}. The HTTP status code is derived from the exception class via a lookup table in api/middleware.py: ValidationError → 400, AuthenticationError → 401, RateLimitExceededError → 429, ProviderError → 502, VectorStoreConnectionError → 503, and so on. Unhandled exceptions are caught by a top-level handler that returns a generic 500 without leaking internal details.</w:t>
      </w:r>
    </w:p>
    <w:p>
      <w:pPr>
        <w:pStyle w:val="Heading1"/>
        <w:spacing w:lineRule="auto" w:line="312"/>
      </w:pPr>
      <w:bookmarkStart w:id="100021" w:name="_Toc100021"/>
      <w:r>
        <w:t>20. Testing Guide</w:t>
      </w:r>
      <w:bookmarkEnd w:id="100021"/>
    </w:p>
    <w:p>
      <w:pPr>
        <w:spacing w:lineRule="auto" w:line="312"/>
      </w:pPr>
      <w:r>
        <w:t>Tests are organised by module: tests/test_config.py covers Settings, tests/test_embedder.py covers the embedder providers, and so on. The conftest.py file at the tests/ root forces mock providers, disables the cache, and lowers the log level, ensuring that the test suite runs in under ten seconds on a fresh CPU machine. A shared pipeline fixture builds a RAGPipeline, wipes its vector store, ingests twenty sample recipes, and yields; the client fixture wraps a FastAPI TestClient with the pipeline dependency overridden to use that fixture.</w:t>
      </w:r>
    </w:p>
    <w:p>
      <w:pPr>
        <w:spacing w:lineRule="auto" w:line="312"/>
      </w:pPr>
      <w:r>
        <w:t>The 55-test suite covers every module: config validation, embedder determinism and L2-norm, reranker ordering, generator prompt building, vector store roundtrips for Chroma and FAISS (Qdrant is tested only when a local Qdrant is reachable), the RAG pipeline end-to-end, every API endpoint, the CLI commands, the dataset loader, and the cache decorator. Coverage is 71% overall, with the lowest coverage on the local_hf providers (which require GPU and are therefore not exercised in CI).</w:t>
      </w:r>
    </w:p>
    <w:p>
      <w:pPr>
        <w:spacing w:lineRule="auto" w:line="312"/>
      </w:pPr>
      <w:r>
        <w:t>To run the tests: make test (or pytest directly). To run with coverage: make test-cov, which writes an HTML report to htmlcov/index.html. Tests marked @pytest.mark.slow or @pytest.mark.gpu are deselected by default in CI; they can be run locally with pytest -m slow or pytest -m gpu. The CI workflow in .github/workflows/ci.yml runs the full unit-test suite on Python 3.10, 3.11, and 3.12, then builds the Docker image and smoke-tests the /health endpoint.</w:t>
      </w:r>
    </w:p>
    <w:p>
      <w:pPr>
        <w:pStyle w:val="Heading1"/>
        <w:spacing w:lineRule="auto" w:line="312"/>
      </w:pPr>
      <w:bookmarkStart w:id="100022" w:name="_Toc100022"/>
      <w:r>
        <w:t>21. Deployment Guide</w:t>
      </w:r>
      <w:bookmarkEnd w:id="100022"/>
    </w:p>
    <w:p>
      <w:pPr>
        <w:spacing w:lineRule="auto" w:line="312"/>
      </w:pPr>
      <w:r>
        <w:t>Three deployment topologies are supported. The simplest is single-container Docker: docker build -t multimodal-rag . &amp;&amp; docker run -p 8000:8000 --env-file .env multimodal-rag. This runs the API in isolation with the embedded Chroma store, suitable for development or low-traffic production. The second is Docker Compose: docker compose up -d brings up the API alongside Qdrant, Redis (for future distributed caching), Prometheus, and Grafana, providing a production-like environment with persistent vector storage and monitoring out of the box.</w:t>
      </w:r>
    </w:p>
    <w:p>
      <w:pPr>
        <w:spacing w:lineRule="auto" w:line="312"/>
      </w:pPr>
      <w:r>
        <w:t>The third topology is Kubernetes. The deployment guide in docs/deployment.md includes a sketch Deployment manifest with readiness and liveness probes, resource requests and limits, and a recommendation to run at least three replicas behind a ClusterIP service with a HorizontalPodAutoscaler targeting 70% CPU. For multi-GPU deployments, the embedder and generator should be moved behind a Triton or vLLM sidecar, leaving the FastAPI app to handle only HTTP and orchestration.</w:t>
      </w:r>
    </w:p>
    <w:p>
      <w:pPr>
        <w:spacing w:lineRule="auto" w:line="312"/>
      </w:pPr>
      <w:r>
        <w:t>Regardless of topology, the production checklist in docs/deployment.md should be followed: set APP_ENV=prod to switch logs to JSON; set a strong API_KEY; restrict CORS_ORIGINS to your real origins; use Qdrant instead of embedded Chroma for persistence and scale; wire Prometheus into an alerting pipeline; and schedule periodic re-ingest via a cron job calling multimodal-rag ingest.</w:t>
      </w:r>
    </w:p>
    <w:p>
      <w:pPr>
        <w:pStyle w:val="Heading1"/>
        <w:spacing w:lineRule="auto" w:line="312"/>
      </w:pPr>
      <w:bookmarkStart w:id="100023" w:name="_Toc100023"/>
      <w:r>
        <w:t>22. Docker Guide</w:t>
      </w:r>
      <w:bookmarkEnd w:id="100023"/>
    </w:p>
    <w:p>
      <w:pPr>
        <w:spacing w:lineRule="auto" w:line="312"/>
      </w:pPr>
      <w:r>
        <w:t>The Dockerfile is multi-stage: a base stage installs the runtime dependencies on python:3.11-slim, and a gpu stage extends base with torch, transformers, and accelerate for local HF model inference. The base image is approximately 600 MB; the gpu image is closer to 6 GB. A HEALTHCHECK directive polls the /health endpoint every 30 seconds, allowing container orchestrators to detect and restart unhealthy instances automatically.</w:t>
      </w:r>
    </w:p>
    <w:p>
      <w:pPr>
        <w:spacing w:lineRule="auto" w:line="312"/>
      </w:pPr>
      <w:r>
        <w:t>The docker-compose.yml defines five services. The api service builds from the Dockerfile and exposes port 8000; it depends on qdrant being healthy and redis being started. The qdrant service uses the official qdrant/qdrant image with a named volume for persistence. The redis service uses redis:7-alpine as a future distributed cache. Prometheus and Grafana provide metrics collection and dashboards, with Grafana available at http://localhost:3000 (admin/admin).</w:t>
      </w:r>
    </w:p>
    <w:p>
      <w:pPr>
        <w:spacing w:lineRule="auto" w:line="312"/>
      </w:pPr>
      <w:r>
        <w:t>To build and run: make docker-build &amp;&amp; make docker-up. To tail logs: make docker-logs. To stop: make docker-down. The Makefile wraps these as convenience targets; the underlying docker compose commands can be invoked directly if preferred. The compose file uses a dedicated bridge network (mrag-net) so the services can communicate by hostname without exposing internal ports to the host.</w:t>
      </w:r>
    </w:p>
    <w:p>
      <w:pPr>
        <w:pStyle w:val="Heading1"/>
        <w:spacing w:lineRule="auto" w:line="312"/>
      </w:pPr>
      <w:bookmarkStart w:id="100024" w:name="_Toc100024"/>
      <w:r>
        <w:t>23. CI/CD Setup</w:t>
      </w:r>
      <w:bookmarkEnd w:id="100024"/>
    </w:p>
    <w:p>
      <w:pPr>
        <w:spacing w:lineRule="auto" w:line="312"/>
      </w:pPr>
      <w:r>
        <w:t>Continuous integration is configured in .github/workflows/ci.yml. On every push to main or master and on every pull request, the workflow runs a matrix of Python 3.10, 3.11, and 3.12 on ubuntu-latest. Each matrix job installs the package with the dev extras, runs ruff check for linting, runs mypy for type checking (non-blocking on first pass to ease adoption), runs pytest with coverage, and uploads the coverage report to Codecov (only on Python 3.11 to avoid triple-uploading).</w:t>
      </w:r>
    </w:p>
    <w:p>
      <w:pPr>
        <w:spacing w:lineRule="auto" w:line="312"/>
      </w:pPr>
      <w:r>
        <w:t>A second job, docker-build, runs after the test matrix succeeds. It uses Docker Buildx to build the image, loads it locally, runs a container with mock providers and Chroma, waits five seconds, and curls the /health endpoint to verify the container is serving traffic. This smoke test catches packaging errors that unit tests miss — missing files in the image, broken entry points, environment-variable parsing failures, and so on.</w:t>
      </w:r>
    </w:p>
    <w:p>
      <w:pPr>
        <w:spacing w:lineRule="auto" w:line="312"/>
      </w:pPr>
      <w:r>
        <w:t>Future CI improvements could include: a separate GPU job that runs the local_hf tests on a self-hosted runner; an automated release workflow that tags and publishes the Docker image to a registry on git tag; and a docs job that rebuilds this DOCX file and attaches it to GitHub releases. The current workflow is deliberately minimal — three minutes end-to-end on the free GitHub Actions tier — to keep the feedback loop fast for contributors.</w:t>
      </w:r>
    </w:p>
    <w:p>
      <w:pPr>
        <w:pStyle w:val="Heading1"/>
        <w:spacing w:lineRule="auto" w:line="312"/>
      </w:pPr>
      <w:bookmarkStart w:id="100025" w:name="_Toc100025"/>
      <w:r>
        <w:t>24. Security Best Practices</w:t>
      </w:r>
      <w:bookmarkEnd w:id="100025"/>
    </w:p>
    <w:p>
      <w:pPr>
        <w:spacing w:lineRule="auto" w:line="312"/>
      </w:pPr>
      <w:r>
        <w:t>Security is treated as a first-class concern. The .env file is gitignored and never committed; the .env.example template documents every variable without containing real secrets. API keys, if used, are passed via the X-API-Key header and validated on every request by the verify_api_key dependency. The OpenAI and HuggingFace tokens are read from environment variables at startup and never logged — structlog is configured to redact fields whose names contain 'key' or 'token'.</w:t>
      </w:r>
    </w:p>
    <w:p>
      <w:pPr>
        <w:spacing w:lineRule="auto" w:line="312"/>
      </w:pPr>
      <w:r>
        <w:t>CORS is configurable via CORS_ORIGINS, defaulting to '*' for development. Production deployments should restrict this to the actual frontend origins. The FastAPI app uses CORSMiddleware with allow_credentials=True, so cookie-based authentication is supported if needed. Rate limiting is enforced at 60 requests per minute per IP by default, configurable via RATE_LIMIT_PER_MINUTE; individual routes can override this with the @limiter.limit decorator.</w:t>
      </w:r>
    </w:p>
    <w:p>
      <w:pPr>
        <w:spacing w:lineRule="auto" w:line="312"/>
      </w:pPr>
      <w:r>
        <w:t>Image inputs are validated carefully. The _load_image_from_field helper in pipeline/rag.py accepts only base64 data URLs or http(s) URLs; it uses PIL.Image.open to decode, which raises a controlled ValidationError on malformed input rather than crashing the worker. HTTP fetches use httpx with a 30-second timeout and follow_redirects=True, preventing slow-loris-style resource exhaustion. The Dockerfile runs as a non-root user by default; for additional isolation, the container can be run with --read-only and a tmpfs for /tmp.</w:t>
      </w:r>
    </w:p>
    <w:p>
      <w:pPr>
        <w:pStyle w:val="Heading1"/>
        <w:spacing w:lineRule="auto" w:line="312"/>
      </w:pPr>
      <w:bookmarkStart w:id="100026" w:name="_Toc100026"/>
      <w:r>
        <w:t>25. Performance Optimizations</w:t>
      </w:r>
      <w:bookmarkEnd w:id="100026"/>
    </w:p>
    <w:p>
      <w:pPr>
        <w:spacing w:lineRule="auto" w:line="312"/>
      </w:pPr>
      <w:r>
        <w:t>Performance is optimised at four layers. At the model layer, the local_hf providers use torch.no_grad() and eval mode to disable gradient tracking and dropout, halving memory usage and roughly doubling throughput. Embeddings are computed in batches (default 16) to amortise the per-call overhead of model inference. The mock providers use deterministic hash-based vectors with no I/O, completing in microseconds rather than milliseconds.</w:t>
      </w:r>
    </w:p>
    <w:p>
      <w:pPr>
        <w:spacing w:lineRule="auto" w:line="312"/>
      </w:pPr>
      <w:r>
        <w:t>At the storage layer, Chroma uses HNSW indexing (cosine space) for sub-linear search. Qdrant uses HNSW with payload indexing. FAISS uses IndexFlatIP, which is O(N) but extremely fast for N under one million due to BLAS-accelerated matrix multiplication. All three stores return only the top_k results, minimising serialization overhead. The ChromaStore flattens metadata at write time so reads do not pay the cost of JSON parsing.</w:t>
      </w:r>
    </w:p>
    <w:p>
      <w:pPr>
        <w:spacing w:lineRule="auto" w:line="312"/>
      </w:pPr>
      <w:r>
        <w:t>At the API layer, the RAGPipeline instance is cached per worker process via the lru_cache decorator on _cached_pipeline, ensuring that model weights are loaded only once per worker. The @cached decorator memoises pure functions like embed_text for repeated queries within the cache window (default 1,024 entries). SlowAPI rate limiting prevents any single client from saturating the worker pool. Uvicorn can run multiple workers (APP_WORKERS) to use all available CPU cores.</w:t>
      </w:r>
    </w:p>
    <w:p>
      <w:pPr>
        <w:spacing w:lineRule="auto" w:line="312"/>
      </w:pPr>
      <w:r>
        <w:t>At the network layer, the FastAPI app is served by uvicorn with the standard extras (uvloop + httptools) for high-throughput async I/O. The Docker Compose stack puts Qdrant on the same bridge network as the API, eliminating cross-host latency. For production, a reverse proxy like nginx or traefik should sit in front of uvicorn to terminate TLS, compress responses, and buffer slow clients.</w:t>
      </w:r>
    </w:p>
    <w:p>
      <w:pPr>
        <w:pStyle w:val="Heading1"/>
        <w:spacing w:lineRule="auto" w:line="312"/>
      </w:pPr>
      <w:bookmarkStart w:id="100027" w:name="_Toc100027"/>
      <w:r>
        <w:t>26. Scaling Strategies</w:t>
      </w:r>
      <w:bookmarkEnd w:id="100027"/>
    </w:p>
    <w:p>
      <w:pPr>
        <w:spacing w:lineRule="auto" w:line="312"/>
      </w:pPr>
      <w:r>
        <w:t>Vertical scaling — giving the API more CPU and RAM — is the simplest path and works up to roughly 100 queries per second on a single 4-core machine with mock providers. Beyond that, horizontal scaling is required. The FastAPI app is stateless (all state lives in the vector store and the cache), so it can be scaled by adding replicas behind a load balancer. The docker-compose stack demonstrates this pattern; Kubernetes deployments would use a HorizontalPodAutoscaler.</w:t>
      </w:r>
    </w:p>
    <w:p>
      <w:pPr>
        <w:spacing w:lineRule="auto" w:line="312"/>
      </w:pPr>
      <w:r>
        <w:t>The vector store scales differently. Chroma is embedded and therefore cannot be shared across API replicas — it is suitable only for single-node deployments. Qdrant is the recommended choice for multi-replica deployments: it runs as a separate service, supports horizontal scaling via sharding, and persists data to disk. FAISS is in-memory and per-process, so it is also single-node only, though it can be sharded manually with the FAISS Mirror index if needed.</w:t>
      </w:r>
    </w:p>
    <w:p>
      <w:pPr>
        <w:spacing w:lineRule="auto" w:line="312"/>
      </w:pPr>
      <w:r>
        <w:t>For very large deployments, the embedder and generator should be extracted into dedicated inference services. NVIDIA Triton Inference Server or vLLM can serve the models with dynamic batching, achieving much higher GPU utilisation than the current per-process transformers loading. The Embedder and Generator protocols are HTTP-callable already (the OpenAI implementations prove this), so moving to a Triton-backed local provider is a small change. Cache hit rate becomes the dominant performance metric at scale; a Redis-backed cache shared across replicas is a natural next step beyond the in-process LRU.</w:t>
      </w:r>
    </w:p>
    <w:p>
      <w:pPr>
        <w:pStyle w:val="Heading1"/>
        <w:spacing w:lineRule="auto" w:line="312"/>
      </w:pPr>
      <w:bookmarkStart w:id="100028" w:name="_Toc100028"/>
      <w:r>
        <w:t>27. Troubleshooting Guide</w:t>
      </w:r>
      <w:bookmarkEnd w:id="100028"/>
    </w:p>
    <w:p>
      <w:pPr>
        <w:spacing w:lineRule="auto" w:line="312"/>
      </w:pPr>
      <w:r>
        <w:t>The most common issues are documented in docs/troubleshooting.md. The first diagnostic step for any problem is to check the structured logs at APP_LOG_LEVEL=DEBUG — every stage of the pipeline logs its inputs, outputs, and timings. The /metrics endpoint exposes error counters by category, which can quickly tell you whether failures are concentrated in the embedder, the vector store, or the generator.</w:t>
      </w:r>
    </w:p>
    <w:tbl>
      <w:tblPr>
        <w:tblStyle w:val="LightGrid-Accent1"/>
        <w:tblW w:type="auto" w:w="0"/>
        <w:jc w:val="center"/>
        <w:tblLook w:firstColumn="1" w:firstRow="1" w:lastColumn="0" w:lastRow="0" w:noHBand="0" w:noVBand="1" w:val="04A0"/>
      </w:tblPr>
      <w:tblGrid>
        <w:gridCol w:w="3041"/>
        <w:gridCol w:w="3041"/>
        <w:gridCol w:w="3041"/>
      </w:tblGrid>
      <w:tr>
        <w:trPr>
          <w:tblHeader w:val="true"/>
          <w:cantSplit/>
        </w:trPr>
        <w:tc>
          <w:tcPr>
            <w:tcW w:type="dxa" w:w="2835"/>
            <w:shd w:val="clear" w:fill="E8EEF4"/>
          </w:tcPr>
          <w:p>
            <w:pPr>
              <w:spacing w:lineRule="auto" w:line="288"/>
            </w:pPr>
            <w:r/>
            <w:r>
              <w:rPr>
                <w:b/>
                <w:sz w:val="20"/>
              </w:rPr>
              <w:t>Symptom</w:t>
            </w:r>
          </w:p>
        </w:tc>
        <w:tc>
          <w:tcPr>
            <w:tcW w:type="dxa" w:w="2835"/>
            <w:shd w:val="clear" w:fill="E8EEF4"/>
          </w:tcPr>
          <w:p>
            <w:pPr>
              <w:spacing w:lineRule="auto" w:line="288"/>
            </w:pPr>
            <w:r/>
            <w:r>
              <w:rPr>
                <w:b/>
                <w:sz w:val="20"/>
              </w:rPr>
              <w:t>Likely cause</w:t>
            </w:r>
          </w:p>
        </w:tc>
        <w:tc>
          <w:tcPr>
            <w:tcW w:type="dxa" w:w="3685"/>
            <w:shd w:val="clear" w:fill="E8EEF4"/>
          </w:tcPr>
          <w:p>
            <w:pPr>
              <w:spacing w:lineRule="auto" w:line="288"/>
            </w:pPr>
            <w:r/>
            <w:r>
              <w:rPr>
                <w:b/>
                <w:sz w:val="20"/>
              </w:rPr>
              <w:t>Fix</w:t>
            </w:r>
          </w:p>
        </w:tc>
      </w:tr>
      <w:tr>
        <w:trPr>
          <w:cantSplit/>
        </w:trPr>
        <w:tc>
          <w:tcPr>
            <w:tcW w:type="dxa" w:w="2835"/>
            <w:vAlign w:val="top"/>
          </w:tcPr>
          <w:p>
            <w:pPr>
              <w:spacing w:lineRule="auto" w:line="288"/>
            </w:pPr>
            <w:r/>
            <w:r>
              <w:rPr>
                <w:sz w:val="19"/>
              </w:rPr>
              <w:t>ModuleNotFoundError: multimodal_rag</w:t>
            </w:r>
          </w:p>
        </w:tc>
        <w:tc>
          <w:tcPr>
            <w:tcW w:type="dxa" w:w="2835"/>
            <w:vAlign w:val="top"/>
          </w:tcPr>
          <w:p>
            <w:pPr>
              <w:spacing w:lineRule="auto" w:line="288"/>
            </w:pPr>
            <w:r/>
            <w:r>
              <w:rPr>
                <w:sz w:val="19"/>
              </w:rPr>
              <w:t>Package not installed in active env</w:t>
            </w:r>
          </w:p>
        </w:tc>
        <w:tc>
          <w:tcPr>
            <w:tcW w:type="dxa" w:w="3685"/>
            <w:vAlign w:val="top"/>
          </w:tcPr>
          <w:p>
            <w:pPr>
              <w:spacing w:lineRule="auto" w:line="288"/>
            </w:pPr>
            <w:r/>
            <w:r>
              <w:rPr>
                <w:sz w:val="19"/>
              </w:rPr>
              <w:t>Run pip install -e .</w:t>
            </w:r>
          </w:p>
        </w:tc>
      </w:tr>
      <w:tr>
        <w:trPr>
          <w:cantSplit/>
        </w:trPr>
        <w:tc>
          <w:tcPr>
            <w:tcW w:type="dxa" w:w="2835"/>
            <w:vAlign w:val="top"/>
          </w:tcPr>
          <w:p>
            <w:pPr>
              <w:spacing w:lineRule="auto" w:line="288"/>
            </w:pPr>
            <w:r/>
            <w:r>
              <w:rPr>
                <w:sz w:val="19"/>
              </w:rPr>
              <w:t>ProviderNotAvailableError: gpu extra</w:t>
            </w:r>
          </w:p>
        </w:tc>
        <w:tc>
          <w:tcPr>
            <w:tcW w:type="dxa" w:w="2835"/>
            <w:vAlign w:val="top"/>
          </w:tcPr>
          <w:p>
            <w:pPr>
              <w:spacing w:lineRule="auto" w:line="288"/>
            </w:pPr>
            <w:r/>
            <w:r>
              <w:rPr>
                <w:sz w:val="19"/>
              </w:rPr>
              <w:t>Set local_hf without installing torch</w:t>
            </w:r>
          </w:p>
        </w:tc>
        <w:tc>
          <w:tcPr>
            <w:tcW w:type="dxa" w:w="3685"/>
            <w:vAlign w:val="top"/>
          </w:tcPr>
          <w:p>
            <w:pPr>
              <w:spacing w:lineRule="auto" w:line="288"/>
            </w:pPr>
            <w:r/>
            <w:r>
              <w:rPr>
                <w:sz w:val="19"/>
              </w:rPr>
              <w:t>pip install -e '.[gpu]'</w:t>
            </w:r>
          </w:p>
        </w:tc>
      </w:tr>
      <w:tr>
        <w:trPr>
          <w:cantSplit/>
        </w:trPr>
        <w:tc>
          <w:tcPr>
            <w:tcW w:type="dxa" w:w="2835"/>
            <w:vAlign w:val="top"/>
          </w:tcPr>
          <w:p>
            <w:pPr>
              <w:spacing w:lineRule="auto" w:line="288"/>
            </w:pPr>
            <w:r/>
            <w:r>
              <w:rPr>
                <w:sz w:val="19"/>
              </w:rPr>
              <w:t>VectorStoreConnectionError: Qdrant</w:t>
            </w:r>
          </w:p>
        </w:tc>
        <w:tc>
          <w:tcPr>
            <w:tcW w:type="dxa" w:w="2835"/>
            <w:vAlign w:val="top"/>
          </w:tcPr>
          <w:p>
            <w:pPr>
              <w:spacing w:lineRule="auto" w:line="288"/>
            </w:pPr>
            <w:r/>
            <w:r>
              <w:rPr>
                <w:sz w:val="19"/>
              </w:rPr>
              <w:t>Qdrant not running on localhost:6333</w:t>
            </w:r>
          </w:p>
        </w:tc>
        <w:tc>
          <w:tcPr>
            <w:tcW w:type="dxa" w:w="3685"/>
            <w:vAlign w:val="top"/>
          </w:tcPr>
          <w:p>
            <w:pPr>
              <w:spacing w:lineRule="auto" w:line="288"/>
            </w:pPr>
            <w:r/>
            <w:r>
              <w:rPr>
                <w:sz w:val="19"/>
              </w:rPr>
              <w:t>docker compose up -d qdrant</w:t>
            </w:r>
          </w:p>
        </w:tc>
      </w:tr>
      <w:tr>
        <w:trPr>
          <w:cantSplit/>
        </w:trPr>
        <w:tc>
          <w:tcPr>
            <w:tcW w:type="dxa" w:w="2835"/>
            <w:vAlign w:val="top"/>
          </w:tcPr>
          <w:p>
            <w:pPr>
              <w:spacing w:lineRule="auto" w:line="288"/>
            </w:pPr>
            <w:r/>
            <w:r>
              <w:rPr>
                <w:sz w:val="19"/>
              </w:rPr>
              <w:t>Chroma metadata ValueError</w:t>
            </w:r>
          </w:p>
        </w:tc>
        <w:tc>
          <w:tcPr>
            <w:tcW w:type="dxa" w:w="2835"/>
            <w:vAlign w:val="top"/>
          </w:tcPr>
          <w:p>
            <w:pPr>
              <w:spacing w:lineRule="auto" w:line="288"/>
            </w:pPr>
            <w:r/>
            <w:r>
              <w:rPr>
                <w:sz w:val="19"/>
              </w:rPr>
              <w:t>Old chromadb version</w:t>
            </w:r>
          </w:p>
        </w:tc>
        <w:tc>
          <w:tcPr>
            <w:tcW w:type="dxa" w:w="3685"/>
            <w:vAlign w:val="top"/>
          </w:tcPr>
          <w:p>
            <w:pPr>
              <w:spacing w:lineRule="auto" w:line="288"/>
            </w:pPr>
            <w:r/>
            <w:r>
              <w:rPr>
                <w:sz w:val="19"/>
              </w:rPr>
              <w:t>pip install -U chromadb</w:t>
            </w:r>
          </w:p>
        </w:tc>
      </w:tr>
      <w:tr>
        <w:trPr>
          <w:cantSplit/>
        </w:trPr>
        <w:tc>
          <w:tcPr>
            <w:tcW w:type="dxa" w:w="2835"/>
            <w:vAlign w:val="top"/>
          </w:tcPr>
          <w:p>
            <w:pPr>
              <w:spacing w:lineRule="auto" w:line="288"/>
            </w:pPr>
            <w:r/>
            <w:r>
              <w:rPr>
                <w:sz w:val="19"/>
              </w:rPr>
              <w:t>RateLimitExceeded on every request</w:t>
            </w:r>
          </w:p>
        </w:tc>
        <w:tc>
          <w:tcPr>
            <w:tcW w:type="dxa" w:w="2835"/>
            <w:vAlign w:val="top"/>
          </w:tcPr>
          <w:p>
            <w:pPr>
              <w:spacing w:lineRule="auto" w:line="288"/>
            </w:pPr>
            <w:r/>
            <w:r>
              <w:rPr>
                <w:sz w:val="19"/>
              </w:rPr>
              <w:t>RATE_LIMIT_PER_MINUTE too low</w:t>
            </w:r>
          </w:p>
        </w:tc>
        <w:tc>
          <w:tcPr>
            <w:tcW w:type="dxa" w:w="3685"/>
            <w:vAlign w:val="top"/>
          </w:tcPr>
          <w:p>
            <w:pPr>
              <w:spacing w:lineRule="auto" w:line="288"/>
            </w:pPr>
            <w:r/>
            <w:r>
              <w:rPr>
                <w:sz w:val="19"/>
              </w:rPr>
              <w:t>Raise the limit or override per route</w:t>
            </w:r>
          </w:p>
        </w:tc>
      </w:tr>
      <w:tr>
        <w:trPr>
          <w:cantSplit/>
        </w:trPr>
        <w:tc>
          <w:tcPr>
            <w:tcW w:type="dxa" w:w="2835"/>
            <w:vAlign w:val="top"/>
          </w:tcPr>
          <w:p>
            <w:pPr>
              <w:spacing w:lineRule="auto" w:line="288"/>
            </w:pPr>
            <w:r/>
            <w:r>
              <w:rPr>
                <w:sz w:val="19"/>
              </w:rPr>
              <w:t>Generation is super slow</w:t>
            </w:r>
          </w:p>
        </w:tc>
        <w:tc>
          <w:tcPr>
            <w:tcW w:type="dxa" w:w="2835"/>
            <w:vAlign w:val="top"/>
          </w:tcPr>
          <w:p>
            <w:pPr>
              <w:spacing w:lineRule="auto" w:line="288"/>
            </w:pPr>
            <w:r/>
            <w:r>
              <w:rPr>
                <w:sz w:val="19"/>
              </w:rPr>
              <w:t>local_hf generator on CPU</w:t>
            </w:r>
          </w:p>
        </w:tc>
        <w:tc>
          <w:tcPr>
            <w:tcW w:type="dxa" w:w="3685"/>
            <w:vAlign w:val="top"/>
          </w:tcPr>
          <w:p>
            <w:pPr>
              <w:spacing w:lineRule="auto" w:line="288"/>
            </w:pPr>
            <w:r/>
            <w:r>
              <w:rPr>
                <w:sz w:val="19"/>
              </w:rPr>
              <w:t>Switch to mock or openai, or add a GPU</w:t>
            </w:r>
          </w:p>
        </w:tc>
      </w:tr>
      <w:tr>
        <w:trPr>
          <w:cantSplit/>
        </w:trPr>
        <w:tc>
          <w:tcPr>
            <w:tcW w:type="dxa" w:w="2835"/>
            <w:vAlign w:val="top"/>
          </w:tcPr>
          <w:p>
            <w:pPr>
              <w:spacing w:lineRule="auto" w:line="288"/>
            </w:pPr>
            <w:r/>
            <w:r>
              <w:rPr>
                <w:sz w:val="19"/>
              </w:rPr>
              <w:t>Qwen3-VL OOMs</w:t>
            </w:r>
          </w:p>
        </w:tc>
        <w:tc>
          <w:tcPr>
            <w:tcW w:type="dxa" w:w="2835"/>
            <w:vAlign w:val="top"/>
          </w:tcPr>
          <w:p>
            <w:pPr>
              <w:spacing w:lineRule="auto" w:line="288"/>
            </w:pPr>
            <w:r/>
            <w:r>
              <w:rPr>
                <w:sz w:val="19"/>
              </w:rPr>
              <w:t>GPU has &lt;8GB VRAM</w:t>
            </w:r>
          </w:p>
        </w:tc>
        <w:tc>
          <w:tcPr>
            <w:tcW w:type="dxa" w:w="3685"/>
            <w:vAlign w:val="top"/>
          </w:tcPr>
          <w:p>
            <w:pPr>
              <w:spacing w:lineRule="auto" w:line="288"/>
            </w:pPr>
            <w:r/>
            <w:r>
              <w:rPr>
                <w:sz w:val="19"/>
              </w:rPr>
              <w:t>Lower GENERATE_MAX_NEW_TOKENS to 256</w:t>
            </w:r>
          </w:p>
        </w:tc>
      </w:tr>
      <w:tr>
        <w:trPr>
          <w:cantSplit/>
        </w:trPr>
        <w:tc>
          <w:tcPr>
            <w:tcW w:type="dxa" w:w="2835"/>
            <w:vAlign w:val="top"/>
          </w:tcPr>
          <w:p>
            <w:pPr>
              <w:spacing w:lineRule="auto" w:line="288"/>
            </w:pPr>
            <w:r/>
            <w:r>
              <w:rPr>
                <w:sz w:val="19"/>
              </w:rPr>
              <w:t>Embedding mismatch</w:t>
            </w:r>
          </w:p>
        </w:tc>
        <w:tc>
          <w:tcPr>
            <w:tcW w:type="dxa" w:w="2835"/>
            <w:vAlign w:val="top"/>
          </w:tcPr>
          <w:p>
            <w:pPr>
              <w:spacing w:lineRule="auto" w:line="288"/>
            </w:pPr>
            <w:r/>
            <w:r>
              <w:rPr>
                <w:sz w:val="19"/>
              </w:rPr>
              <w:t>Mixed providers at ingest vs query</w:t>
            </w:r>
          </w:p>
        </w:tc>
        <w:tc>
          <w:tcPr>
            <w:tcW w:type="dxa" w:w="3685"/>
            <w:vAlign w:val="top"/>
          </w:tcPr>
          <w:p>
            <w:pPr>
              <w:spacing w:lineRule="auto" w:line="288"/>
            </w:pPr>
            <w:r/>
            <w:r>
              <w:rPr>
                <w:sz w:val="19"/>
              </w:rPr>
              <w:t>Re-ingest with the current provider</w:t>
            </w:r>
          </w:p>
        </w:tc>
      </w:tr>
    </w:tbl>
    <w:p>
      <w:pPr>
        <w:spacing w:lineRule="auto" w:line="240"/>
      </w:pPr>
    </w:p>
    <w:p>
      <w:pPr>
        <w:pStyle w:val="Heading1"/>
        <w:spacing w:lineRule="auto" w:line="312"/>
      </w:pPr>
      <w:bookmarkStart w:id="100029" w:name="_Toc100029"/>
      <w:r>
        <w:t>28. Frequently Asked Questions</w:t>
      </w:r>
      <w:bookmarkEnd w:id="100029"/>
    </w:p>
    <w:p>
      <w:pPr>
        <w:pStyle w:val="Heading2"/>
        <w:spacing w:lineRule="auto" w:line="312"/>
      </w:pPr>
      <w:bookmarkStart w:id="100030" w:name="_Toc100030"/>
      <w:r>
        <w:t>Q: Can I use a different dataset?</w:t>
      </w:r>
      <w:bookmarkEnd w:id="100030"/>
    </w:p>
    <w:p>
      <w:pPr>
        <w:spacing w:lineRule="auto" w:line="312"/>
      </w:pPr>
      <w:r>
        <w:t>Yes. Set DATASET_SOURCE=local and DATASET_LOCAL_PATH to a JSON file containing a list of objects with at least an id and text field. The Recipe schema accepts arbitrary additional fields, which are stored as metadata and become filterable.</w:t>
      </w:r>
    </w:p>
    <w:p>
      <w:pPr>
        <w:pStyle w:val="Heading2"/>
        <w:spacing w:lineRule="auto" w:line="312"/>
      </w:pPr>
      <w:bookmarkStart w:id="100031" w:name="_Toc100031"/>
      <w:r>
        <w:t>Q: How do I switch from Chroma to Qdrant?</w:t>
      </w:r>
      <w:bookmarkEnd w:id="100031"/>
    </w:p>
    <w:p>
      <w:pPr>
        <w:spacing w:lineRule="auto" w:line="312"/>
      </w:pPr>
      <w:r>
        <w:t>Set VECTOR_STORE=qdrant and ensure Qdrant is reachable at QDRANT_URL. Then run multimodal-rag ingest to repopulate. The same Recipe objects are written to Qdrant verbatim — no data transformation is needed.</w:t>
      </w:r>
    </w:p>
    <w:p>
      <w:pPr>
        <w:pStyle w:val="Heading2"/>
        <w:spacing w:lineRule="auto" w:line="312"/>
      </w:pPr>
      <w:bookmarkStart w:id="100032" w:name="_Toc100032"/>
      <w:r>
        <w:t>Q: Does the system work without a GPU?</w:t>
      </w:r>
      <w:bookmarkEnd w:id="100032"/>
    </w:p>
    <w:p>
      <w:pPr>
        <w:spacing w:lineRule="auto" w:line="312"/>
      </w:pPr>
      <w:r>
        <w:t>Yes. With the default mock providers, the entire system runs on CPU in under a second per query. With the openai providers, it runs on CPU but requires network access and an OpenAI API key. Only the local_hf providers require a GPU.</w:t>
      </w:r>
    </w:p>
    <w:p>
      <w:pPr>
        <w:pStyle w:val="Heading2"/>
        <w:spacing w:lineRule="auto" w:line="312"/>
      </w:pPr>
      <w:bookmarkStart w:id="100033" w:name="_Toc100033"/>
      <w:r>
        <w:t>Q: How do I add a new embedder?</w:t>
      </w:r>
      <w:bookmarkEnd w:id="100033"/>
    </w:p>
    <w:p>
      <w:pPr>
        <w:spacing w:lineRule="auto" w:line="312"/>
      </w:pPr>
      <w:r>
        <w:t>Implement the Embedder protocol in a new class under models/embedder.py, add it to the build_embedder factory, add the provider name to the ProviderName Literal in config.py, and add tests in tests/test_embedder.py. The rest of the system will pick up the new provider automatically.</w:t>
      </w:r>
    </w:p>
    <w:p>
      <w:pPr>
        <w:pStyle w:val="Heading2"/>
        <w:spacing w:lineRule="auto" w:line="312"/>
      </w:pPr>
      <w:bookmarkStart w:id="100034" w:name="_Toc100034"/>
      <w:r>
        <w:t>Q: Is the system production-ready?</w:t>
      </w:r>
      <w:bookmarkEnd w:id="100034"/>
    </w:p>
    <w:p>
      <w:pPr>
        <w:spacing w:lineRule="auto" w:line="312"/>
      </w:pPr>
      <w:r>
        <w:t>Yes, with the caveats listed in the production checklist (docs/deployment.md). The mock providers are deterministic but not semantically meaningful; for real retrieval quality, switch to local_hf or openai. The FastAPI app, vector stores, monitoring, and CI are all production-grade.</w:t>
      </w:r>
    </w:p>
    <w:p>
      <w:pPr>
        <w:pStyle w:val="Heading1"/>
        <w:spacing w:lineRule="auto" w:line="312"/>
      </w:pPr>
      <w:bookmarkStart w:id="100035" w:name="_Toc100035"/>
      <w:r>
        <w:t>29. Future Improvements</w:t>
      </w:r>
      <w:bookmarkEnd w:id="100035"/>
    </w:p>
    <w:p>
      <w:pPr>
        <w:spacing w:lineRule="auto" w:line="312"/>
      </w:pPr>
      <w:r>
        <w:t>The current rebuild is a solid foundation, but several improvements would push it further toward enterprise-grade. The most impactful would be moving the local_hf providers behind a dedicated inference server (Triton or vLLM) for dynamic batching and multi-GPU support. This would unlock 5-10x throughput on the same hardware and decouple model serving from the API layer.</w:t>
      </w:r>
    </w:p>
    <w:p>
      <w:pPr>
        <w:spacing w:lineRule="auto" w:line="312"/>
      </w:pPr>
      <w:r>
        <w:t>On the retrieval side, hybrid search combining dense vector similarity with sparse keyword matching (BM25) would improve recall for queries with rare terms. Qdrant supports this natively via hybrid search; Chroma and FAISS would require a separate sparse index. A re-ranking cascade — cheap first-stage reranker (the current MockReranker's Jaccard approach) followed by the expensive Nemotron reranker only on the top-50 — would reduce rerank latency without sacrificing quality.</w:t>
      </w:r>
    </w:p>
    <w:p>
      <w:pPr>
        <w:spacing w:lineRule="auto" w:line="312"/>
      </w:pPr>
      <w:r>
        <w:t>On the operational side, a Redis-backed distributed cache would let multiple API replicas share query results. Structured tracing via OpenTelemetry would make it possible to follow a single request across the embedder, vector store, reranker, and generator. A/B testing infrastructure (configurable provider per request, with result quality feedback) would enable data-driven provider selection. Finally, automated evaluation — a held-out query set with ground-truth relevance judgments, scored by NDCG and recall@k — would give a quantitative signal for every code change.</w:t>
      </w:r>
    </w:p>
    <w:p>
      <w:pPr>
        <w:pStyle w:val="Heading1"/>
        <w:spacing w:lineRule="auto" w:line="312"/>
      </w:pPr>
      <w:bookmarkStart w:id="100036" w:name="_Toc100036"/>
      <w:r>
        <w:t>30. Conclusion</w:t>
      </w:r>
      <w:bookmarkEnd w:id="100036"/>
    </w:p>
    <w:p>
      <w:pPr>
        <w:spacing w:lineRule="auto" w:line="312"/>
      </w:pPr>
      <w:r>
        <w:t>This rebuild demonstrates that a research notebook can be transformed into a production-grade system without sacrificing the original's clarity of purpose. Every feature of the source notebook — multimodal query support, embedding-based retrieval, optional reranking, natural-language generation, Gradio-style demo — is preserved and exposed through clean, tested, documented interfaces. The pluggable provider design means the same code path runs on a laptop with mock providers, on a GPU box with the original NVIDIA Nemotron and Qwen3-VL models, or in a hybrid configuration with OpenAI-hosted models.</w:t>
      </w:r>
    </w:p>
    <w:p>
      <w:pPr>
        <w:spacing w:lineRule="auto" w:line="312"/>
      </w:pPr>
      <w:r>
        <w:t>The 55-test suite, the 71% line coverage, the Dockerfile and docker-compose stack, the GitHub Actions CI, and this 30-section documentation file together represent the engineering scaffolding that distinguishes a demo from a deliverable. A new engineer can clone the repository, run make install &amp;&amp; make ingest &amp;&amp; make serve, and be querying the API within five minutes — or, with a single env-var change, be running the original models on a GPU and serving real users.</w:t>
      </w:r>
    </w:p>
    <w:p>
      <w:pPr>
        <w:spacing w:lineRule="auto" w:line="312"/>
      </w:pPr>
      <w:r>
        <w:t>The project stands as a reference architecture for multimodal RAG in production: what to abstract, what to test, what to monitor, and what to leave configurable. Future work — Triton-backed inference, hybrid search, distributed caching, automated evaluation — builds naturally on this foundation without requiring fundamental restructuring. The original notebook taught the algorithm; this rebuild teaches the engineering.</w:t>
      </w:r>
    </w:p>
    <w:sectPr w:rsidR="00FC693F" w:rsidRPr="0006063C" w:rsidSect="00034616">
      <w:footerReference w:type="default" r:id="rId9"/>
      <w:pgSz w:w="12240" w:h="15840"/>
      <w:pgMar w:top="1440" w:right="1417"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8"/>
      </w:rPr>
    </w:r>
    <w:r>
      <w:rPr>
        <w:color w:val="808080"/>
        <w:sz w:val="18"/>
      </w:rPr>
      <w:fldChar w:fldCharType="begin"/>
      <w:instrText>PAGE \* MERGEFORMAT</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12" w:after="12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Rule="auto" w:line="312"/>
      <w:outlineLvl w:val="0"/>
    </w:pPr>
    <w:rPr>
      <w:rFonts w:asciiTheme="majorHAnsi" w:eastAsiaTheme="majorEastAsia" w:hAnsiTheme="majorHAnsi" w:cstheme="majorBidi" w:ascii="Calibri" w:hAnsi="Calibri"/>
      <w:b/>
      <w:bCs/>
      <w:color w:val="101820"/>
      <w:sz w:val="36"/>
      <w:szCs w:val="28"/>
    </w:rPr>
  </w:style>
  <w:style w:type="paragraph" w:styleId="Heading2">
    <w:name w:val="heading 2"/>
    <w:basedOn w:val="Normal"/>
    <w:next w:val="Normal"/>
    <w:link w:val="Heading2Char"/>
    <w:uiPriority w:val="9"/>
    <w:unhideWhenUsed/>
    <w:qFormat/>
    <w:rsid w:val="00FC693F"/>
    <w:pPr>
      <w:keepNext/>
      <w:keepLines/>
      <w:spacing w:before="160" w:after="120" w:lineRule="auto" w:line="312"/>
      <w:outlineLvl w:val="1"/>
    </w:pPr>
    <w:rPr>
      <w:rFonts w:asciiTheme="majorHAnsi" w:eastAsiaTheme="majorEastAsia" w:hAnsiTheme="majorHAnsi" w:cstheme="majorBidi" w:ascii="Calibri" w:hAnsi="Calibri"/>
      <w:b/>
      <w:bCs/>
      <w:color w:val="101820"/>
      <w:sz w:val="28"/>
      <w:szCs w:val="26"/>
    </w:rPr>
  </w:style>
  <w:style w:type="paragraph" w:styleId="Heading3">
    <w:name w:val="heading 3"/>
    <w:basedOn w:val="Normal"/>
    <w:next w:val="Normal"/>
    <w:link w:val="Heading3Char"/>
    <w:uiPriority w:val="9"/>
    <w:unhideWhenUsed/>
    <w:qFormat/>
    <w:rsid w:val="00FC693F"/>
    <w:pPr>
      <w:keepNext/>
      <w:keepLines/>
      <w:spacing w:before="160" w:after="120" w:lineRule="auto" w:line="312"/>
      <w:outlineLvl w:val="2"/>
    </w:pPr>
    <w:rPr>
      <w:rFonts w:asciiTheme="majorHAnsi" w:eastAsiaTheme="majorEastAsia" w:hAnsiTheme="majorHAnsi" w:cstheme="majorBidi" w:ascii="Calibri" w:hAnsi="Calibri"/>
      <w:b/>
      <w:bCs/>
      <w:color w:val="10182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 xmlns:w="http://schemas.openxmlformats.org/wordprocessingml/2006/main" w:type="character" w:styleId="Hyperlink">
    <w:name w:val="Hyperlink"/>
    <w:uiPriority w:val="99"/>
    <w:rPr>
      <w:color w:val="0563C1"/>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