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10 – Samenvatting: Integrale Eindcase &amp; Samenvattend Overzicht</w:t>
      </w:r>
    </w:p>
    <w:p>
      <w:r>
        <w:t>Gebaseerd op de integrale praktijkcase met de dataset college.csv</w:t>
      </w:r>
    </w:p>
    <w:p>
      <w:r>
        <w:t>Vertaling en samenvatting: Adil Vural – Opleiding Data Science, Business Analytics &amp; AI</w:t>
      </w:r>
    </w:p>
    <w:p>
      <w:r>
        <w:br w:type="page"/>
      </w:r>
    </w:p>
    <w:p>
      <w:pPr>
        <w:pStyle w:val="Heading1"/>
      </w:pPr>
      <w:r>
        <w:t>Samenvatting</w:t>
      </w:r>
    </w:p>
    <w:p>
      <w:r>
        <w:t>In dit laatste hoofdstuk wordt de volledige machine-learningcyclus samengebracht in één geïntegreerde praktijkcase gebaseerd op de *college.csv*-dataset. Alle technieken en concepten uit de voorgaande hoofdstukken – van datavoorbewerking tot modeluitlegbaarheid – komen hier samen.</w:t>
      </w:r>
    </w:p>
    <w:p>
      <w:pPr>
        <w:pStyle w:val="Heading2"/>
      </w:pPr>
      <w:r>
        <w:t>1. Data-voorbewerking &amp; Feature Engineering</w:t>
      </w:r>
    </w:p>
    <w:p>
      <w:r>
        <w:t>De dataset wordt opgeschoond, ontbrekende waarden worden aangevuld, en numerieke en categorische variabelen worden opgeschaald en gecodeerd met `StandardScaler` en `OneHotEncoder`. Deze stap vormt de basis voor een betrouwbare modeltraining.</w:t>
      </w:r>
    </w:p>
    <w:p>
      <w:pPr>
        <w:pStyle w:val="Heading2"/>
      </w:pPr>
      <w:r>
        <w:t>2. Modelselectie &amp; Training</w:t>
      </w:r>
    </w:p>
    <w:p>
      <w:r>
        <w:t>Verschillende modellen worden getraind: *Linear Regression*, *Random Forest* en *Gradient Boosting*. Deze modellen vertegenwoordigen drie niveaus van complexiteit – van interpreteerbaar tot krachtig maar minder transparant.</w:t>
      </w:r>
    </w:p>
    <w:p>
      <w:pPr>
        <w:pStyle w:val="Heading2"/>
      </w:pPr>
      <w:r>
        <w:t>3. Evaluatie &amp; Vergelijking</w:t>
      </w:r>
    </w:p>
    <w:p>
      <w:r>
        <w:t>De modellen worden beoordeeld op R², MSE en MAE. **Tabel 10.1** toont dat Random Forest en Gradient Boosting een hogere voorspellingskracht hebben, terwijl Linear Regression eenvoudiger uitlegbaar blijft.</w:t>
      </w:r>
    </w:p>
    <w:p>
      <w:pPr>
        <w:pStyle w:val="Heading2"/>
      </w:pPr>
      <w:r>
        <w:t>4. Hyperparameter-tuning</w:t>
      </w:r>
    </w:p>
    <w:p>
      <w:r>
        <w:t>Met `GridSearchCV` worden optimale instellingen bepaald (zoals `n_estimators` en `max_depth`), wat leidt tot een prestatieverbetering zonder overfitting. Deze stap automatiseert de modeloptimalisatie en verhoogt de betrouwbaarheid.</w:t>
      </w:r>
    </w:p>
    <w:p>
      <w:pPr>
        <w:pStyle w:val="Heading2"/>
      </w:pPr>
      <w:r>
        <w:t>5. Deployment &amp; Monitoring</w:t>
      </w:r>
    </w:p>
    <w:p>
      <w:r>
        <w:t>Het best presterende model wordt opgeslagen met `joblib` en kan via een Flask-API of batch-proces worden gebruikt. Monitoring controleert periodiek de prestaties en detecteert eventuele *data drift*, zodat het model up-to-date blijft.</w:t>
      </w:r>
    </w:p>
    <w:p>
      <w:pPr>
        <w:pStyle w:val="Heading2"/>
      </w:pPr>
      <w:r>
        <w:t>6. Fairness &amp; Explainability</w:t>
      </w:r>
    </w:p>
    <w:p>
      <w:r>
        <w:t>Via SHAP-analyse wordt zichtbaar welke features de grootste invloed hebben op de voorspellingen. Zo blijft het model transparant en controleerbaar in lijn met de principes uit Hoofdstuk 9 over ethiek en fairness.</w:t>
      </w:r>
    </w:p>
    <w:p>
      <w:pPr>
        <w:pStyle w:val="Heading2"/>
      </w:pPr>
      <w:r>
        <w:t>7. Reflectie</w:t>
      </w:r>
    </w:p>
    <w:p>
      <w:r>
        <w:t>Deze eindcase illustreert hoe een datagedreven organisatie zowel technische nauwkeurigheid als ethische verantwoordelijkheid kan combineren. Een succesvol ML-project vraagt niet alleen om hoge prestaties, maar ook om uitlegbaarheid, fairness en blijvende kwaliteitsbewaking.</w:t>
      </w:r>
    </w:p>
    <w:p>
      <w:pPr>
        <w:pStyle w:val="Heading1"/>
      </w:pPr>
      <w:r>
        <w:t>Kernboodschap</w:t>
      </w:r>
    </w:p>
    <w:p>
      <w:r>
        <w:t>Het bouwen van een machine-learningmodel is geen eindpunt maar een continu proces van leren, monitoren en verbeteren. De integratie van datakwaliteit, ethiek en explainability maakt het verschil tussen een technisch goed model en een écht betrouwbaar AI-systeem.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