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DCA78" w14:textId="717815E1" w:rsidR="002B68D4" w:rsidRPr="002B68D4" w:rsidRDefault="002B68D4" w:rsidP="002B68D4">
      <w:r w:rsidRPr="002B68D4">
        <w:rPr>
          <w:b/>
          <w:bCs/>
          <w:color w:val="000000"/>
        </w:rPr>
        <w:t>Income Inequality and Search Interest in Animal Welfare Products</w:t>
      </w:r>
    </w:p>
    <w:p w14:paraId="1FFD30C4" w14:textId="77777777" w:rsidR="002B68D4" w:rsidRPr="002B68D4" w:rsidRDefault="002B68D4" w:rsidP="002B68D4"/>
    <w:p w14:paraId="4F449A81" w14:textId="51AC834E" w:rsidR="002B68D4" w:rsidRPr="002B68D4" w:rsidRDefault="002B68D4" w:rsidP="002B68D4">
      <w:r w:rsidRPr="002B68D4">
        <w:rPr>
          <w:color w:val="000000"/>
        </w:rPr>
        <w:t xml:space="preserve">For </w:t>
      </w:r>
      <w:r w:rsidR="00DE5C3E">
        <w:rPr>
          <w:color w:val="000000"/>
        </w:rPr>
        <w:t>this research,</w:t>
      </w:r>
      <w:r w:rsidRPr="002B68D4">
        <w:rPr>
          <w:color w:val="000000"/>
        </w:rPr>
        <w:t xml:space="preserve"> we aimed to investigate the association between income inequality and search interest in animal welfare products. Many companies track search interest as a measure of the top of the</w:t>
      </w:r>
      <w:r w:rsidR="007708C6">
        <w:rPr>
          <w:color w:val="000000"/>
        </w:rPr>
        <w:t>ir</w:t>
      </w:r>
      <w:r w:rsidRPr="002B68D4">
        <w:rPr>
          <w:color w:val="000000"/>
        </w:rPr>
        <w:t xml:space="preserve"> marketing funnel</w:t>
      </w:r>
      <w:r w:rsidR="007708C6">
        <w:rPr>
          <w:color w:val="000000"/>
        </w:rPr>
        <w:t>s</w:t>
      </w:r>
      <w:r w:rsidRPr="002B68D4">
        <w:rPr>
          <w:color w:val="000000"/>
        </w:rPr>
        <w:t xml:space="preserve"> and the extent to which consumers are aware of and curious about </w:t>
      </w:r>
      <w:r w:rsidR="007708C6">
        <w:rPr>
          <w:color w:val="000000"/>
        </w:rPr>
        <w:t>their</w:t>
      </w:r>
      <w:r w:rsidRPr="002B68D4">
        <w:rPr>
          <w:color w:val="000000"/>
        </w:rPr>
        <w:t xml:space="preserve"> product</w:t>
      </w:r>
      <w:r w:rsidR="00DF297E">
        <w:rPr>
          <w:color w:val="000000"/>
        </w:rPr>
        <w:t>s</w:t>
      </w:r>
      <w:r w:rsidRPr="002B68D4">
        <w:rPr>
          <w:color w:val="000000"/>
        </w:rPr>
        <w:t xml:space="preserve"> or product category. Online search interest is particularly relevant to animal welfare products, as consumers wishing to research products free of animal ingredients, not tested on animals, or derived from humanely treated animals often conduct online searches.</w:t>
      </w:r>
      <w:r w:rsidR="00925AB1">
        <w:rPr>
          <w:color w:val="000000"/>
        </w:rPr>
        <w:t xml:space="preserve"> </w:t>
      </w:r>
      <w:r w:rsidR="00925AB1" w:rsidRPr="00925AB1">
        <w:rPr>
          <w:color w:val="000000"/>
        </w:rPr>
        <w:t xml:space="preserve">For example, a consumer might use Google to search </w:t>
      </w:r>
      <w:r w:rsidR="00904CAA">
        <w:rPr>
          <w:color w:val="000000"/>
        </w:rPr>
        <w:t>“</w:t>
      </w:r>
      <w:r w:rsidR="00557239" w:rsidRPr="00925AB1">
        <w:rPr>
          <w:color w:val="000000"/>
        </w:rPr>
        <w:t>cruelty</w:t>
      </w:r>
      <w:r w:rsidR="00557239">
        <w:rPr>
          <w:color w:val="000000"/>
        </w:rPr>
        <w:t>-</w:t>
      </w:r>
      <w:r w:rsidR="00925AB1" w:rsidRPr="00925AB1">
        <w:rPr>
          <w:color w:val="000000"/>
        </w:rPr>
        <w:t>free skincare brands</w:t>
      </w:r>
      <w:r w:rsidR="00904CAA">
        <w:rPr>
          <w:color w:val="000000"/>
        </w:rPr>
        <w:t>”</w:t>
      </w:r>
      <w:r w:rsidR="00925AB1" w:rsidRPr="00925AB1">
        <w:rPr>
          <w:color w:val="000000"/>
        </w:rPr>
        <w:t xml:space="preserve"> or </w:t>
      </w:r>
      <w:r w:rsidR="00904CAA">
        <w:rPr>
          <w:color w:val="000000"/>
        </w:rPr>
        <w:t>“</w:t>
      </w:r>
      <w:r w:rsidR="00925AB1" w:rsidRPr="00925AB1">
        <w:rPr>
          <w:color w:val="000000"/>
        </w:rPr>
        <w:t>where to buy grass-fed beef</w:t>
      </w:r>
      <w:r w:rsidR="00904CAA">
        <w:rPr>
          <w:color w:val="000000"/>
        </w:rPr>
        <w:t>,”</w:t>
      </w:r>
      <w:r w:rsidR="00925AB1" w:rsidRPr="00925AB1">
        <w:rPr>
          <w:color w:val="000000"/>
        </w:rPr>
        <w:t xml:space="preserve"> signaling their interest and intent to purchase products aligned with animal welfare standards.</w:t>
      </w:r>
    </w:p>
    <w:p w14:paraId="15E835C3" w14:textId="77777777" w:rsidR="002B68D4" w:rsidRPr="002B68D4" w:rsidRDefault="002B68D4" w:rsidP="002B68D4"/>
    <w:p w14:paraId="086326BA" w14:textId="414875B8" w:rsidR="002B68D4" w:rsidRPr="002B68D4" w:rsidRDefault="002B68D4" w:rsidP="002B68D4">
      <w:bookmarkStart w:id="0" w:name="OLE_LINK9"/>
      <w:bookmarkStart w:id="1" w:name="OLE_LINK10"/>
      <w:bookmarkStart w:id="2" w:name="OLE_LINK11"/>
      <w:r w:rsidRPr="002B68D4">
        <w:rPr>
          <w:color w:val="000000"/>
        </w:rPr>
        <w:t>With significant income inequality, systems justification theory posits that people may be more inclined to defend and rationalize the existing social and economic systems.</w:t>
      </w:r>
      <w:bookmarkEnd w:id="0"/>
      <w:bookmarkEnd w:id="1"/>
      <w:bookmarkEnd w:id="2"/>
      <w:r w:rsidRPr="002B68D4">
        <w:rPr>
          <w:color w:val="000000"/>
        </w:rPr>
        <w:t xml:space="preserve"> This psychological process can result in a reluctance to engage with information or ideas that challenge prevailing norms or threaten established market structures, as animal welfare products do. </w:t>
      </w:r>
      <w:bookmarkStart w:id="3" w:name="OLE_LINK12"/>
      <w:bookmarkStart w:id="4" w:name="OLE_LINK13"/>
      <w:r w:rsidRPr="002B68D4">
        <w:rPr>
          <w:color w:val="000000"/>
        </w:rPr>
        <w:t xml:space="preserve">Consequently, </w:t>
      </w:r>
      <w:bookmarkStart w:id="5" w:name="OLE_LINK14"/>
      <w:bookmarkStart w:id="6" w:name="OLE_LINK15"/>
      <w:bookmarkEnd w:id="3"/>
      <w:bookmarkEnd w:id="4"/>
      <w:r w:rsidRPr="002B68D4">
        <w:rPr>
          <w:color w:val="000000"/>
        </w:rPr>
        <w:t>people experiencing high levels of income inequality might be less inclined to search for information related to animal welfare products because doing so could expose them to alternatives that undermine their need to justify the system responsible for the inequality</w:t>
      </w:r>
      <w:bookmarkEnd w:id="5"/>
      <w:bookmarkEnd w:id="6"/>
      <w:r w:rsidRPr="002B68D4">
        <w:rPr>
          <w:color w:val="000000"/>
        </w:rPr>
        <w:t xml:space="preserve">. Accordingly, we </w:t>
      </w:r>
      <w:r w:rsidR="00F2621D">
        <w:rPr>
          <w:color w:val="000000"/>
        </w:rPr>
        <w:t>predicted</w:t>
      </w:r>
      <w:r w:rsidRPr="002B68D4">
        <w:rPr>
          <w:color w:val="000000"/>
        </w:rPr>
        <w:t xml:space="preserve"> the association between income inequality and search interest in animal welfare to be negative.</w:t>
      </w:r>
    </w:p>
    <w:p w14:paraId="5ED1597A" w14:textId="77777777" w:rsidR="002B68D4" w:rsidRPr="002B68D4" w:rsidRDefault="002B68D4" w:rsidP="002B68D4"/>
    <w:p w14:paraId="20628818" w14:textId="77777777" w:rsidR="002B68D4" w:rsidRPr="002B68D4" w:rsidRDefault="002B68D4" w:rsidP="002B68D4">
      <w:r w:rsidRPr="002B68D4">
        <w:rPr>
          <w:b/>
          <w:bCs/>
          <w:color w:val="000000"/>
        </w:rPr>
        <w:t>Data</w:t>
      </w:r>
    </w:p>
    <w:p w14:paraId="7F0BD456" w14:textId="77777777" w:rsidR="002B68D4" w:rsidRPr="002B68D4" w:rsidRDefault="002B68D4" w:rsidP="002B68D4"/>
    <w:p w14:paraId="03DDDC5C" w14:textId="539B9A50" w:rsidR="002B68D4" w:rsidRPr="002B68D4" w:rsidRDefault="002B68D4" w:rsidP="002B68D4">
      <w:bookmarkStart w:id="7" w:name="OLE_LINK16"/>
      <w:bookmarkStart w:id="8" w:name="OLE_LINK17"/>
      <w:r w:rsidRPr="002B68D4">
        <w:rPr>
          <w:color w:val="000000"/>
        </w:rPr>
        <w:t>We collected data from Google Trends and the American Community Survey (ACS)</w:t>
      </w:r>
      <w:r w:rsidR="00BB0AEF">
        <w:rPr>
          <w:color w:val="000000"/>
        </w:rPr>
        <w:t xml:space="preserve"> </w:t>
      </w:r>
      <w:r w:rsidR="00BB0AEF" w:rsidRPr="002B68D4">
        <w:rPr>
          <w:color w:val="000000"/>
        </w:rPr>
        <w:t xml:space="preserve">spanning </w:t>
      </w:r>
      <w:r w:rsidR="00BB0AEF">
        <w:rPr>
          <w:color w:val="000000"/>
        </w:rPr>
        <w:t xml:space="preserve">from </w:t>
      </w:r>
      <w:r w:rsidR="00BB0AEF" w:rsidRPr="002B68D4">
        <w:rPr>
          <w:color w:val="000000"/>
        </w:rPr>
        <w:t xml:space="preserve">2006 to </w:t>
      </w:r>
      <w:r w:rsidR="00BB0AEF">
        <w:rPr>
          <w:color w:val="000000"/>
        </w:rPr>
        <w:t xml:space="preserve">2022, </w:t>
      </w:r>
      <w:r w:rsidR="000D4F40" w:rsidRPr="000D4F40">
        <w:rPr>
          <w:color w:val="000000"/>
        </w:rPr>
        <w:t xml:space="preserve">the </w:t>
      </w:r>
      <w:r w:rsidR="00CC7CA8">
        <w:rPr>
          <w:color w:val="000000"/>
        </w:rPr>
        <w:t>most recent</w:t>
      </w:r>
      <w:r w:rsidR="000D4F40" w:rsidRPr="000D4F40">
        <w:rPr>
          <w:color w:val="000000"/>
        </w:rPr>
        <w:t xml:space="preserve"> year </w:t>
      </w:r>
      <w:r w:rsidR="00FD479A">
        <w:rPr>
          <w:color w:val="000000"/>
        </w:rPr>
        <w:t>for which</w:t>
      </w:r>
      <w:r w:rsidR="000D4F40" w:rsidRPr="000D4F40">
        <w:rPr>
          <w:color w:val="000000"/>
        </w:rPr>
        <w:t xml:space="preserve"> ACS data</w:t>
      </w:r>
      <w:r w:rsidR="00FD479A">
        <w:rPr>
          <w:color w:val="000000"/>
        </w:rPr>
        <w:t xml:space="preserve"> is available</w:t>
      </w:r>
      <w:bookmarkEnd w:id="7"/>
      <w:bookmarkEnd w:id="8"/>
      <w:r w:rsidRPr="002B68D4">
        <w:rPr>
          <w:color w:val="000000"/>
        </w:rPr>
        <w:t xml:space="preserve">. We chose the United States </w:t>
      </w:r>
      <w:r w:rsidR="00D553B3">
        <w:rPr>
          <w:color w:val="000000"/>
        </w:rPr>
        <w:t>for this study's geographical context</w:t>
      </w:r>
      <w:r w:rsidRPr="002B68D4">
        <w:rPr>
          <w:color w:val="000000"/>
        </w:rPr>
        <w:t xml:space="preserve"> because it offers extensive, longitudinal datasets for the dependent and independent variables, including </w:t>
      </w:r>
      <w:r w:rsidR="00D553B3">
        <w:rPr>
          <w:color w:val="000000"/>
        </w:rPr>
        <w:t xml:space="preserve">the </w:t>
      </w:r>
      <w:r w:rsidRPr="002B68D4">
        <w:rPr>
          <w:color w:val="000000"/>
        </w:rPr>
        <w:t xml:space="preserve">covariates. Additionally, the heterogeneity across states and time provides variation we can leverage to test the hypothesis that income inequality is negatively associated with search interest in animal welfare products. </w:t>
      </w:r>
      <w:r w:rsidR="00D37054" w:rsidRPr="00D37054">
        <w:rPr>
          <w:color w:val="000000"/>
        </w:rPr>
        <w:t xml:space="preserve">Although Google Trends has provided search data since 2004, the U.S. Census Bureau began reporting annual, state-level data from the ACS in 2006. </w:t>
      </w:r>
      <w:bookmarkStart w:id="9" w:name="OLE_LINK55"/>
      <w:bookmarkStart w:id="10" w:name="OLE_LINK56"/>
      <w:bookmarkStart w:id="11" w:name="OLE_LINK18"/>
      <w:bookmarkStart w:id="12" w:name="OLE_LINK19"/>
      <w:r w:rsidR="00D37054" w:rsidRPr="00D37054">
        <w:rPr>
          <w:color w:val="000000"/>
        </w:rPr>
        <w:t>Data from 2020 are excluded due to the U.S. Census Bureau's temporary halt of the ACS that year.</w:t>
      </w:r>
      <w:bookmarkEnd w:id="9"/>
      <w:bookmarkEnd w:id="10"/>
      <w:r w:rsidRPr="002B68D4">
        <w:rPr>
          <w:color w:val="000000"/>
        </w:rPr>
        <w:t xml:space="preserve"> Therefore, </w:t>
      </w:r>
      <w:r w:rsidR="004A2634">
        <w:rPr>
          <w:color w:val="000000"/>
        </w:rPr>
        <w:t>our</w:t>
      </w:r>
      <w:r w:rsidR="004A2634" w:rsidRPr="002B68D4">
        <w:rPr>
          <w:color w:val="000000"/>
        </w:rPr>
        <w:t xml:space="preserve"> </w:t>
      </w:r>
      <w:r w:rsidRPr="002B68D4">
        <w:rPr>
          <w:color w:val="000000"/>
        </w:rPr>
        <w:t>data</w:t>
      </w:r>
      <w:r w:rsidR="00D37054">
        <w:rPr>
          <w:color w:val="000000"/>
        </w:rPr>
        <w:t>set</w:t>
      </w:r>
      <w:r w:rsidRPr="002B68D4">
        <w:rPr>
          <w:color w:val="000000"/>
        </w:rPr>
        <w:t xml:space="preserve"> include</w:t>
      </w:r>
      <w:r w:rsidR="00D37054">
        <w:rPr>
          <w:color w:val="000000"/>
        </w:rPr>
        <w:t>s</w:t>
      </w:r>
      <w:r w:rsidRPr="002B68D4">
        <w:rPr>
          <w:color w:val="000000"/>
        </w:rPr>
        <w:t xml:space="preserve"> 51 states, </w:t>
      </w:r>
      <w:r w:rsidR="00D37054">
        <w:rPr>
          <w:color w:val="000000"/>
        </w:rPr>
        <w:t>encompassing</w:t>
      </w:r>
      <w:r w:rsidR="00D37054" w:rsidRPr="002B68D4">
        <w:rPr>
          <w:color w:val="000000"/>
        </w:rPr>
        <w:t xml:space="preserve"> </w:t>
      </w:r>
      <w:r w:rsidRPr="002B68D4">
        <w:rPr>
          <w:color w:val="000000"/>
        </w:rPr>
        <w:t xml:space="preserve">Washington D.C., and </w:t>
      </w:r>
      <w:r w:rsidR="002B704A">
        <w:rPr>
          <w:color w:val="000000"/>
        </w:rPr>
        <w:t>16</w:t>
      </w:r>
      <w:r w:rsidR="002B704A" w:rsidRPr="002B68D4">
        <w:rPr>
          <w:color w:val="000000"/>
        </w:rPr>
        <w:t xml:space="preserve"> </w:t>
      </w:r>
      <w:r w:rsidRPr="002B68D4">
        <w:rPr>
          <w:color w:val="000000"/>
        </w:rPr>
        <w:t>years for</w:t>
      </w:r>
      <w:r w:rsidR="00D37054">
        <w:rPr>
          <w:color w:val="000000"/>
        </w:rPr>
        <w:t xml:space="preserve"> a total of</w:t>
      </w:r>
      <w:r w:rsidRPr="002B68D4">
        <w:rPr>
          <w:color w:val="000000"/>
        </w:rPr>
        <w:t xml:space="preserve"> </w:t>
      </w:r>
      <w:r w:rsidR="002B704A">
        <w:rPr>
          <w:color w:val="000000"/>
        </w:rPr>
        <w:t>816</w:t>
      </w:r>
      <w:r w:rsidR="00DD42EB">
        <w:rPr>
          <w:color w:val="000000"/>
        </w:rPr>
        <w:t xml:space="preserve"> </w:t>
      </w:r>
      <w:r w:rsidRPr="002B68D4">
        <w:rPr>
          <w:color w:val="000000"/>
        </w:rPr>
        <w:t>observations.</w:t>
      </w:r>
      <w:bookmarkEnd w:id="11"/>
      <w:bookmarkEnd w:id="12"/>
    </w:p>
    <w:p w14:paraId="715B654C" w14:textId="77777777" w:rsidR="002B68D4" w:rsidRPr="002B68D4" w:rsidRDefault="002B68D4" w:rsidP="002B68D4"/>
    <w:p w14:paraId="5A4A176F" w14:textId="2277378F" w:rsidR="002B68D4" w:rsidRPr="002B68D4" w:rsidRDefault="002B68D4" w:rsidP="002B68D4">
      <w:r w:rsidRPr="002B68D4">
        <w:rPr>
          <w:i/>
          <w:iCs/>
          <w:color w:val="000000"/>
        </w:rPr>
        <w:t>Search interest in animal welfare products</w:t>
      </w:r>
      <w:r w:rsidRPr="002B68D4">
        <w:rPr>
          <w:color w:val="000000"/>
        </w:rPr>
        <w:t>. We procured the data for this variable from Google Trends, a tool that quantifies the relative popularity of search terms across geographical regions and over time. To gauge search interest, we compiled a relevant set of keywords that people frequently include in online searches</w:t>
      </w:r>
      <w:r w:rsidR="00481B82">
        <w:rPr>
          <w:color w:val="000000"/>
        </w:rPr>
        <w:t xml:space="preserve"> about </w:t>
      </w:r>
      <w:r w:rsidR="00481B82" w:rsidRPr="002B68D4">
        <w:rPr>
          <w:color w:val="000000"/>
        </w:rPr>
        <w:t>animal welfare products</w:t>
      </w:r>
      <w:r w:rsidRPr="002B68D4">
        <w:rPr>
          <w:color w:val="000000"/>
        </w:rPr>
        <w:t xml:space="preserve">: </w:t>
      </w:r>
      <w:r w:rsidR="00A65A75">
        <w:rPr>
          <w:color w:val="000000"/>
        </w:rPr>
        <w:t xml:space="preserve">i.e., </w:t>
      </w:r>
      <w:r w:rsidRPr="002B68D4">
        <w:rPr>
          <w:color w:val="000000"/>
        </w:rPr>
        <w:t xml:space="preserve">vegan, vegetarian, dairy free, animal testing, cruelty free, grass fed, free range, and cage free. The Google Trends index we examine represents the popularity of these keywords in a state and year. Therefore, the proportion of a state’s searches </w:t>
      </w:r>
      <w:r w:rsidR="00C42001">
        <w:rPr>
          <w:color w:val="000000"/>
        </w:rPr>
        <w:t>in</w:t>
      </w:r>
      <w:r w:rsidR="007D2607">
        <w:rPr>
          <w:color w:val="000000"/>
        </w:rPr>
        <w:t xml:space="preserve"> a</w:t>
      </w:r>
      <w:r w:rsidR="001345F9" w:rsidRPr="002B68D4">
        <w:rPr>
          <w:color w:val="000000"/>
        </w:rPr>
        <w:t xml:space="preserve"> year</w:t>
      </w:r>
      <w:r w:rsidRPr="002B68D4">
        <w:rPr>
          <w:color w:val="000000"/>
        </w:rPr>
        <w:t xml:space="preserve"> that included any of these keywords influences the state's index, offering a measure of the state's relative interest in animal welfare products.</w:t>
      </w:r>
    </w:p>
    <w:p w14:paraId="6771DCDB" w14:textId="77777777" w:rsidR="002B68D4" w:rsidRPr="002B68D4" w:rsidRDefault="002B68D4" w:rsidP="002B68D4"/>
    <w:p w14:paraId="1089B013" w14:textId="77777777" w:rsidR="002B68D4" w:rsidRPr="002B68D4" w:rsidRDefault="002B68D4" w:rsidP="002B68D4">
      <w:r w:rsidRPr="002B68D4">
        <w:rPr>
          <w:color w:val="000000"/>
        </w:rPr>
        <w:t xml:space="preserve">Google Trends data are normalized on a 0 to 100 scale. For the interest-by-state data we analyze, a score of 100 is assigned to the state(s) with the most search interest in animal welfare for a </w:t>
      </w:r>
      <w:r w:rsidRPr="002B68D4">
        <w:rPr>
          <w:color w:val="000000"/>
        </w:rPr>
        <w:lastRenderedPageBreak/>
        <w:t>given year, with all other states receiving scores relative to this maximum. For instance, Oregon had an index of 100 in 2019, marking it as the state with the highest search interest in animal welfare products. Pennsylvania, with an index of 59 in 2019, demonstrated approximately 59% as much search interest in animal welfare products as Oregon.</w:t>
      </w:r>
    </w:p>
    <w:p w14:paraId="0D34958F" w14:textId="77777777" w:rsidR="002B68D4" w:rsidRPr="002B68D4" w:rsidRDefault="002B68D4" w:rsidP="002B68D4"/>
    <w:p w14:paraId="528D90D4" w14:textId="71C50D69" w:rsidR="00327722" w:rsidRDefault="002B68D4" w:rsidP="001B376E">
      <w:pPr>
        <w:rPr>
          <w:color w:val="000000"/>
        </w:rPr>
      </w:pPr>
      <w:r w:rsidRPr="002B68D4">
        <w:rPr>
          <w:color w:val="000000"/>
        </w:rPr>
        <w:t xml:space="preserve">To gather the </w:t>
      </w:r>
      <w:r w:rsidR="00C6598F">
        <w:rPr>
          <w:color w:val="000000"/>
        </w:rPr>
        <w:t xml:space="preserve">annual state-level </w:t>
      </w:r>
      <w:r w:rsidRPr="002B68D4">
        <w:rPr>
          <w:color w:val="000000"/>
        </w:rPr>
        <w:t xml:space="preserve">search interest data, we </w:t>
      </w:r>
      <w:r w:rsidR="006065BC">
        <w:rPr>
          <w:color w:val="000000"/>
        </w:rPr>
        <w:t>queried</w:t>
      </w:r>
      <w:r w:rsidRPr="002B68D4">
        <w:rPr>
          <w:color w:val="000000"/>
        </w:rPr>
        <w:t xml:space="preserve"> Google Trends </w:t>
      </w:r>
      <w:r w:rsidR="00E55F93">
        <w:rPr>
          <w:color w:val="000000"/>
        </w:rPr>
        <w:t>using the {</w:t>
      </w:r>
      <w:proofErr w:type="spellStart"/>
      <w:r w:rsidR="00E55F93">
        <w:rPr>
          <w:color w:val="000000"/>
        </w:rPr>
        <w:t>trendyy</w:t>
      </w:r>
      <w:proofErr w:type="spellEnd"/>
      <w:r w:rsidR="00E55F93">
        <w:rPr>
          <w:color w:val="000000"/>
        </w:rPr>
        <w:t xml:space="preserve">} R package’s </w:t>
      </w:r>
      <w:proofErr w:type="gramStart"/>
      <w:r w:rsidR="00E55F93">
        <w:rPr>
          <w:color w:val="000000"/>
        </w:rPr>
        <w:t>trendy(</w:t>
      </w:r>
      <w:proofErr w:type="gramEnd"/>
      <w:r w:rsidR="00E55F93">
        <w:rPr>
          <w:color w:val="000000"/>
        </w:rPr>
        <w:t xml:space="preserve">) function </w:t>
      </w:r>
      <w:r w:rsidRPr="002B68D4">
        <w:rPr>
          <w:color w:val="000000"/>
        </w:rPr>
        <w:t xml:space="preserve">for each year from 2006 to </w:t>
      </w:r>
      <w:r w:rsidR="004A34B2">
        <w:rPr>
          <w:color w:val="000000"/>
        </w:rPr>
        <w:t>2022</w:t>
      </w:r>
      <w:r w:rsidR="007A46FE">
        <w:rPr>
          <w:color w:val="000000"/>
        </w:rPr>
        <w:t>, except for 2020</w:t>
      </w:r>
      <w:r w:rsidR="004A34B2">
        <w:rPr>
          <w:color w:val="000000"/>
        </w:rPr>
        <w:t xml:space="preserve"> </w:t>
      </w:r>
      <w:r w:rsidR="002B2AB6">
        <w:rPr>
          <w:color w:val="000000"/>
        </w:rPr>
        <w:t>(Parry 2023)</w:t>
      </w:r>
      <w:r w:rsidRPr="002B68D4">
        <w:rPr>
          <w:color w:val="000000"/>
        </w:rPr>
        <w:t xml:space="preserve">. </w:t>
      </w:r>
      <w:r w:rsidR="007F7892">
        <w:rPr>
          <w:color w:val="000000"/>
        </w:rPr>
        <w:t xml:space="preserve">For example, </w:t>
      </w:r>
      <w:r w:rsidR="00327722">
        <w:rPr>
          <w:color w:val="000000"/>
        </w:rPr>
        <w:t xml:space="preserve">we specified </w:t>
      </w:r>
      <w:r w:rsidR="007F7892">
        <w:rPr>
          <w:color w:val="000000"/>
        </w:rPr>
        <w:t xml:space="preserve">the </w:t>
      </w:r>
      <w:r w:rsidR="001B376E">
        <w:rPr>
          <w:color w:val="000000"/>
        </w:rPr>
        <w:t>req</w:t>
      </w:r>
      <w:r w:rsidR="00327722">
        <w:rPr>
          <w:color w:val="000000"/>
        </w:rPr>
        <w:t>uest for 2006 as follows:</w:t>
      </w:r>
    </w:p>
    <w:p w14:paraId="5F63ECAF" w14:textId="77777777" w:rsidR="00327722" w:rsidRDefault="00327722" w:rsidP="001B376E">
      <w:pPr>
        <w:rPr>
          <w:color w:val="000000"/>
        </w:rPr>
      </w:pPr>
    </w:p>
    <w:p w14:paraId="05589CAE" w14:textId="55305180" w:rsidR="001B376E" w:rsidRDefault="001B376E" w:rsidP="001B376E">
      <w:pPr>
        <w:rPr>
          <w:color w:val="000000"/>
        </w:rPr>
      </w:pPr>
      <w:r w:rsidRPr="001B376E">
        <w:rPr>
          <w:color w:val="000000"/>
        </w:rPr>
        <w:t>trendy(</w:t>
      </w:r>
      <w:proofErr w:type="spellStart"/>
      <w:r w:rsidRPr="001B376E">
        <w:rPr>
          <w:color w:val="000000"/>
        </w:rPr>
        <w:t>search_terms</w:t>
      </w:r>
      <w:proofErr w:type="spellEnd"/>
      <w:r w:rsidRPr="001B376E">
        <w:rPr>
          <w:color w:val="000000"/>
        </w:rPr>
        <w:t xml:space="preserve"> = </w:t>
      </w:r>
      <w:r w:rsidR="00AE1278">
        <w:rPr>
          <w:color w:val="000000"/>
        </w:rPr>
        <w:t>“</w:t>
      </w:r>
      <w:proofErr w:type="spellStart"/>
      <w:r w:rsidR="007E4DE1" w:rsidRPr="007E4DE1">
        <w:rPr>
          <w:color w:val="000000"/>
        </w:rPr>
        <w:t>vegan+vegetarian</w:t>
      </w:r>
      <w:proofErr w:type="spellEnd"/>
      <w:r w:rsidR="007E4DE1" w:rsidRPr="007E4DE1">
        <w:rPr>
          <w:color w:val="000000"/>
        </w:rPr>
        <w:t>+</w:t>
      </w:r>
      <w:r w:rsidR="00AE1278">
        <w:rPr>
          <w:color w:val="000000"/>
        </w:rPr>
        <w:t>‘</w:t>
      </w:r>
      <w:r w:rsidR="007E4DE1" w:rsidRPr="007E4DE1">
        <w:rPr>
          <w:color w:val="000000"/>
        </w:rPr>
        <w:t xml:space="preserve">dairy </w:t>
      </w:r>
      <w:proofErr w:type="spellStart"/>
      <w:r w:rsidR="007E4DE1" w:rsidRPr="007E4DE1">
        <w:rPr>
          <w:color w:val="000000"/>
        </w:rPr>
        <w:t>free</w:t>
      </w:r>
      <w:r w:rsidR="00AE1278">
        <w:rPr>
          <w:color w:val="000000"/>
        </w:rPr>
        <w:t>’</w:t>
      </w:r>
      <w:r w:rsidR="007E4DE1" w:rsidRPr="007E4DE1">
        <w:rPr>
          <w:color w:val="000000"/>
        </w:rPr>
        <w:t>+</w:t>
      </w:r>
      <w:r w:rsidR="00AE1278">
        <w:rPr>
          <w:color w:val="000000"/>
        </w:rPr>
        <w:t>‘</w:t>
      </w:r>
      <w:r w:rsidR="007E4DE1" w:rsidRPr="007E4DE1">
        <w:rPr>
          <w:color w:val="000000"/>
        </w:rPr>
        <w:t>animal</w:t>
      </w:r>
      <w:proofErr w:type="spellEnd"/>
      <w:r w:rsidR="007E4DE1" w:rsidRPr="007E4DE1">
        <w:rPr>
          <w:color w:val="000000"/>
        </w:rPr>
        <w:t xml:space="preserve"> </w:t>
      </w:r>
      <w:proofErr w:type="spellStart"/>
      <w:r w:rsidR="007E4DE1" w:rsidRPr="007E4DE1">
        <w:rPr>
          <w:color w:val="000000"/>
        </w:rPr>
        <w:t>testing</w:t>
      </w:r>
      <w:r w:rsidR="00AE1278">
        <w:rPr>
          <w:color w:val="000000"/>
        </w:rPr>
        <w:t>’</w:t>
      </w:r>
      <w:r w:rsidR="007E4DE1" w:rsidRPr="007E4DE1">
        <w:rPr>
          <w:color w:val="000000"/>
        </w:rPr>
        <w:t>+</w:t>
      </w:r>
      <w:r w:rsidR="00AE1278">
        <w:rPr>
          <w:color w:val="000000"/>
        </w:rPr>
        <w:t>‘</w:t>
      </w:r>
      <w:r w:rsidR="007E4DE1" w:rsidRPr="007E4DE1">
        <w:rPr>
          <w:color w:val="000000"/>
        </w:rPr>
        <w:t>cruelty</w:t>
      </w:r>
      <w:proofErr w:type="spellEnd"/>
      <w:r w:rsidR="007E4DE1" w:rsidRPr="007E4DE1">
        <w:rPr>
          <w:color w:val="000000"/>
        </w:rPr>
        <w:t xml:space="preserve"> </w:t>
      </w:r>
      <w:proofErr w:type="spellStart"/>
      <w:r w:rsidR="007E4DE1" w:rsidRPr="007E4DE1">
        <w:rPr>
          <w:color w:val="000000"/>
        </w:rPr>
        <w:t>free</w:t>
      </w:r>
      <w:r w:rsidR="00AE1278">
        <w:rPr>
          <w:color w:val="000000"/>
        </w:rPr>
        <w:t>’</w:t>
      </w:r>
      <w:r w:rsidR="007E4DE1" w:rsidRPr="007E4DE1">
        <w:rPr>
          <w:color w:val="000000"/>
        </w:rPr>
        <w:t>+</w:t>
      </w:r>
      <w:r w:rsidR="00AE1278">
        <w:rPr>
          <w:color w:val="000000"/>
        </w:rPr>
        <w:t>‘</w:t>
      </w:r>
      <w:r w:rsidR="007E4DE1" w:rsidRPr="007E4DE1">
        <w:rPr>
          <w:color w:val="000000"/>
        </w:rPr>
        <w:t>grass</w:t>
      </w:r>
      <w:proofErr w:type="spellEnd"/>
      <w:r w:rsidR="007E4DE1" w:rsidRPr="007E4DE1">
        <w:rPr>
          <w:color w:val="000000"/>
        </w:rPr>
        <w:t xml:space="preserve"> </w:t>
      </w:r>
      <w:proofErr w:type="spellStart"/>
      <w:r w:rsidR="007E4DE1" w:rsidRPr="007E4DE1">
        <w:rPr>
          <w:color w:val="000000"/>
        </w:rPr>
        <w:t>fed</w:t>
      </w:r>
      <w:r w:rsidR="00AE1278">
        <w:rPr>
          <w:color w:val="000000"/>
        </w:rPr>
        <w:t>’</w:t>
      </w:r>
      <w:r w:rsidR="007E4DE1" w:rsidRPr="007E4DE1">
        <w:rPr>
          <w:color w:val="000000"/>
        </w:rPr>
        <w:t>+</w:t>
      </w:r>
      <w:r w:rsidR="00AE1278">
        <w:rPr>
          <w:color w:val="000000"/>
        </w:rPr>
        <w:t>‘</w:t>
      </w:r>
      <w:r w:rsidR="007E4DE1" w:rsidRPr="007E4DE1">
        <w:rPr>
          <w:color w:val="000000"/>
        </w:rPr>
        <w:t>free</w:t>
      </w:r>
      <w:proofErr w:type="spellEnd"/>
      <w:r w:rsidR="007E4DE1" w:rsidRPr="007E4DE1">
        <w:rPr>
          <w:color w:val="000000"/>
        </w:rPr>
        <w:t xml:space="preserve"> </w:t>
      </w:r>
      <w:proofErr w:type="spellStart"/>
      <w:r w:rsidR="007E4DE1" w:rsidRPr="007E4DE1">
        <w:rPr>
          <w:color w:val="000000"/>
        </w:rPr>
        <w:t>range</w:t>
      </w:r>
      <w:r w:rsidR="00AE1278">
        <w:rPr>
          <w:color w:val="000000"/>
        </w:rPr>
        <w:t>’</w:t>
      </w:r>
      <w:r w:rsidR="007E4DE1" w:rsidRPr="007E4DE1">
        <w:rPr>
          <w:color w:val="000000"/>
        </w:rPr>
        <w:t>+</w:t>
      </w:r>
      <w:r w:rsidR="00AE1278">
        <w:rPr>
          <w:color w:val="000000"/>
        </w:rPr>
        <w:t>‘</w:t>
      </w:r>
      <w:r w:rsidR="007E4DE1" w:rsidRPr="007E4DE1">
        <w:rPr>
          <w:color w:val="000000"/>
        </w:rPr>
        <w:t>cage</w:t>
      </w:r>
      <w:proofErr w:type="spellEnd"/>
      <w:r w:rsidR="007E4DE1" w:rsidRPr="007E4DE1">
        <w:rPr>
          <w:color w:val="000000"/>
        </w:rPr>
        <w:t xml:space="preserve"> free</w:t>
      </w:r>
      <w:r w:rsidR="00AE1278">
        <w:rPr>
          <w:color w:val="000000"/>
        </w:rPr>
        <w:t>’”</w:t>
      </w:r>
      <w:r w:rsidRPr="001B376E">
        <w:rPr>
          <w:color w:val="000000"/>
        </w:rPr>
        <w:t>,</w:t>
      </w:r>
      <w:r w:rsidR="000330A2">
        <w:rPr>
          <w:color w:val="000000"/>
        </w:rPr>
        <w:t xml:space="preserve"> </w:t>
      </w:r>
      <w:r w:rsidRPr="001B376E">
        <w:rPr>
          <w:color w:val="000000"/>
        </w:rPr>
        <w:t>geo =</w:t>
      </w:r>
      <w:r w:rsidR="000330A2">
        <w:rPr>
          <w:color w:val="000000"/>
        </w:rPr>
        <w:t xml:space="preserve"> “</w:t>
      </w:r>
      <w:r w:rsidRPr="001B376E">
        <w:rPr>
          <w:color w:val="000000"/>
        </w:rPr>
        <w:t>US</w:t>
      </w:r>
      <w:r w:rsidR="000330A2">
        <w:rPr>
          <w:color w:val="000000"/>
        </w:rPr>
        <w:t>”</w:t>
      </w:r>
      <w:r w:rsidRPr="001B376E">
        <w:rPr>
          <w:color w:val="000000"/>
        </w:rPr>
        <w:t>,</w:t>
      </w:r>
      <w:r w:rsidR="000330A2">
        <w:rPr>
          <w:color w:val="000000"/>
        </w:rPr>
        <w:t xml:space="preserve"> </w:t>
      </w:r>
      <w:r w:rsidRPr="001B376E">
        <w:rPr>
          <w:color w:val="000000"/>
        </w:rPr>
        <w:t>from =</w:t>
      </w:r>
      <w:r w:rsidR="000330A2">
        <w:rPr>
          <w:color w:val="000000"/>
        </w:rPr>
        <w:t xml:space="preserve"> “20</w:t>
      </w:r>
      <w:r w:rsidR="00106A9F">
        <w:rPr>
          <w:color w:val="000000"/>
        </w:rPr>
        <w:t>0</w:t>
      </w:r>
      <w:r w:rsidR="000330A2">
        <w:rPr>
          <w:color w:val="000000"/>
        </w:rPr>
        <w:t>6-01-01”</w:t>
      </w:r>
      <w:r w:rsidRPr="001B376E">
        <w:rPr>
          <w:color w:val="000000"/>
        </w:rPr>
        <w:t>, to</w:t>
      </w:r>
      <w:r w:rsidR="00AE1278">
        <w:rPr>
          <w:color w:val="000000"/>
        </w:rPr>
        <w:t xml:space="preserve"> </w:t>
      </w:r>
      <w:r w:rsidRPr="001B376E">
        <w:rPr>
          <w:color w:val="000000"/>
        </w:rPr>
        <w:t>=</w:t>
      </w:r>
      <w:r w:rsidR="00AE1278">
        <w:rPr>
          <w:color w:val="000000"/>
        </w:rPr>
        <w:t xml:space="preserve"> “20</w:t>
      </w:r>
      <w:r w:rsidR="00106A9F">
        <w:rPr>
          <w:color w:val="000000"/>
        </w:rPr>
        <w:t>0</w:t>
      </w:r>
      <w:r w:rsidR="00AE1278">
        <w:rPr>
          <w:color w:val="000000"/>
        </w:rPr>
        <w:t>6-12-31”</w:t>
      </w:r>
      <w:r w:rsidRPr="001B376E">
        <w:rPr>
          <w:color w:val="000000"/>
        </w:rPr>
        <w:t>)</w:t>
      </w:r>
    </w:p>
    <w:p w14:paraId="4B50E1F0" w14:textId="77777777" w:rsidR="006B0001" w:rsidRDefault="006B0001" w:rsidP="002B68D4">
      <w:pPr>
        <w:rPr>
          <w:color w:val="000000"/>
        </w:rPr>
      </w:pPr>
    </w:p>
    <w:p w14:paraId="355A3B75" w14:textId="735D17FE" w:rsidR="002B68D4" w:rsidRPr="002B68D4" w:rsidRDefault="00315647" w:rsidP="002B68D4">
      <w:r w:rsidRPr="00315647">
        <w:rPr>
          <w:color w:val="000000"/>
        </w:rPr>
        <w:t>Adopting Stephens-</w:t>
      </w:r>
      <w:proofErr w:type="spellStart"/>
      <w:r w:rsidRPr="00315647">
        <w:rPr>
          <w:color w:val="000000"/>
        </w:rPr>
        <w:t>Davidowitz</w:t>
      </w:r>
      <w:r w:rsidR="00D56232">
        <w:rPr>
          <w:color w:val="000000"/>
        </w:rPr>
        <w:t>’s</w:t>
      </w:r>
      <w:proofErr w:type="spellEnd"/>
      <w:r w:rsidRPr="00315647">
        <w:rPr>
          <w:color w:val="000000"/>
        </w:rPr>
        <w:t xml:space="preserve"> (2020)</w:t>
      </w:r>
      <w:r w:rsidR="00D56232">
        <w:rPr>
          <w:color w:val="000000"/>
        </w:rPr>
        <w:t xml:space="preserve"> approach</w:t>
      </w:r>
      <w:r w:rsidRPr="00315647">
        <w:rPr>
          <w:color w:val="000000"/>
        </w:rPr>
        <w:t xml:space="preserve">, we </w:t>
      </w:r>
      <w:r w:rsidR="00D56232">
        <w:rPr>
          <w:color w:val="000000"/>
        </w:rPr>
        <w:t>pulled</w:t>
      </w:r>
      <w:r w:rsidRPr="00315647">
        <w:rPr>
          <w:color w:val="000000"/>
        </w:rPr>
        <w:t xml:space="preserve"> </w:t>
      </w:r>
      <w:r w:rsidR="00D56232">
        <w:rPr>
          <w:color w:val="000000"/>
        </w:rPr>
        <w:t>multiple</w:t>
      </w:r>
      <w:r w:rsidRPr="00315647">
        <w:rPr>
          <w:color w:val="000000"/>
        </w:rPr>
        <w:t xml:space="preserve"> samples from Google Trends, </w:t>
      </w:r>
      <w:r w:rsidR="00D56232">
        <w:rPr>
          <w:color w:val="000000"/>
        </w:rPr>
        <w:t xml:space="preserve">procuring ten </w:t>
      </w:r>
      <w:r w:rsidRPr="00315647">
        <w:rPr>
          <w:color w:val="000000"/>
        </w:rPr>
        <w:t xml:space="preserve">state-level </w:t>
      </w:r>
      <w:r w:rsidR="006515B3">
        <w:rPr>
          <w:color w:val="000000"/>
        </w:rPr>
        <w:t xml:space="preserve">samples </w:t>
      </w:r>
      <w:r w:rsidR="00FF1761">
        <w:rPr>
          <w:color w:val="000000"/>
        </w:rPr>
        <w:t>yearly</w:t>
      </w:r>
      <w:r w:rsidRPr="00315647">
        <w:rPr>
          <w:color w:val="000000"/>
        </w:rPr>
        <w:t xml:space="preserve">. We </w:t>
      </w:r>
      <w:r w:rsidR="00E80183">
        <w:rPr>
          <w:color w:val="000000"/>
        </w:rPr>
        <w:t xml:space="preserve">used the </w:t>
      </w:r>
      <w:proofErr w:type="spellStart"/>
      <w:r w:rsidR="00E80183">
        <w:rPr>
          <w:color w:val="000000"/>
        </w:rPr>
        <w:t>rwg</w:t>
      </w:r>
      <w:proofErr w:type="spellEnd"/>
      <w:r w:rsidR="00E80183">
        <w:rPr>
          <w:color w:val="000000"/>
        </w:rPr>
        <w:t xml:space="preserve"> index to </w:t>
      </w:r>
      <w:r w:rsidRPr="00315647">
        <w:rPr>
          <w:color w:val="000000"/>
        </w:rPr>
        <w:t xml:space="preserve">assess </w:t>
      </w:r>
      <w:r w:rsidR="00E80183">
        <w:rPr>
          <w:color w:val="000000"/>
        </w:rPr>
        <w:t xml:space="preserve">the </w:t>
      </w:r>
      <w:r w:rsidR="0062747B">
        <w:rPr>
          <w:color w:val="000000"/>
        </w:rPr>
        <w:t xml:space="preserve">agreement </w:t>
      </w:r>
      <w:r w:rsidRPr="00315647">
        <w:rPr>
          <w:color w:val="000000"/>
        </w:rPr>
        <w:t xml:space="preserve">among these samples (James, </w:t>
      </w:r>
      <w:proofErr w:type="spellStart"/>
      <w:r w:rsidRPr="00315647">
        <w:rPr>
          <w:color w:val="000000"/>
        </w:rPr>
        <w:t>Demaree</w:t>
      </w:r>
      <w:proofErr w:type="spellEnd"/>
      <w:r w:rsidRPr="00315647">
        <w:rPr>
          <w:color w:val="000000"/>
        </w:rPr>
        <w:t xml:space="preserve">, and Wolf 1984). </w:t>
      </w:r>
      <w:r w:rsidR="0062747B">
        <w:rPr>
          <w:color w:val="000000"/>
        </w:rPr>
        <w:t>The</w:t>
      </w:r>
      <w:r w:rsidRPr="00315647">
        <w:rPr>
          <w:color w:val="000000"/>
        </w:rPr>
        <w:t xml:space="preserve"> data </w:t>
      </w:r>
      <w:r w:rsidR="00EE5E68" w:rsidRPr="00315647">
        <w:rPr>
          <w:color w:val="000000"/>
        </w:rPr>
        <w:t>showed</w:t>
      </w:r>
      <w:r w:rsidRPr="00315647">
        <w:rPr>
          <w:color w:val="000000"/>
        </w:rPr>
        <w:t xml:space="preserve"> strong consistency, with a</w:t>
      </w:r>
      <w:r w:rsidR="00AA3B33">
        <w:rPr>
          <w:color w:val="000000"/>
        </w:rPr>
        <w:t xml:space="preserve"> minimum</w:t>
      </w:r>
      <w:r w:rsidRPr="00315647">
        <w:rPr>
          <w:color w:val="000000"/>
        </w:rPr>
        <w:t xml:space="preserve"> </w:t>
      </w:r>
      <w:proofErr w:type="spellStart"/>
      <w:r w:rsidRPr="00315647">
        <w:rPr>
          <w:color w:val="000000"/>
        </w:rPr>
        <w:t>rwg</w:t>
      </w:r>
      <w:proofErr w:type="spellEnd"/>
      <w:r w:rsidRPr="00315647">
        <w:rPr>
          <w:color w:val="000000"/>
        </w:rPr>
        <w:t xml:space="preserve"> </w:t>
      </w:r>
      <w:r w:rsidR="00ED61EB">
        <w:rPr>
          <w:color w:val="000000"/>
        </w:rPr>
        <w:t>index</w:t>
      </w:r>
      <w:r w:rsidR="00AA3B33">
        <w:rPr>
          <w:color w:val="000000"/>
        </w:rPr>
        <w:t xml:space="preserve"> of</w:t>
      </w:r>
      <w:r w:rsidRPr="00315647">
        <w:rPr>
          <w:color w:val="000000"/>
        </w:rPr>
        <w:t xml:space="preserve"> 0.945 </w:t>
      </w:r>
      <w:r w:rsidR="00AA3B33">
        <w:rPr>
          <w:color w:val="000000"/>
        </w:rPr>
        <w:t xml:space="preserve">and </w:t>
      </w:r>
      <w:r w:rsidR="006469BD">
        <w:rPr>
          <w:color w:val="000000"/>
        </w:rPr>
        <w:t xml:space="preserve">an </w:t>
      </w:r>
      <w:r w:rsidR="00AA3B33">
        <w:rPr>
          <w:color w:val="000000"/>
        </w:rPr>
        <w:t>average of</w:t>
      </w:r>
      <w:r w:rsidRPr="00315647">
        <w:rPr>
          <w:color w:val="000000"/>
        </w:rPr>
        <w:t xml:space="preserve"> 0.995, reinforcing our </w:t>
      </w:r>
      <w:r w:rsidR="00751408">
        <w:rPr>
          <w:color w:val="000000"/>
        </w:rPr>
        <w:t>plan</w:t>
      </w:r>
      <w:r w:rsidRPr="00315647">
        <w:rPr>
          <w:color w:val="000000"/>
        </w:rPr>
        <w:t xml:space="preserve"> to average these samples to derive a robust measure of search interest in animal welfare products. </w:t>
      </w:r>
      <w:r w:rsidR="0021709A" w:rsidRPr="002B68D4">
        <w:rPr>
          <w:color w:val="000000"/>
        </w:rPr>
        <w:t>Th</w:t>
      </w:r>
      <w:r w:rsidR="0021709A">
        <w:rPr>
          <w:color w:val="000000"/>
        </w:rPr>
        <w:t>e</w:t>
      </w:r>
      <w:r w:rsidR="0021709A" w:rsidRPr="002B68D4">
        <w:rPr>
          <w:color w:val="000000"/>
        </w:rPr>
        <w:t xml:space="preserve"> </w:t>
      </w:r>
      <w:r w:rsidR="0021709A">
        <w:rPr>
          <w:color w:val="000000"/>
        </w:rPr>
        <w:t xml:space="preserve">dependent </w:t>
      </w:r>
      <w:r w:rsidR="0021709A" w:rsidRPr="002B68D4">
        <w:rPr>
          <w:color w:val="000000"/>
        </w:rPr>
        <w:t>variable</w:t>
      </w:r>
      <w:r w:rsidR="0021709A">
        <w:rPr>
          <w:color w:val="000000"/>
        </w:rPr>
        <w:t xml:space="preserve"> we study</w:t>
      </w:r>
      <w:r w:rsidR="0021709A" w:rsidRPr="002B68D4">
        <w:rPr>
          <w:color w:val="000000"/>
        </w:rPr>
        <w:t xml:space="preserve">, therefore, represents the average search interest in animal welfare products across </w:t>
      </w:r>
      <w:r w:rsidR="0021709A">
        <w:rPr>
          <w:color w:val="000000"/>
        </w:rPr>
        <w:t xml:space="preserve">the </w:t>
      </w:r>
      <w:r w:rsidR="0021709A" w:rsidRPr="002B68D4">
        <w:rPr>
          <w:color w:val="000000"/>
        </w:rPr>
        <w:t>ten samples for each state and year.</w:t>
      </w:r>
    </w:p>
    <w:p w14:paraId="61A7CD4C" w14:textId="77777777" w:rsidR="002B68D4" w:rsidRPr="002B68D4" w:rsidRDefault="002B68D4" w:rsidP="002B68D4"/>
    <w:p w14:paraId="7D7BB59F" w14:textId="3ACD4A12" w:rsidR="002B68D4" w:rsidRPr="002B68D4" w:rsidRDefault="002B68D4" w:rsidP="002B68D4">
      <w:r w:rsidRPr="002B68D4">
        <w:rPr>
          <w:i/>
          <w:iCs/>
          <w:color w:val="000000"/>
        </w:rPr>
        <w:t>Income inequality</w:t>
      </w:r>
      <w:r w:rsidRPr="002B68D4">
        <w:rPr>
          <w:color w:val="000000"/>
        </w:rPr>
        <w:t xml:space="preserve">. We assess income inequality using the Gini index, a widely accepted measure of economic disparity. We obtained the Gini index values for each state from 2006 to </w:t>
      </w:r>
      <w:r w:rsidR="007A46FE" w:rsidRPr="002B68D4">
        <w:rPr>
          <w:color w:val="000000"/>
        </w:rPr>
        <w:t>20</w:t>
      </w:r>
      <w:r w:rsidR="007A46FE">
        <w:rPr>
          <w:color w:val="000000"/>
        </w:rPr>
        <w:t xml:space="preserve">22, </w:t>
      </w:r>
      <w:r w:rsidR="00D7347E">
        <w:rPr>
          <w:color w:val="000000"/>
        </w:rPr>
        <w:t>excluding</w:t>
      </w:r>
      <w:r w:rsidR="007A46FE">
        <w:rPr>
          <w:color w:val="000000"/>
        </w:rPr>
        <w:t xml:space="preserve"> 2020,</w:t>
      </w:r>
      <w:r w:rsidR="007A46FE" w:rsidRPr="002B68D4">
        <w:rPr>
          <w:color w:val="000000"/>
        </w:rPr>
        <w:t xml:space="preserve"> </w:t>
      </w:r>
      <w:r w:rsidRPr="002B68D4">
        <w:rPr>
          <w:color w:val="000000"/>
        </w:rPr>
        <w:t>using Social Explorer, a data resource that provides access to data from the ACS. The Gini index ranges from 1 to 100, with 1 representing perfect equality and 100 indicating maximal inequality.</w:t>
      </w:r>
    </w:p>
    <w:p w14:paraId="0DF38CE0" w14:textId="77777777" w:rsidR="002B68D4" w:rsidRPr="002B68D4" w:rsidRDefault="002B68D4" w:rsidP="002B68D4"/>
    <w:p w14:paraId="53702772" w14:textId="5985FA65" w:rsidR="002B68D4" w:rsidRPr="002B68D4" w:rsidRDefault="002B68D4" w:rsidP="002B68D4">
      <w:r w:rsidRPr="002B68D4">
        <w:rPr>
          <w:i/>
          <w:iCs/>
          <w:color w:val="000000"/>
        </w:rPr>
        <w:t>Covariates</w:t>
      </w:r>
      <w:r w:rsidRPr="002B68D4">
        <w:rPr>
          <w:color w:val="000000"/>
        </w:rPr>
        <w:t>. To enhance the robustness of our analysis, we incorporate six demographic and socioeconomic covariates we sourced from the one-year estimates of the American Community Survey (ACS)</w:t>
      </w:r>
      <w:r w:rsidR="00C7602D">
        <w:rPr>
          <w:color w:val="000000"/>
        </w:rPr>
        <w:t xml:space="preserve"> in the analysis</w:t>
      </w:r>
      <w:r w:rsidRPr="002B68D4">
        <w:rPr>
          <w:color w:val="000000"/>
        </w:rPr>
        <w:t xml:space="preserve">. These covariates include </w:t>
      </w:r>
      <w:r w:rsidRPr="002B68D4">
        <w:rPr>
          <w:i/>
          <w:iCs/>
          <w:color w:val="000000"/>
        </w:rPr>
        <w:t>age</w:t>
      </w:r>
      <w:r w:rsidRPr="002B68D4">
        <w:rPr>
          <w:color w:val="000000"/>
        </w:rPr>
        <w:t xml:space="preserve"> (the median age of a state’s inhabitants), </w:t>
      </w:r>
      <w:r w:rsidRPr="002B68D4">
        <w:rPr>
          <w:i/>
          <w:iCs/>
          <w:color w:val="000000"/>
        </w:rPr>
        <w:t>education</w:t>
      </w:r>
      <w:r w:rsidRPr="002B68D4">
        <w:rPr>
          <w:color w:val="000000"/>
        </w:rPr>
        <w:t xml:space="preserve"> (the percentage of a state that holds a bachelor's degree or higher), </w:t>
      </w:r>
      <w:r w:rsidRPr="002B68D4">
        <w:rPr>
          <w:i/>
          <w:iCs/>
          <w:color w:val="000000"/>
        </w:rPr>
        <w:t>gender</w:t>
      </w:r>
      <w:r w:rsidRPr="002B68D4">
        <w:rPr>
          <w:color w:val="000000"/>
        </w:rPr>
        <w:t xml:space="preserve"> (the percentage of a state that identifies as male), </w:t>
      </w:r>
      <w:r w:rsidRPr="002B68D4">
        <w:rPr>
          <w:i/>
          <w:iCs/>
          <w:color w:val="000000"/>
        </w:rPr>
        <w:t>race</w:t>
      </w:r>
      <w:r w:rsidRPr="002B68D4">
        <w:rPr>
          <w:color w:val="000000"/>
        </w:rPr>
        <w:t xml:space="preserve"> (the percentage of a state that identifies as white), </w:t>
      </w:r>
      <w:r w:rsidRPr="002B68D4">
        <w:rPr>
          <w:i/>
          <w:iCs/>
          <w:color w:val="000000"/>
        </w:rPr>
        <w:t>income</w:t>
      </w:r>
      <w:r w:rsidRPr="002B68D4">
        <w:rPr>
          <w:color w:val="000000"/>
        </w:rPr>
        <w:t xml:space="preserve"> (the average income of a state’s inhabitants, denoted in tens of thousands), and </w:t>
      </w:r>
      <w:r w:rsidRPr="002B68D4">
        <w:rPr>
          <w:i/>
          <w:iCs/>
          <w:color w:val="000000"/>
        </w:rPr>
        <w:t>population density</w:t>
      </w:r>
      <w:r w:rsidRPr="002B68D4">
        <w:rPr>
          <w:color w:val="000000"/>
        </w:rPr>
        <w:t xml:space="preserve"> (the number of inhabitants in a state per square mile, denoted in hundreds).</w:t>
      </w:r>
    </w:p>
    <w:p w14:paraId="10A6117D" w14:textId="77777777" w:rsidR="002B68D4" w:rsidRPr="002B68D4" w:rsidRDefault="002B68D4" w:rsidP="002B68D4"/>
    <w:p w14:paraId="4DF9B06A" w14:textId="742EC94C" w:rsidR="002B68D4" w:rsidRPr="002B68D4" w:rsidRDefault="000928D1" w:rsidP="002B68D4">
      <w:r>
        <w:rPr>
          <w:color w:val="000000"/>
        </w:rPr>
        <w:t>Each of</w:t>
      </w:r>
      <w:r w:rsidR="00C7602D">
        <w:rPr>
          <w:color w:val="000000"/>
        </w:rPr>
        <w:t xml:space="preserve"> these variables </w:t>
      </w:r>
      <w:r w:rsidR="00CA51CB">
        <w:rPr>
          <w:color w:val="000000"/>
        </w:rPr>
        <w:t>could</w:t>
      </w:r>
      <w:r w:rsidR="00A55C9B">
        <w:rPr>
          <w:color w:val="000000"/>
        </w:rPr>
        <w:t xml:space="preserve"> </w:t>
      </w:r>
      <w:r w:rsidR="002B68D4" w:rsidRPr="002B68D4">
        <w:rPr>
          <w:color w:val="000000"/>
        </w:rPr>
        <w:t>confound the relationship between income inequality and interest in animal welfare products. For instance, states with higher income inequality might also have higher average incomes, which could augment the demand for animal welfare products independently of income inequality. By including income as a separate variable in the analysis, we disentangle the effect of income inequality from absolute income levels. Incorporating these variables into the analysis allows us to isolate the specific effect of income inequality on interest in animal welfare products, enhancing the validity of the findings by minimizing the potential influences of confounding factors.</w:t>
      </w:r>
    </w:p>
    <w:p w14:paraId="7EF1C1B3" w14:textId="77777777" w:rsidR="002B68D4" w:rsidRPr="002B68D4" w:rsidRDefault="002B68D4" w:rsidP="002B68D4"/>
    <w:p w14:paraId="1BA0DF26" w14:textId="77777777" w:rsidR="002B68D4" w:rsidRPr="002B68D4" w:rsidRDefault="002B68D4" w:rsidP="002B68D4">
      <w:r w:rsidRPr="002B68D4">
        <w:rPr>
          <w:b/>
          <w:bCs/>
          <w:color w:val="000000"/>
        </w:rPr>
        <w:t>Method</w:t>
      </w:r>
    </w:p>
    <w:p w14:paraId="059D76AC" w14:textId="77777777" w:rsidR="002B68D4" w:rsidRPr="002B68D4" w:rsidRDefault="002B68D4" w:rsidP="002B68D4"/>
    <w:p w14:paraId="04DE4B00" w14:textId="3EB76093" w:rsidR="002B68D4" w:rsidRDefault="002B68D4" w:rsidP="002B68D4">
      <w:pPr>
        <w:rPr>
          <w:color w:val="000000"/>
        </w:rPr>
      </w:pPr>
      <w:r w:rsidRPr="002B68D4">
        <w:rPr>
          <w:color w:val="000000"/>
        </w:rPr>
        <w:lastRenderedPageBreak/>
        <w:t xml:space="preserve">Given the hierarchical structure of the data, as the observations are nested within states and years, we employed a linear mixed-effects model to analyze the relationship between income inequality and search interest in animal welfare products. This approach is designed to handle clustered data and account for the non-independence of observations within clusters, allowing us to use fixed effects to estimate the impact of income inequality and the control variables on search interest while controlling for random variation associated with </w:t>
      </w:r>
      <w:r w:rsidR="001B5404">
        <w:rPr>
          <w:color w:val="000000"/>
        </w:rPr>
        <w:t xml:space="preserve">the </w:t>
      </w:r>
      <w:r w:rsidRPr="002B68D4">
        <w:rPr>
          <w:color w:val="000000"/>
        </w:rPr>
        <w:t>states and years. Equation 1 represents the linear mixed-effects model we estimated:</w:t>
      </w:r>
    </w:p>
    <w:p w14:paraId="08CF6042" w14:textId="77777777" w:rsidR="00A550E1" w:rsidRDefault="00A550E1" w:rsidP="002B68D4">
      <w:pPr>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2125"/>
      </w:tblGrid>
      <w:tr w:rsidR="00A550E1" w14:paraId="23432DC6" w14:textId="77777777" w:rsidTr="008059B1">
        <w:tc>
          <w:tcPr>
            <w:tcW w:w="7225" w:type="dxa"/>
          </w:tcPr>
          <w:p w14:paraId="0A41F618" w14:textId="71E6F6C8" w:rsidR="00A550E1" w:rsidRDefault="00000000" w:rsidP="002B68D4">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01</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02</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m:rPr>
                    <m:sty m:val="p"/>
                  </m:rPr>
                  <w:rPr>
                    <w:rFonts w:ascii="Cambria Math" w:hAnsi="Cambria Math"/>
                  </w:rPr>
                  <m:t xml:space="preserve"> </m:t>
                </m:r>
              </m:oMath>
            </m:oMathPara>
          </w:p>
        </w:tc>
        <w:tc>
          <w:tcPr>
            <w:tcW w:w="2125" w:type="dxa"/>
          </w:tcPr>
          <w:p w14:paraId="1F8A9A03" w14:textId="78FEB185" w:rsidR="00A550E1" w:rsidRDefault="008059B1" w:rsidP="008059B1">
            <w:pPr>
              <w:jc w:val="center"/>
            </w:pPr>
            <w:r>
              <w:t>(1)</w:t>
            </w:r>
          </w:p>
        </w:tc>
      </w:tr>
    </w:tbl>
    <w:p w14:paraId="79E4D514" w14:textId="77777777" w:rsidR="002B68D4" w:rsidRPr="002B68D4" w:rsidRDefault="002B68D4" w:rsidP="002B68D4"/>
    <w:p w14:paraId="5ACF644A" w14:textId="60D6B63A" w:rsidR="002B68D4" w:rsidRPr="002B68D4" w:rsidRDefault="002B68D4" w:rsidP="002B68D4">
      <w:r w:rsidRPr="002B68D4">
        <w:rPr>
          <w:color w:val="000000"/>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2B68D4">
        <w:rPr>
          <w:color w:val="000000"/>
        </w:rPr>
        <w:t xml:space="preserve"> is the search interest for state </w:t>
      </w:r>
      <w:proofErr w:type="spellStart"/>
      <w:r w:rsidRPr="002B68D4">
        <w:rPr>
          <w:color w:val="000000"/>
        </w:rPr>
        <w:t>i</w:t>
      </w:r>
      <w:proofErr w:type="spellEnd"/>
      <w:r w:rsidRPr="002B68D4">
        <w:rPr>
          <w:color w:val="000000"/>
        </w:rPr>
        <w:t xml:space="preserve"> in year j, </w:t>
      </w:r>
      <m:oMath>
        <m:sSub>
          <m:sSubPr>
            <m:ctrlPr>
              <w:rPr>
                <w:rFonts w:ascii="Cambria Math" w:hAnsi="Cambria Math"/>
                <w:i/>
              </w:rPr>
            </m:ctrlPr>
          </m:sSubPr>
          <m:e>
            <m:r>
              <w:rPr>
                <w:rFonts w:ascii="Cambria Math" w:hAnsi="Cambria Math"/>
              </w:rPr>
              <m:t>γ</m:t>
            </m:r>
          </m:e>
          <m:sub>
            <m:r>
              <w:rPr>
                <w:rFonts w:ascii="Cambria Math" w:hAnsi="Cambria Math"/>
              </w:rPr>
              <m:t>00</m:t>
            </m:r>
          </m:sub>
        </m:sSub>
      </m:oMath>
      <w:r w:rsidRPr="002B68D4">
        <w:rPr>
          <w:color w:val="000000"/>
        </w:rPr>
        <w:t xml:space="preserve"> is the </w:t>
      </w:r>
      <w:r w:rsidR="00744C11">
        <w:rPr>
          <w:color w:val="000000"/>
        </w:rPr>
        <w:t xml:space="preserve">overall </w:t>
      </w:r>
      <w:r w:rsidRPr="002B68D4">
        <w:rPr>
          <w:color w:val="000000"/>
        </w:rPr>
        <w:t>intercept,</w:t>
      </w:r>
      <w:r w:rsidR="00744C11">
        <w:rPr>
          <w:color w:val="000000"/>
        </w:rPr>
        <w:t xml:space="preserve"> </w:t>
      </w:r>
      <m:oMath>
        <m:sSub>
          <m:sSubPr>
            <m:ctrlPr>
              <w:rPr>
                <w:rFonts w:ascii="Cambria Math" w:hAnsi="Cambria Math"/>
                <w:i/>
              </w:rPr>
            </m:ctrlPr>
          </m:sSubPr>
          <m:e>
            <m:r>
              <w:rPr>
                <w:rFonts w:ascii="Cambria Math" w:hAnsi="Cambria Math"/>
              </w:rPr>
              <m:t>γ</m:t>
            </m:r>
          </m:e>
          <m:sub>
            <m:r>
              <w:rPr>
                <w:rFonts w:ascii="Cambria Math" w:hAnsi="Cambria Math"/>
              </w:rPr>
              <m:t>01</m:t>
            </m:r>
          </m:sub>
        </m:sSub>
      </m:oMath>
      <w:r w:rsidR="00744C11">
        <w:t xml:space="preserve"> </w:t>
      </w:r>
      <w:r w:rsidRPr="002B68D4">
        <w:rPr>
          <w:color w:val="000000"/>
        </w:rPr>
        <w:t>and</w:t>
      </w:r>
      <w:r w:rsidR="00744C11">
        <w:rPr>
          <w:color w:val="000000"/>
        </w:rPr>
        <w:t xml:space="preserve"> </w:t>
      </w:r>
      <m:oMath>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02</m:t>
            </m:r>
          </m:sub>
        </m:sSub>
      </m:oMath>
      <w:r w:rsidR="00744C11">
        <w:rPr>
          <w:color w:val="000000"/>
        </w:rPr>
        <w:t xml:space="preserve"> a</w:t>
      </w:r>
      <w:r w:rsidRPr="002B68D4">
        <w:rPr>
          <w:color w:val="000000"/>
        </w:rPr>
        <w:t xml:space="preserve">re the fixed effects coefficients for income inequality and the vector of control variables (i.e., age, education, gender, race, income, and population density), </w:t>
      </w:r>
      <m:oMath>
        <m:sSub>
          <m:sSubPr>
            <m:ctrlPr>
              <w:rPr>
                <w:rFonts w:ascii="Cambria Math" w:hAnsi="Cambria Math"/>
                <w:i/>
              </w:rPr>
            </m:ctrlPr>
          </m:sSubPr>
          <m:e>
            <m:r>
              <w:rPr>
                <w:rFonts w:ascii="Cambria Math" w:hAnsi="Cambria Math"/>
              </w:rPr>
              <m:t>u</m:t>
            </m:r>
          </m:e>
          <m:sub>
            <m:r>
              <w:rPr>
                <w:rFonts w:ascii="Cambria Math" w:hAnsi="Cambria Math"/>
              </w:rPr>
              <m:t>0i</m:t>
            </m:r>
          </m:sub>
        </m:sSub>
      </m:oMath>
      <w:r w:rsidRPr="002B68D4">
        <w:rPr>
          <w:color w:val="000000"/>
        </w:rPr>
        <w:t xml:space="preserve"> is the random effect for state </w:t>
      </w:r>
      <w:proofErr w:type="spellStart"/>
      <w:r w:rsidRPr="002B68D4">
        <w:rPr>
          <w:color w:val="000000"/>
        </w:rPr>
        <w:t>i</w:t>
      </w:r>
      <w:proofErr w:type="spellEnd"/>
      <w:r w:rsidRPr="002B68D4">
        <w:rPr>
          <w:color w:val="000000"/>
        </w:rPr>
        <w:t xml:space="preserve">, </w:t>
      </w:r>
      <m:oMath>
        <m:sSub>
          <m:sSubPr>
            <m:ctrlPr>
              <w:rPr>
                <w:rFonts w:ascii="Cambria Math" w:hAnsi="Cambria Math"/>
                <w:i/>
              </w:rPr>
            </m:ctrlPr>
          </m:sSubPr>
          <m:e>
            <m:r>
              <w:rPr>
                <w:rFonts w:ascii="Cambria Math" w:hAnsi="Cambria Math"/>
              </w:rPr>
              <m:t>v</m:t>
            </m:r>
          </m:e>
          <m:sub>
            <m:r>
              <w:rPr>
                <w:rFonts w:ascii="Cambria Math" w:hAnsi="Cambria Math"/>
              </w:rPr>
              <m:t>0j</m:t>
            </m:r>
          </m:sub>
        </m:sSub>
      </m:oMath>
      <w:r w:rsidRPr="002B68D4">
        <w:rPr>
          <w:color w:val="000000"/>
        </w:rPr>
        <w:t xml:space="preserve"> is the random effect for year j, and </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Pr="002B68D4">
        <w:rPr>
          <w:color w:val="000000"/>
        </w:rPr>
        <w:t xml:space="preserve"> is a random error term.</w:t>
      </w:r>
    </w:p>
    <w:p w14:paraId="614746D1" w14:textId="77777777" w:rsidR="002B68D4" w:rsidRPr="002B68D4" w:rsidRDefault="002B68D4" w:rsidP="002B68D4"/>
    <w:p w14:paraId="698640A7" w14:textId="77777777" w:rsidR="00286BAC" w:rsidRDefault="002B68D4" w:rsidP="002B68D4">
      <w:pPr>
        <w:rPr>
          <w:color w:val="000000"/>
        </w:rPr>
      </w:pPr>
      <w:r w:rsidRPr="002B68D4">
        <w:rPr>
          <w:color w:val="000000"/>
        </w:rPr>
        <w:t xml:space="preserve">Following the approach recommended by </w:t>
      </w:r>
      <w:proofErr w:type="spellStart"/>
      <w:r w:rsidRPr="002B68D4">
        <w:rPr>
          <w:color w:val="000000"/>
        </w:rPr>
        <w:t>Hamaker</w:t>
      </w:r>
      <w:proofErr w:type="spellEnd"/>
      <w:r w:rsidRPr="002B68D4">
        <w:rPr>
          <w:color w:val="000000"/>
        </w:rPr>
        <w:t xml:space="preserve"> and </w:t>
      </w:r>
      <w:proofErr w:type="spellStart"/>
      <w:r w:rsidRPr="002B68D4">
        <w:rPr>
          <w:color w:val="000000"/>
        </w:rPr>
        <w:t>Muthén</w:t>
      </w:r>
      <w:proofErr w:type="spellEnd"/>
      <w:r w:rsidRPr="002B68D4">
        <w:rPr>
          <w:color w:val="000000"/>
        </w:rPr>
        <w:t xml:space="preserve"> (2020), we used cluster-mean centering for income inequality and the control variables. The within-state and within-year centered predictors represent deviations from the state and year averages, capturing the data's temporal fluctuations and spatial heterogeneity. This approach enables interpreting the </w:t>
      </w:r>
      <w:r w:rsidR="005C657C">
        <w:rPr>
          <w:color w:val="000000"/>
        </w:rPr>
        <w:t xml:space="preserve">model’s </w:t>
      </w:r>
      <w:r w:rsidRPr="002B68D4">
        <w:rPr>
          <w:color w:val="000000"/>
        </w:rPr>
        <w:t>coefficients as within-cluster relationships between the predictors and the search interest in animal welfare products.</w:t>
      </w:r>
      <w:r w:rsidR="00864760">
        <w:rPr>
          <w:color w:val="000000"/>
        </w:rPr>
        <w:t xml:space="preserve"> </w:t>
      </w:r>
    </w:p>
    <w:p w14:paraId="5206C7A7" w14:textId="77777777" w:rsidR="00286BAC" w:rsidRDefault="00286BAC" w:rsidP="002B68D4">
      <w:pPr>
        <w:rPr>
          <w:color w:val="000000"/>
        </w:rPr>
      </w:pPr>
    </w:p>
    <w:p w14:paraId="0674BB43" w14:textId="18CAB4D1" w:rsidR="002B68D4" w:rsidRPr="002B68D4" w:rsidRDefault="00286BAC" w:rsidP="002B68D4">
      <w:r w:rsidRPr="00286BAC">
        <w:rPr>
          <w:color w:val="000000"/>
        </w:rPr>
        <w:t xml:space="preserve">Table </w:t>
      </w:r>
      <w:r w:rsidR="00E43671">
        <w:rPr>
          <w:color w:val="000000"/>
        </w:rPr>
        <w:t>1</w:t>
      </w:r>
      <w:r w:rsidR="00E43671" w:rsidRPr="00286BAC">
        <w:rPr>
          <w:color w:val="000000"/>
        </w:rPr>
        <w:t xml:space="preserve"> </w:t>
      </w:r>
      <w:r w:rsidRPr="00286BAC">
        <w:rPr>
          <w:color w:val="000000"/>
        </w:rPr>
        <w:t xml:space="preserve">presents the untransformed means and standard deviations of the variables, </w:t>
      </w:r>
      <w:r>
        <w:rPr>
          <w:color w:val="000000"/>
        </w:rPr>
        <w:t>and</w:t>
      </w:r>
      <w:r w:rsidRPr="00286BAC">
        <w:rPr>
          <w:color w:val="000000"/>
        </w:rPr>
        <w:t xml:space="preserve"> the correlations among the cluster-mean centered versions of these variables, offering an overview of the primary characteristics and interrelationships of the variables involved in </w:t>
      </w:r>
      <w:r w:rsidR="00AE2752">
        <w:rPr>
          <w:color w:val="000000"/>
        </w:rPr>
        <w:t>the</w:t>
      </w:r>
      <w:r w:rsidRPr="00286BAC">
        <w:rPr>
          <w:color w:val="000000"/>
        </w:rPr>
        <w:t xml:space="preserve"> analysis.</w:t>
      </w:r>
      <w:r w:rsidR="00864760">
        <w:rPr>
          <w:color w:val="000000"/>
        </w:rPr>
        <w:t xml:space="preserve"> </w:t>
      </w:r>
    </w:p>
    <w:p w14:paraId="4740AC11" w14:textId="77777777" w:rsidR="002B68D4" w:rsidRDefault="002B68D4" w:rsidP="002B68D4"/>
    <w:p w14:paraId="2CA2D60F" w14:textId="66B6B49B" w:rsidR="002446FF" w:rsidRPr="002446FF" w:rsidRDefault="0095419A" w:rsidP="002B68D4">
      <w:pPr>
        <w:rPr>
          <w:b/>
          <w:bCs/>
        </w:rPr>
      </w:pPr>
      <w:r>
        <w:rPr>
          <w:b/>
          <w:bCs/>
        </w:rPr>
        <w:t xml:space="preserve">Main </w:t>
      </w:r>
      <w:r w:rsidR="002446FF" w:rsidRPr="002446FF">
        <w:rPr>
          <w:b/>
          <w:bCs/>
        </w:rPr>
        <w:t>Results</w:t>
      </w:r>
    </w:p>
    <w:p w14:paraId="10D40DCA" w14:textId="77777777" w:rsidR="002446FF" w:rsidRDefault="002446FF" w:rsidP="002B68D4"/>
    <w:p w14:paraId="47DF0EAA" w14:textId="55F6E592" w:rsidR="0083754D" w:rsidRDefault="0083754D" w:rsidP="0083754D">
      <w:r>
        <w:t xml:space="preserve">The results of the analysis are presented in Table </w:t>
      </w:r>
      <w:r w:rsidR="007A42F7">
        <w:t xml:space="preserve">2. </w:t>
      </w:r>
      <w:bookmarkStart w:id="13" w:name="OLE_LINK22"/>
      <w:bookmarkStart w:id="14" w:name="OLE_LINK23"/>
      <w:r w:rsidR="0044730D">
        <w:t xml:space="preserve">Aligning with our prediction, </w:t>
      </w:r>
      <w:r>
        <w:t xml:space="preserve">Model 1 </w:t>
      </w:r>
      <w:r w:rsidR="0067448D">
        <w:t>shows</w:t>
      </w:r>
      <w:r>
        <w:t xml:space="preserve"> a significant negative association between income inequality and search interest in animal welfare</w:t>
      </w:r>
      <w:r w:rsidR="0033408C">
        <w:t xml:space="preserve"> products</w:t>
      </w:r>
      <w:r>
        <w:t xml:space="preserve"> (</w:t>
      </w:r>
      <m:oMath>
        <m:sSub>
          <m:sSubPr>
            <m:ctrlPr>
              <w:rPr>
                <w:rFonts w:ascii="Cambria Math" w:hAnsi="Cambria Math"/>
                <w:i/>
              </w:rPr>
            </m:ctrlPr>
          </m:sSubPr>
          <m:e>
            <m:r>
              <w:rPr>
                <w:rFonts w:ascii="Cambria Math" w:hAnsi="Cambria Math"/>
              </w:rPr>
              <m:t>γ</m:t>
            </m:r>
          </m:e>
          <m:sub>
            <m:r>
              <w:rPr>
                <w:rFonts w:ascii="Cambria Math" w:hAnsi="Cambria Math"/>
              </w:rPr>
              <m:t>01</m:t>
            </m:r>
          </m:sub>
        </m:sSub>
      </m:oMath>
      <w:r w:rsidR="00D91ED1">
        <w:t xml:space="preserve"> </w:t>
      </w:r>
      <w:r>
        <w:t xml:space="preserve">= </w:t>
      </w:r>
      <w:r w:rsidR="00310500">
        <w:t>-1.53</w:t>
      </w:r>
      <w:r>
        <w:t xml:space="preserve">, SE = </w:t>
      </w:r>
      <w:r w:rsidR="00310500">
        <w:t>0.37</w:t>
      </w:r>
      <w:r>
        <w:t xml:space="preserve">, </w:t>
      </w:r>
      <w:r w:rsidRPr="00D91ED1">
        <w:rPr>
          <w:i/>
          <w:iCs/>
        </w:rPr>
        <w:t>p</w:t>
      </w:r>
      <w:r>
        <w:t xml:space="preserve"> </w:t>
      </w:r>
      <w:r w:rsidR="00DE4D31">
        <w:t>=</w:t>
      </w:r>
      <w:r w:rsidR="00C55BFE">
        <w:t xml:space="preserve"> </w:t>
      </w:r>
      <w:r w:rsidR="00DE4D31">
        <w:t>3.96e</w:t>
      </w:r>
      <w:r w:rsidR="003E0362">
        <w:t>-</w:t>
      </w:r>
      <w:r w:rsidR="00DE4D31">
        <w:t>05</w:t>
      </w:r>
      <w:r>
        <w:t xml:space="preserve">). Model 2 </w:t>
      </w:r>
      <w:r w:rsidR="007C0D87">
        <w:t>illustrates</w:t>
      </w:r>
      <w:r w:rsidR="0033408C">
        <w:t xml:space="preserve"> that </w:t>
      </w:r>
      <w:r w:rsidR="004D0FAF">
        <w:t>this</w:t>
      </w:r>
      <w:r>
        <w:t xml:space="preserve"> relationship persiste</w:t>
      </w:r>
      <w:r w:rsidR="007C0D87">
        <w:t>d</w:t>
      </w:r>
      <w:r>
        <w:t xml:space="preserve"> and became more pronounced</w:t>
      </w:r>
      <w:r w:rsidR="0067448D">
        <w:t xml:space="preserve"> </w:t>
      </w:r>
      <w:r w:rsidR="00CE248C">
        <w:t>when we added</w:t>
      </w:r>
      <w:r w:rsidR="007C0D87">
        <w:t xml:space="preserve"> the</w:t>
      </w:r>
      <w:r w:rsidR="0067448D">
        <w:t xml:space="preserve"> control</w:t>
      </w:r>
      <w:r w:rsidR="007C0D87">
        <w:t>s</w:t>
      </w:r>
      <w:r w:rsidR="0067448D">
        <w:t xml:space="preserve"> </w:t>
      </w:r>
      <w:r w:rsidR="00CE248C">
        <w:t>into</w:t>
      </w:r>
      <w:r w:rsidR="007C0D87">
        <w:t xml:space="preserve"> the model</w:t>
      </w:r>
      <w:r w:rsidR="0067448D">
        <w:t xml:space="preserve"> </w:t>
      </w:r>
      <w:r>
        <w:t>(</w:t>
      </w:r>
      <m:oMath>
        <m:sSub>
          <m:sSubPr>
            <m:ctrlPr>
              <w:rPr>
                <w:rFonts w:ascii="Cambria Math" w:hAnsi="Cambria Math"/>
                <w:i/>
              </w:rPr>
            </m:ctrlPr>
          </m:sSubPr>
          <m:e>
            <m:r>
              <w:rPr>
                <w:rFonts w:ascii="Cambria Math" w:hAnsi="Cambria Math"/>
              </w:rPr>
              <m:t>γ</m:t>
            </m:r>
          </m:e>
          <m:sub>
            <m:r>
              <w:rPr>
                <w:rFonts w:ascii="Cambria Math" w:hAnsi="Cambria Math"/>
              </w:rPr>
              <m:t>01</m:t>
            </m:r>
          </m:sub>
        </m:sSub>
      </m:oMath>
      <w:r>
        <w:t xml:space="preserve"> = </w:t>
      </w:r>
      <w:r w:rsidR="003C6F2B">
        <w:t>-1.43</w:t>
      </w:r>
      <w:r>
        <w:t xml:space="preserve">, SE = </w:t>
      </w:r>
      <w:r w:rsidR="003C6F2B">
        <w:t>0.37</w:t>
      </w:r>
      <w:r>
        <w:t xml:space="preserve">, p </w:t>
      </w:r>
      <w:r w:rsidR="00075562">
        <w:t xml:space="preserve">= </w:t>
      </w:r>
      <w:r w:rsidR="003E0362" w:rsidRPr="003E0362">
        <w:t>1.27e</w:t>
      </w:r>
      <w:r w:rsidR="003E0362">
        <w:t>-</w:t>
      </w:r>
      <w:r w:rsidR="003E0362" w:rsidRPr="003E0362">
        <w:t>04</w:t>
      </w:r>
      <w:r>
        <w:t>)</w:t>
      </w:r>
      <w:r w:rsidR="00DA72E0">
        <w:t>,</w:t>
      </w:r>
      <w:r>
        <w:t xml:space="preserve"> suggest</w:t>
      </w:r>
      <w:r w:rsidR="00DA72E0">
        <w:t>ing</w:t>
      </w:r>
      <w:r>
        <w:t xml:space="preserve"> that an increase in income inequality may </w:t>
      </w:r>
      <w:r w:rsidR="009A45B7">
        <w:t xml:space="preserve">indeed </w:t>
      </w:r>
      <w:r>
        <w:t>be correlated with a decrease in the public’s interest in animal welfare products.</w:t>
      </w:r>
      <w:bookmarkEnd w:id="13"/>
      <w:bookmarkEnd w:id="14"/>
    </w:p>
    <w:p w14:paraId="53427B0D" w14:textId="77777777" w:rsidR="0083754D" w:rsidRDefault="0083754D" w:rsidP="0083754D"/>
    <w:p w14:paraId="125439E6" w14:textId="203BCC86" w:rsidR="002D212F" w:rsidRDefault="0083754D" w:rsidP="0083754D">
      <w:bookmarkStart w:id="15" w:name="OLE_LINK24"/>
      <w:bookmarkStart w:id="16" w:name="OLE_LINK25"/>
      <w:r>
        <w:t xml:space="preserve">Regarding the control variables, </w:t>
      </w:r>
      <w:r w:rsidR="005D1FE8">
        <w:t xml:space="preserve">two </w:t>
      </w:r>
      <w:r>
        <w:t xml:space="preserve">demographic factors proved to be significant. </w:t>
      </w:r>
      <w:r w:rsidR="00103047">
        <w:t>G</w:t>
      </w:r>
      <w:r>
        <w:t>ender displayed a negative relationship with search interest (</w:t>
      </w:r>
      <m:oMath>
        <m:sSub>
          <m:sSubPr>
            <m:ctrlPr>
              <w:rPr>
                <w:rFonts w:ascii="Cambria Math" w:hAnsi="Cambria Math"/>
                <w:i/>
              </w:rPr>
            </m:ctrlPr>
          </m:sSubPr>
          <m:e>
            <m:r>
              <w:rPr>
                <w:rFonts w:ascii="Cambria Math" w:hAnsi="Cambria Math"/>
              </w:rPr>
              <m:t>γ</m:t>
            </m:r>
          </m:e>
          <m:sub>
            <m:r>
              <w:rPr>
                <w:rFonts w:ascii="Cambria Math" w:hAnsi="Cambria Math"/>
              </w:rPr>
              <m:t>04</m:t>
            </m:r>
          </m:sub>
        </m:sSub>
      </m:oMath>
      <w:r>
        <w:t xml:space="preserve"> = </w:t>
      </w:r>
      <w:r w:rsidR="00A04C46">
        <w:t>-8</w:t>
      </w:r>
      <w:r w:rsidR="00A23764">
        <w:t>.27</w:t>
      </w:r>
      <w:r>
        <w:t xml:space="preserve">, </w:t>
      </w:r>
      <w:r w:rsidR="00040765">
        <w:t>SE =</w:t>
      </w:r>
      <w:r w:rsidR="007C518F">
        <w:t xml:space="preserve"> 1.</w:t>
      </w:r>
      <w:r w:rsidR="003732DC">
        <w:t>31</w:t>
      </w:r>
      <w:r w:rsidR="007C518F">
        <w:t xml:space="preserve">, </w:t>
      </w:r>
      <w:r w:rsidRPr="00BE694D">
        <w:rPr>
          <w:i/>
          <w:iCs/>
        </w:rPr>
        <w:t>p</w:t>
      </w:r>
      <w:r>
        <w:t xml:space="preserve"> </w:t>
      </w:r>
      <w:r w:rsidR="001D70CD">
        <w:t xml:space="preserve">= </w:t>
      </w:r>
      <w:r w:rsidR="001D70CD" w:rsidRPr="001D70CD">
        <w:t>4.12e-10</w:t>
      </w:r>
      <w:r>
        <w:t>), suggesting that states with higher proportions of males have lower search interest</w:t>
      </w:r>
      <w:r w:rsidR="0034776C">
        <w:t xml:space="preserve"> in animal welfare products</w:t>
      </w:r>
      <w:r>
        <w:t xml:space="preserve">. </w:t>
      </w:r>
      <w:r w:rsidR="00103047">
        <w:t>By contrast</w:t>
      </w:r>
      <w:r>
        <w:t>, income w</w:t>
      </w:r>
      <w:r w:rsidR="00452DF0">
        <w:t>as</w:t>
      </w:r>
      <w:r>
        <w:t xml:space="preserve"> found to have a positive </w:t>
      </w:r>
      <w:r w:rsidR="00BE694D">
        <w:t xml:space="preserve">effect on search interest in animal welfare </w:t>
      </w:r>
      <w:r>
        <w:t>(</w:t>
      </w:r>
      <m:oMath>
        <m:sSub>
          <m:sSubPr>
            <m:ctrlPr>
              <w:rPr>
                <w:rFonts w:ascii="Cambria Math" w:hAnsi="Cambria Math"/>
                <w:i/>
              </w:rPr>
            </m:ctrlPr>
          </m:sSubPr>
          <m:e>
            <m:r>
              <w:rPr>
                <w:rFonts w:ascii="Cambria Math" w:hAnsi="Cambria Math"/>
              </w:rPr>
              <m:t>γ</m:t>
            </m:r>
          </m:e>
          <m:sub>
            <m:r>
              <w:rPr>
                <w:rFonts w:ascii="Cambria Math" w:hAnsi="Cambria Math"/>
              </w:rPr>
              <m:t>06</m:t>
            </m:r>
          </m:sub>
        </m:sSub>
      </m:oMath>
      <w:r w:rsidR="00BE694D">
        <w:t xml:space="preserve"> </w:t>
      </w:r>
      <w:r>
        <w:t xml:space="preserve">= </w:t>
      </w:r>
      <w:r w:rsidR="009A2A6B">
        <w:t>6.01</w:t>
      </w:r>
      <w:r>
        <w:t xml:space="preserve">, </w:t>
      </w:r>
      <w:r w:rsidR="00BE694D">
        <w:t xml:space="preserve">SE = </w:t>
      </w:r>
      <w:r w:rsidR="00B90F3D">
        <w:t>0.86</w:t>
      </w:r>
      <w:r w:rsidR="00BE694D">
        <w:t xml:space="preserve">, </w:t>
      </w:r>
      <w:r w:rsidRPr="00BE694D">
        <w:rPr>
          <w:i/>
          <w:iCs/>
        </w:rPr>
        <w:t>p</w:t>
      </w:r>
      <w:r>
        <w:t xml:space="preserve"> </w:t>
      </w:r>
      <w:r w:rsidR="001D70CD">
        <w:t>=</w:t>
      </w:r>
      <w:r>
        <w:t xml:space="preserve"> </w:t>
      </w:r>
      <w:r w:rsidR="001D70CD" w:rsidRPr="001D70CD">
        <w:t>7.95e-12</w:t>
      </w:r>
      <w:r w:rsidR="003B737E">
        <w:t>)</w:t>
      </w:r>
      <w:r>
        <w:t>.</w:t>
      </w:r>
    </w:p>
    <w:bookmarkEnd w:id="15"/>
    <w:bookmarkEnd w:id="16"/>
    <w:p w14:paraId="5A47DAEF" w14:textId="77777777" w:rsidR="0083754D" w:rsidRDefault="0083754D" w:rsidP="0083754D"/>
    <w:p w14:paraId="22D84E89" w14:textId="1BE21A3B" w:rsidR="002E4D17" w:rsidRDefault="00BB217D" w:rsidP="002E4D17">
      <w:r w:rsidRPr="00BB217D">
        <w:t xml:space="preserve">In </w:t>
      </w:r>
      <w:r>
        <w:t>summary</w:t>
      </w:r>
      <w:r w:rsidRPr="00BB217D">
        <w:t xml:space="preserve">, </w:t>
      </w:r>
      <w:bookmarkStart w:id="17" w:name="OLE_LINK20"/>
      <w:bookmarkStart w:id="18" w:name="OLE_LINK21"/>
      <w:r w:rsidRPr="00BB217D">
        <w:t xml:space="preserve">the results lend empirical support to the proposition that income inequality may exert an independent influence on public interest in animal welfare products, even when accounting for pertinent demographic </w:t>
      </w:r>
      <w:r w:rsidR="00AE2A8B">
        <w:t>variables</w:t>
      </w:r>
      <w:r w:rsidRPr="00BB217D">
        <w:t>. This finding underscores the potential significance of socio-economic disparities in shaping consumer behaviors and attitudes toward animal welfare products</w:t>
      </w:r>
      <w:bookmarkEnd w:id="17"/>
      <w:bookmarkEnd w:id="18"/>
      <w:r w:rsidRPr="00BB217D">
        <w:t>.</w:t>
      </w:r>
    </w:p>
    <w:p w14:paraId="7E47E2F0" w14:textId="77777777" w:rsidR="00947CFA" w:rsidRDefault="00947CFA" w:rsidP="002E4D17"/>
    <w:p w14:paraId="14CED29D" w14:textId="450125F7" w:rsidR="00947CFA" w:rsidRPr="00947CFA" w:rsidRDefault="00947CFA" w:rsidP="002E4D17">
      <w:pPr>
        <w:rPr>
          <w:b/>
          <w:bCs/>
        </w:rPr>
      </w:pPr>
      <w:r w:rsidRPr="00947CFA">
        <w:rPr>
          <w:b/>
          <w:bCs/>
        </w:rPr>
        <w:t>Supplementary Analysis</w:t>
      </w:r>
    </w:p>
    <w:p w14:paraId="7839BCAD" w14:textId="77777777" w:rsidR="00042189" w:rsidRDefault="00042189" w:rsidP="002B68D4"/>
    <w:p w14:paraId="7EAB0E18" w14:textId="4A1BC5A3" w:rsidR="000B0DB2" w:rsidRDefault="000B0DB2" w:rsidP="000B0DB2">
      <w:r>
        <w:t>To better understand the nuances of the relationship between income inequality and search interest in different animal welfare</w:t>
      </w:r>
      <w:r w:rsidR="007C37FB">
        <w:t xml:space="preserve"> products</w:t>
      </w:r>
      <w:r>
        <w:t xml:space="preserve">, we segmented </w:t>
      </w:r>
      <w:r w:rsidR="008B5755">
        <w:t>the</w:t>
      </w:r>
      <w:r>
        <w:t xml:space="preserve"> </w:t>
      </w:r>
      <w:r w:rsidR="008B5755">
        <w:t>Google Trends</w:t>
      </w:r>
      <w:r>
        <w:t xml:space="preserve"> index </w:t>
      </w:r>
      <w:r w:rsidR="00D61DF3">
        <w:t>from</w:t>
      </w:r>
      <w:r w:rsidR="008B5755">
        <w:t xml:space="preserve"> the main analysis </w:t>
      </w:r>
      <w:r>
        <w:t xml:space="preserve">into three </w:t>
      </w:r>
      <w:r w:rsidR="007C37FB">
        <w:t xml:space="preserve">product </w:t>
      </w:r>
      <w:r>
        <w:t>categories:</w:t>
      </w:r>
    </w:p>
    <w:p w14:paraId="0348AB67" w14:textId="77777777" w:rsidR="000B0DB2" w:rsidRDefault="000B0DB2" w:rsidP="000B0DB2"/>
    <w:p w14:paraId="16B01C3C" w14:textId="4A1B836E" w:rsidR="00106EBF" w:rsidRDefault="00791EF9" w:rsidP="000B0DB2">
      <w:pPr>
        <w:pStyle w:val="ListParagraph"/>
        <w:numPr>
          <w:ilvl w:val="0"/>
          <w:numId w:val="2"/>
        </w:numPr>
      </w:pPr>
      <w:r>
        <w:t>A</w:t>
      </w:r>
      <w:r w:rsidR="0075621A">
        <w:t xml:space="preserve">nimal welfare </w:t>
      </w:r>
      <w:r w:rsidR="000B0DB2">
        <w:t>products</w:t>
      </w:r>
      <w:r w:rsidR="00CD3C8D">
        <w:t xml:space="preserve"> without animal ingredients</w:t>
      </w:r>
      <w:r w:rsidR="000B0DB2">
        <w:t>, represented by the keywords: vegan, vegetarian, dairy free.</w:t>
      </w:r>
    </w:p>
    <w:p w14:paraId="3E1658C5" w14:textId="467F2D8E" w:rsidR="00106EBF" w:rsidRDefault="00791EF9" w:rsidP="000B0DB2">
      <w:pPr>
        <w:pStyle w:val="ListParagraph"/>
        <w:numPr>
          <w:ilvl w:val="0"/>
          <w:numId w:val="2"/>
        </w:numPr>
      </w:pPr>
      <w:r>
        <w:t>A</w:t>
      </w:r>
      <w:r w:rsidR="0075621A">
        <w:t xml:space="preserve">nimal welfare </w:t>
      </w:r>
      <w:r w:rsidR="000B0DB2">
        <w:t xml:space="preserve">products </w:t>
      </w:r>
      <w:r w:rsidR="00E779BA">
        <w:t>not tested on animals</w:t>
      </w:r>
      <w:r w:rsidR="000B0DB2">
        <w:t>, represented by the keywords: animal testing, cruelty free.</w:t>
      </w:r>
    </w:p>
    <w:p w14:paraId="50C263AF" w14:textId="7744A9B3" w:rsidR="000B0DB2" w:rsidRDefault="00791EF9" w:rsidP="000B0DB2">
      <w:pPr>
        <w:pStyle w:val="ListParagraph"/>
        <w:numPr>
          <w:ilvl w:val="0"/>
          <w:numId w:val="2"/>
        </w:numPr>
      </w:pPr>
      <w:r>
        <w:t>Animal welfare</w:t>
      </w:r>
      <w:r w:rsidR="000B0DB2">
        <w:t xml:space="preserve"> products derived from humanely treated animals, represented by the keywords: grass fed, free range, cage free.</w:t>
      </w:r>
    </w:p>
    <w:p w14:paraId="4B4EFB23" w14:textId="77777777" w:rsidR="00106EBF" w:rsidRDefault="00106EBF" w:rsidP="000B0DB2"/>
    <w:p w14:paraId="3A8EB327" w14:textId="7B16B9FE" w:rsidR="006863DD" w:rsidRDefault="000B0DB2" w:rsidP="000B0DB2">
      <w:r>
        <w:t xml:space="preserve">We collected Google Trends data for each subset of keywords and </w:t>
      </w:r>
      <w:r w:rsidR="00507BDD">
        <w:t>re</w:t>
      </w:r>
      <w:r>
        <w:t xml:space="preserve">conducted </w:t>
      </w:r>
      <w:r w:rsidR="00507BDD">
        <w:t>the</w:t>
      </w:r>
      <w:r>
        <w:t xml:space="preserve"> analysis, maintaining the same methodology. This</w:t>
      </w:r>
      <w:r w:rsidR="00C72F73">
        <w:t xml:space="preserve"> supplementary analysis</w:t>
      </w:r>
      <w:r>
        <w:t xml:space="preserve"> allows for a more detailed understanding of how socio-economic disparities may </w:t>
      </w:r>
      <w:r w:rsidR="00B071E0">
        <w:t>influence</w:t>
      </w:r>
      <w:r>
        <w:t xml:space="preserve"> public interest in </w:t>
      </w:r>
      <w:r w:rsidR="008365C0">
        <w:t>the three</w:t>
      </w:r>
      <w:r>
        <w:t xml:space="preserve"> </w:t>
      </w:r>
      <w:r w:rsidR="00B071E0">
        <w:t>categories</w:t>
      </w:r>
      <w:r>
        <w:t xml:space="preserve"> of animal welfare</w:t>
      </w:r>
      <w:r w:rsidR="00B071E0">
        <w:t xml:space="preserve"> products</w:t>
      </w:r>
      <w:r>
        <w:t>.</w:t>
      </w:r>
      <w:r w:rsidR="003B4AFF">
        <w:t xml:space="preserve"> </w:t>
      </w:r>
      <w:r w:rsidR="0015749B">
        <w:t>We present the</w:t>
      </w:r>
      <w:r w:rsidR="003B4AFF">
        <w:t xml:space="preserve"> results of this supplementary analysis in Models 3 to 5 in Table </w:t>
      </w:r>
      <w:r w:rsidR="001C0817">
        <w:t>2.</w:t>
      </w:r>
    </w:p>
    <w:p w14:paraId="55AB5901" w14:textId="77777777" w:rsidR="00B071E0" w:rsidRDefault="00B071E0" w:rsidP="000B0DB2"/>
    <w:p w14:paraId="736281EA" w14:textId="5E750576" w:rsidR="0067076E" w:rsidRDefault="0067076E" w:rsidP="0067076E">
      <w:r>
        <w:t xml:space="preserve">For search interest in products without animal ingredients, Model </w:t>
      </w:r>
      <w:r w:rsidR="003B4AFF">
        <w:t>3</w:t>
      </w:r>
      <w:r>
        <w:t xml:space="preserve"> shows that income inequality </w:t>
      </w:r>
      <w:r w:rsidR="00A13681">
        <w:t>ha</w:t>
      </w:r>
      <w:r w:rsidR="00DF73B4">
        <w:t>d</w:t>
      </w:r>
      <w:r>
        <w:t xml:space="preserve"> a significant negative effect (</w:t>
      </w:r>
      <m:oMath>
        <m:sSub>
          <m:sSubPr>
            <m:ctrlPr>
              <w:rPr>
                <w:rFonts w:ascii="Cambria Math" w:hAnsi="Cambria Math"/>
                <w:i/>
              </w:rPr>
            </m:ctrlPr>
          </m:sSubPr>
          <m:e>
            <m:r>
              <w:rPr>
                <w:rFonts w:ascii="Cambria Math" w:hAnsi="Cambria Math"/>
              </w:rPr>
              <m:t>γ</m:t>
            </m:r>
          </m:e>
          <m:sub>
            <m:r>
              <w:rPr>
                <w:rFonts w:ascii="Cambria Math" w:hAnsi="Cambria Math"/>
              </w:rPr>
              <m:t>01</m:t>
            </m:r>
          </m:sub>
        </m:sSub>
      </m:oMath>
      <w:r w:rsidR="00A13681">
        <w:t xml:space="preserve"> </w:t>
      </w:r>
      <w:r>
        <w:t>= -1.</w:t>
      </w:r>
      <w:r w:rsidR="00F80975">
        <w:t>34</w:t>
      </w:r>
      <w:r>
        <w:t>, SE = 0.</w:t>
      </w:r>
      <w:r w:rsidR="00F80975">
        <w:t>37</w:t>
      </w:r>
      <w:r>
        <w:t xml:space="preserve">, </w:t>
      </w:r>
      <w:r w:rsidRPr="00A13681">
        <w:rPr>
          <w:i/>
          <w:iCs/>
        </w:rPr>
        <w:t>p</w:t>
      </w:r>
      <w:r>
        <w:t xml:space="preserve"> = 0.00</w:t>
      </w:r>
      <w:r w:rsidR="00AF6581">
        <w:t>3</w:t>
      </w:r>
      <w:r>
        <w:t xml:space="preserve">). Similarly, for search interest in products not tested on animals, </w:t>
      </w:r>
      <w:r w:rsidR="00DF73B4">
        <w:t xml:space="preserve">Model 4 shows that </w:t>
      </w:r>
      <w:r>
        <w:t xml:space="preserve">income inequality also </w:t>
      </w:r>
      <w:r w:rsidR="00DF73B4">
        <w:t>ha</w:t>
      </w:r>
      <w:r w:rsidR="00B83866">
        <w:t>d</w:t>
      </w:r>
      <w:r w:rsidR="00DF73B4">
        <w:t xml:space="preserve"> a </w:t>
      </w:r>
      <w:r>
        <w:t>significant negative effect (</w:t>
      </w:r>
      <m:oMath>
        <m:sSub>
          <m:sSubPr>
            <m:ctrlPr>
              <w:rPr>
                <w:rFonts w:ascii="Cambria Math" w:hAnsi="Cambria Math"/>
                <w:i/>
              </w:rPr>
            </m:ctrlPr>
          </m:sSubPr>
          <m:e>
            <m:r>
              <w:rPr>
                <w:rFonts w:ascii="Cambria Math" w:hAnsi="Cambria Math"/>
              </w:rPr>
              <m:t>γ</m:t>
            </m:r>
          </m:e>
          <m:sub>
            <m:r>
              <w:rPr>
                <w:rFonts w:ascii="Cambria Math" w:hAnsi="Cambria Math"/>
              </w:rPr>
              <m:t>01</m:t>
            </m:r>
          </m:sub>
        </m:sSub>
      </m:oMath>
      <w:r w:rsidR="00DF73B4">
        <w:t xml:space="preserve"> </w:t>
      </w:r>
      <w:r>
        <w:t>= -</w:t>
      </w:r>
      <w:r w:rsidR="00536C78">
        <w:t>1.90</w:t>
      </w:r>
      <w:r>
        <w:t>, SE = 0.</w:t>
      </w:r>
      <w:r w:rsidR="00AB3F12">
        <w:t>7</w:t>
      </w:r>
      <w:r w:rsidR="00DF73B4">
        <w:t>2</w:t>
      </w:r>
      <w:r>
        <w:t xml:space="preserve">, </w:t>
      </w:r>
      <w:r w:rsidRPr="00DF73B4">
        <w:rPr>
          <w:i/>
          <w:iCs/>
        </w:rPr>
        <w:t>p</w:t>
      </w:r>
      <w:r>
        <w:t xml:space="preserve"> = 0.00</w:t>
      </w:r>
      <w:r w:rsidR="00DF73B4">
        <w:t>8</w:t>
      </w:r>
      <w:r>
        <w:t xml:space="preserve">). However, </w:t>
      </w:r>
      <w:r w:rsidR="00DF73B4">
        <w:t xml:space="preserve">Model 5 shows that </w:t>
      </w:r>
      <w:r w:rsidR="0054085F">
        <w:t xml:space="preserve">neither </w:t>
      </w:r>
      <w:r>
        <w:t xml:space="preserve">income inequality </w:t>
      </w:r>
      <w:r w:rsidR="0054085F">
        <w:t>(</w:t>
      </w:r>
      <m:oMath>
        <m:sSub>
          <m:sSubPr>
            <m:ctrlPr>
              <w:rPr>
                <w:rFonts w:ascii="Cambria Math" w:hAnsi="Cambria Math"/>
                <w:i/>
              </w:rPr>
            </m:ctrlPr>
          </m:sSubPr>
          <m:e>
            <m:r>
              <w:rPr>
                <w:rFonts w:ascii="Cambria Math" w:hAnsi="Cambria Math"/>
              </w:rPr>
              <m:t>γ</m:t>
            </m:r>
          </m:e>
          <m:sub>
            <m:r>
              <w:rPr>
                <w:rFonts w:ascii="Cambria Math" w:hAnsi="Cambria Math"/>
              </w:rPr>
              <m:t>01</m:t>
            </m:r>
          </m:sub>
        </m:sSub>
      </m:oMath>
      <w:r w:rsidR="0054085F">
        <w:t xml:space="preserve"> = -0.</w:t>
      </w:r>
      <w:r w:rsidR="00AB3F12">
        <w:t>84</w:t>
      </w:r>
      <w:r w:rsidR="0054085F">
        <w:t>, SE = 0.</w:t>
      </w:r>
      <w:r w:rsidR="003B1FE8">
        <w:t>53</w:t>
      </w:r>
      <w:r w:rsidR="0054085F">
        <w:t xml:space="preserve">, </w:t>
      </w:r>
      <w:r w:rsidR="0054085F" w:rsidRPr="00B83866">
        <w:rPr>
          <w:i/>
          <w:iCs/>
        </w:rPr>
        <w:t>p</w:t>
      </w:r>
      <w:r w:rsidR="0054085F">
        <w:t xml:space="preserve"> = 0.</w:t>
      </w:r>
      <w:r w:rsidR="00C135D8">
        <w:t>1</w:t>
      </w:r>
      <w:r w:rsidR="0054085F">
        <w:t xml:space="preserve">1) nor the control variables </w:t>
      </w:r>
      <w:r>
        <w:t>significantly influence</w:t>
      </w:r>
      <w:r w:rsidR="0054085F">
        <w:t>d</w:t>
      </w:r>
      <w:r>
        <w:t xml:space="preserve"> search interest in products derived from humanely treated animals.</w:t>
      </w:r>
    </w:p>
    <w:p w14:paraId="251EEE96" w14:textId="77777777" w:rsidR="0067076E" w:rsidRDefault="0067076E" w:rsidP="0067076E"/>
    <w:p w14:paraId="451D5476" w14:textId="47F1A23F" w:rsidR="008365C0" w:rsidRDefault="0067076E" w:rsidP="0067076E">
      <w:r>
        <w:t xml:space="preserve">These results suggest that income inequality has a differential impact on search interest </w:t>
      </w:r>
      <w:r w:rsidR="00B519EC">
        <w:t>across</w:t>
      </w:r>
      <w:r>
        <w:t xml:space="preserve"> the </w:t>
      </w:r>
      <w:r w:rsidR="00E75905">
        <w:t xml:space="preserve">categories of </w:t>
      </w:r>
      <w:r>
        <w:t>animal welfare product</w:t>
      </w:r>
      <w:r w:rsidR="00B519EC">
        <w:t>s</w:t>
      </w:r>
      <w:r>
        <w:t>. Notably, search interest in products that do not involve animal ingredients or are not tested on animals is negatively associated with income inequality, while search interest in products derived from humanely treated animals shows no significant relationship. These findings contribute to a more nuanced understanding of how income inequality may shape public interest in different aspects of animal welfare.</w:t>
      </w:r>
    </w:p>
    <w:p w14:paraId="1155F1A7" w14:textId="77777777" w:rsidR="00947CFA" w:rsidRDefault="00947CFA" w:rsidP="002B68D4"/>
    <w:p w14:paraId="67CF6981" w14:textId="77777777" w:rsidR="00834915" w:rsidRDefault="00834915" w:rsidP="00834915">
      <w:pPr>
        <w:pStyle w:val="NormalWeb"/>
        <w:spacing w:before="0" w:beforeAutospacing="0" w:after="0" w:afterAutospacing="0"/>
      </w:pPr>
      <w:r>
        <w:rPr>
          <w:b/>
          <w:bCs/>
          <w:color w:val="000000"/>
        </w:rPr>
        <w:t>Discussion</w:t>
      </w:r>
    </w:p>
    <w:p w14:paraId="1B0F69CF" w14:textId="77777777" w:rsidR="00834915" w:rsidRDefault="00834915" w:rsidP="00834915"/>
    <w:p w14:paraId="2E7CF264" w14:textId="52AD2C41" w:rsidR="00850CC3" w:rsidRPr="00850CC3" w:rsidRDefault="00850CC3" w:rsidP="00850CC3">
      <w:r w:rsidRPr="00850CC3">
        <w:t xml:space="preserve">This study </w:t>
      </w:r>
      <w:r w:rsidR="002937B0">
        <w:t>is</w:t>
      </w:r>
      <w:r w:rsidRPr="00850CC3">
        <w:t xml:space="preserve"> a first step </w:t>
      </w:r>
      <w:r w:rsidR="00E63614">
        <w:t>toward</w:t>
      </w:r>
      <w:r w:rsidRPr="00850CC3">
        <w:t xml:space="preserve"> unpacking the relationship between income inequality and interest in animal welfare products. Leveraging real-world data, we </w:t>
      </w:r>
      <w:r w:rsidR="002937B0">
        <w:t>found</w:t>
      </w:r>
      <w:r w:rsidRPr="00850CC3">
        <w:t xml:space="preserve"> a negative relationship between income inequality and search interest in animal welfare products, </w:t>
      </w:r>
      <w:r w:rsidR="007E0874">
        <w:t xml:space="preserve">particularly for products not involving animal ingredients or animal testing, </w:t>
      </w:r>
      <w:r w:rsidRPr="00850CC3">
        <w:t xml:space="preserve">supporting predictions </w:t>
      </w:r>
      <w:r w:rsidR="002A458C">
        <w:t>from</w:t>
      </w:r>
      <w:r w:rsidRPr="00850CC3">
        <w:t xml:space="preserve"> systems justification theory.</w:t>
      </w:r>
    </w:p>
    <w:p w14:paraId="0A6BC51E" w14:textId="77777777" w:rsidR="00850CC3" w:rsidRPr="00850CC3" w:rsidRDefault="00850CC3" w:rsidP="00850CC3"/>
    <w:p w14:paraId="775A5B1C" w14:textId="5D95524F" w:rsidR="004E4C9E" w:rsidRPr="00BC0BB6" w:rsidRDefault="002937B0" w:rsidP="00850CC3">
      <w:r>
        <w:t>The</w:t>
      </w:r>
      <w:r w:rsidR="00850CC3" w:rsidRPr="00850CC3">
        <w:t xml:space="preserve"> findings suggest that greater income inequality in a region may inhibit </w:t>
      </w:r>
      <w:r w:rsidR="002A458C">
        <w:t>consumers’</w:t>
      </w:r>
      <w:r w:rsidR="00850CC3" w:rsidRPr="00850CC3">
        <w:t xml:space="preserve"> curiosity about, and potential</w:t>
      </w:r>
      <w:r w:rsidR="005A7CC7">
        <w:t>ly</w:t>
      </w:r>
      <w:r w:rsidR="00850CC3" w:rsidRPr="00850CC3">
        <w:t xml:space="preserve"> consumption of, animal welfare products. This result aligns with systems justification theory, which posits that in regions of high inequality, people may be more inclined to defend and rationalize existing socio-economic systems. Here, this rationalization might </w:t>
      </w:r>
      <w:r w:rsidR="00850CC3" w:rsidRPr="00850CC3">
        <w:lastRenderedPageBreak/>
        <w:t xml:space="preserve">manifest as resistance to engaging with </w:t>
      </w:r>
      <w:r w:rsidR="00F04C5C">
        <w:t>concepts related to</w:t>
      </w:r>
      <w:r w:rsidR="00850CC3" w:rsidRPr="00850CC3">
        <w:t xml:space="preserve"> animal welfare products, which often challenge conventional consumption norms.</w:t>
      </w:r>
      <w:r w:rsidR="004E4C9E" w:rsidRPr="006847D2">
        <w:rPr>
          <w:b/>
          <w:bCs/>
        </w:rPr>
        <w:br w:type="page"/>
      </w:r>
    </w:p>
    <w:p w14:paraId="0A35FCCC" w14:textId="77777777" w:rsidR="00BE4089" w:rsidRDefault="00BE4089" w:rsidP="0083754D">
      <w:pPr>
        <w:jc w:val="center"/>
        <w:rPr>
          <w:b/>
          <w:bCs/>
        </w:rPr>
        <w:sectPr w:rsidR="00BE4089">
          <w:footerReference w:type="even" r:id="rId8"/>
          <w:footerReference w:type="default" r:id="rId9"/>
          <w:pgSz w:w="12240" w:h="15840"/>
          <w:pgMar w:top="1440" w:right="1440" w:bottom="1440" w:left="1440" w:header="708" w:footer="708" w:gutter="0"/>
          <w:cols w:space="708"/>
          <w:docGrid w:linePitch="360"/>
        </w:sectPr>
      </w:pPr>
    </w:p>
    <w:p w14:paraId="58BBDE29" w14:textId="55C40627" w:rsidR="00BC0BB6" w:rsidRDefault="00BC0BB6" w:rsidP="006F7AAF">
      <w:pPr>
        <w:spacing w:line="360" w:lineRule="auto"/>
        <w:jc w:val="center"/>
      </w:pPr>
      <w:r w:rsidRPr="006847D2">
        <w:rPr>
          <w:b/>
          <w:bCs/>
        </w:rPr>
        <w:lastRenderedPageBreak/>
        <w:t>Table</w:t>
      </w:r>
      <w:r w:rsidR="00D91ED4">
        <w:rPr>
          <w:b/>
          <w:bCs/>
        </w:rPr>
        <w:t xml:space="preserve"> </w:t>
      </w:r>
      <w:r w:rsidR="00D7347E">
        <w:rPr>
          <w:b/>
          <w:bCs/>
        </w:rPr>
        <w:t xml:space="preserve">1: </w:t>
      </w:r>
      <w:r w:rsidR="00D91ED4">
        <w:rPr>
          <w:b/>
          <w:bCs/>
        </w:rPr>
        <w:t>Summary Statistics and Correlation Table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141"/>
        <w:gridCol w:w="1141"/>
        <w:gridCol w:w="1141"/>
        <w:gridCol w:w="1140"/>
        <w:gridCol w:w="1140"/>
        <w:gridCol w:w="1140"/>
        <w:gridCol w:w="1140"/>
        <w:gridCol w:w="1140"/>
        <w:gridCol w:w="1148"/>
      </w:tblGrid>
      <w:tr w:rsidR="00FB0EAE" w14:paraId="2268B3F9" w14:textId="77777777" w:rsidTr="006F7AAF">
        <w:tc>
          <w:tcPr>
            <w:tcW w:w="1037" w:type="pct"/>
            <w:tcBorders>
              <w:top w:val="single" w:sz="4" w:space="0" w:color="auto"/>
              <w:bottom w:val="single" w:sz="4" w:space="0" w:color="auto"/>
            </w:tcBorders>
          </w:tcPr>
          <w:p w14:paraId="3A46A509" w14:textId="625289E3" w:rsidR="00FB0EAE" w:rsidRDefault="00FB0EAE" w:rsidP="001D48FB">
            <w:pPr>
              <w:rPr>
                <w:b/>
                <w:bCs/>
              </w:rPr>
            </w:pPr>
            <w:r>
              <w:rPr>
                <w:b/>
                <w:bCs/>
              </w:rPr>
              <w:t>Variables</w:t>
            </w:r>
          </w:p>
        </w:tc>
        <w:tc>
          <w:tcPr>
            <w:tcW w:w="440" w:type="pct"/>
            <w:tcBorders>
              <w:top w:val="single" w:sz="4" w:space="0" w:color="auto"/>
              <w:bottom w:val="single" w:sz="4" w:space="0" w:color="auto"/>
            </w:tcBorders>
          </w:tcPr>
          <w:p w14:paraId="43361174" w14:textId="52D514C3" w:rsidR="00FB0EAE" w:rsidRDefault="00FB0EAE" w:rsidP="00FB0EAE">
            <w:pPr>
              <w:jc w:val="center"/>
              <w:rPr>
                <w:b/>
                <w:bCs/>
              </w:rPr>
            </w:pPr>
            <w:r>
              <w:rPr>
                <w:b/>
                <w:bCs/>
              </w:rPr>
              <w:t>Mean</w:t>
            </w:r>
          </w:p>
        </w:tc>
        <w:tc>
          <w:tcPr>
            <w:tcW w:w="440" w:type="pct"/>
            <w:tcBorders>
              <w:top w:val="single" w:sz="4" w:space="0" w:color="auto"/>
              <w:bottom w:val="single" w:sz="4" w:space="0" w:color="auto"/>
            </w:tcBorders>
          </w:tcPr>
          <w:p w14:paraId="0C48580D" w14:textId="461B08C3" w:rsidR="00FB0EAE" w:rsidRDefault="00FB0EAE" w:rsidP="00FB0EAE">
            <w:pPr>
              <w:jc w:val="center"/>
              <w:rPr>
                <w:b/>
                <w:bCs/>
              </w:rPr>
            </w:pPr>
            <w:r>
              <w:rPr>
                <w:b/>
                <w:bCs/>
              </w:rPr>
              <w:t>SD</w:t>
            </w:r>
          </w:p>
        </w:tc>
        <w:tc>
          <w:tcPr>
            <w:tcW w:w="3084" w:type="pct"/>
            <w:gridSpan w:val="7"/>
            <w:tcBorders>
              <w:top w:val="single" w:sz="4" w:space="0" w:color="auto"/>
              <w:bottom w:val="single" w:sz="4" w:space="0" w:color="auto"/>
            </w:tcBorders>
          </w:tcPr>
          <w:p w14:paraId="20EF9660" w14:textId="1322087E" w:rsidR="00FB0EAE" w:rsidRDefault="00FB0EAE" w:rsidP="00FB0EAE">
            <w:pPr>
              <w:jc w:val="center"/>
              <w:rPr>
                <w:b/>
                <w:bCs/>
              </w:rPr>
            </w:pPr>
            <w:r>
              <w:rPr>
                <w:b/>
                <w:bCs/>
              </w:rPr>
              <w:t>Correlations</w:t>
            </w:r>
          </w:p>
        </w:tc>
      </w:tr>
      <w:tr w:rsidR="00887581" w14:paraId="4A26DE3F" w14:textId="77777777" w:rsidTr="006F7AAF">
        <w:tc>
          <w:tcPr>
            <w:tcW w:w="1037" w:type="pct"/>
            <w:tcBorders>
              <w:top w:val="single" w:sz="4" w:space="0" w:color="auto"/>
            </w:tcBorders>
          </w:tcPr>
          <w:p w14:paraId="25CD1BCB" w14:textId="79FF618F" w:rsidR="00887581" w:rsidRPr="00F91AE0" w:rsidRDefault="00887581" w:rsidP="00887581">
            <w:r w:rsidRPr="00F91AE0">
              <w:t>Search Interest</w:t>
            </w:r>
          </w:p>
        </w:tc>
        <w:tc>
          <w:tcPr>
            <w:tcW w:w="440" w:type="pct"/>
            <w:tcBorders>
              <w:top w:val="single" w:sz="4" w:space="0" w:color="auto"/>
            </w:tcBorders>
            <w:vAlign w:val="bottom"/>
          </w:tcPr>
          <w:p w14:paraId="48B00766" w14:textId="4D37393C" w:rsidR="00887581" w:rsidRPr="00887581" w:rsidRDefault="00887581" w:rsidP="007B10E0">
            <w:pPr>
              <w:tabs>
                <w:tab w:val="decimal" w:pos="425"/>
              </w:tabs>
              <w:rPr>
                <w:color w:val="000000"/>
              </w:rPr>
            </w:pPr>
            <w:r w:rsidRPr="00887581">
              <w:rPr>
                <w:color w:val="000000"/>
              </w:rPr>
              <w:t>57.</w:t>
            </w:r>
            <w:r w:rsidR="00A4658F">
              <w:rPr>
                <w:color w:val="000000"/>
              </w:rPr>
              <w:t>2</w:t>
            </w:r>
            <w:r w:rsidR="001E2E62">
              <w:rPr>
                <w:color w:val="000000"/>
              </w:rPr>
              <w:t>0</w:t>
            </w:r>
          </w:p>
        </w:tc>
        <w:tc>
          <w:tcPr>
            <w:tcW w:w="440" w:type="pct"/>
            <w:tcBorders>
              <w:top w:val="single" w:sz="4" w:space="0" w:color="auto"/>
              <w:right w:val="single" w:sz="4" w:space="0" w:color="auto"/>
            </w:tcBorders>
            <w:vAlign w:val="bottom"/>
          </w:tcPr>
          <w:p w14:paraId="2418A6ED" w14:textId="227F8E02" w:rsidR="00887581" w:rsidRPr="00887581" w:rsidRDefault="00887581" w:rsidP="007B10E0">
            <w:pPr>
              <w:tabs>
                <w:tab w:val="decimal" w:pos="425"/>
              </w:tabs>
              <w:rPr>
                <w:color w:val="000000"/>
              </w:rPr>
            </w:pPr>
            <w:r w:rsidRPr="00887581">
              <w:rPr>
                <w:color w:val="000000"/>
              </w:rPr>
              <w:t>1</w:t>
            </w:r>
            <w:r w:rsidR="00A4658F">
              <w:rPr>
                <w:color w:val="000000"/>
              </w:rPr>
              <w:t>5.13</w:t>
            </w:r>
          </w:p>
        </w:tc>
        <w:tc>
          <w:tcPr>
            <w:tcW w:w="440" w:type="pct"/>
            <w:tcBorders>
              <w:top w:val="single" w:sz="4" w:space="0" w:color="auto"/>
              <w:left w:val="single" w:sz="4" w:space="0" w:color="auto"/>
            </w:tcBorders>
            <w:vAlign w:val="bottom"/>
          </w:tcPr>
          <w:p w14:paraId="60C8A7E4" w14:textId="21439435" w:rsidR="00887581" w:rsidRPr="00887581" w:rsidRDefault="00887581" w:rsidP="00887581">
            <w:pPr>
              <w:rPr>
                <w:color w:val="000000"/>
              </w:rPr>
            </w:pPr>
          </w:p>
        </w:tc>
        <w:tc>
          <w:tcPr>
            <w:tcW w:w="440" w:type="pct"/>
            <w:tcBorders>
              <w:top w:val="single" w:sz="4" w:space="0" w:color="auto"/>
            </w:tcBorders>
            <w:vAlign w:val="bottom"/>
          </w:tcPr>
          <w:p w14:paraId="0CDDAED9" w14:textId="77777777" w:rsidR="00887581" w:rsidRPr="00887581" w:rsidRDefault="00887581" w:rsidP="00887581">
            <w:pPr>
              <w:rPr>
                <w:color w:val="000000"/>
              </w:rPr>
            </w:pPr>
          </w:p>
        </w:tc>
        <w:tc>
          <w:tcPr>
            <w:tcW w:w="440" w:type="pct"/>
            <w:tcBorders>
              <w:top w:val="single" w:sz="4" w:space="0" w:color="auto"/>
            </w:tcBorders>
            <w:vAlign w:val="bottom"/>
          </w:tcPr>
          <w:p w14:paraId="2F896638" w14:textId="77777777" w:rsidR="00887581" w:rsidRPr="00887581" w:rsidRDefault="00887581" w:rsidP="00887581">
            <w:pPr>
              <w:rPr>
                <w:color w:val="000000"/>
              </w:rPr>
            </w:pPr>
          </w:p>
        </w:tc>
        <w:tc>
          <w:tcPr>
            <w:tcW w:w="440" w:type="pct"/>
            <w:tcBorders>
              <w:top w:val="single" w:sz="4" w:space="0" w:color="auto"/>
            </w:tcBorders>
            <w:vAlign w:val="bottom"/>
          </w:tcPr>
          <w:p w14:paraId="45232C57" w14:textId="77777777" w:rsidR="00887581" w:rsidRPr="00887581" w:rsidRDefault="00887581" w:rsidP="00887581">
            <w:pPr>
              <w:rPr>
                <w:color w:val="000000"/>
              </w:rPr>
            </w:pPr>
          </w:p>
        </w:tc>
        <w:tc>
          <w:tcPr>
            <w:tcW w:w="440" w:type="pct"/>
            <w:tcBorders>
              <w:top w:val="single" w:sz="4" w:space="0" w:color="auto"/>
            </w:tcBorders>
            <w:vAlign w:val="bottom"/>
          </w:tcPr>
          <w:p w14:paraId="7168CFB5" w14:textId="77777777" w:rsidR="00887581" w:rsidRPr="00887581" w:rsidRDefault="00887581" w:rsidP="00887581">
            <w:pPr>
              <w:rPr>
                <w:color w:val="000000"/>
              </w:rPr>
            </w:pPr>
          </w:p>
        </w:tc>
        <w:tc>
          <w:tcPr>
            <w:tcW w:w="440" w:type="pct"/>
            <w:tcBorders>
              <w:top w:val="single" w:sz="4" w:space="0" w:color="auto"/>
            </w:tcBorders>
            <w:vAlign w:val="bottom"/>
          </w:tcPr>
          <w:p w14:paraId="5CF5453E" w14:textId="77777777" w:rsidR="00887581" w:rsidRPr="00887581" w:rsidRDefault="00887581" w:rsidP="00887581">
            <w:pPr>
              <w:rPr>
                <w:color w:val="000000"/>
              </w:rPr>
            </w:pPr>
          </w:p>
        </w:tc>
        <w:tc>
          <w:tcPr>
            <w:tcW w:w="443" w:type="pct"/>
            <w:tcBorders>
              <w:top w:val="single" w:sz="4" w:space="0" w:color="auto"/>
            </w:tcBorders>
            <w:vAlign w:val="bottom"/>
          </w:tcPr>
          <w:p w14:paraId="486E4A58" w14:textId="77777777" w:rsidR="00887581" w:rsidRPr="00887581" w:rsidRDefault="00887581" w:rsidP="00887581">
            <w:pPr>
              <w:rPr>
                <w:color w:val="000000"/>
              </w:rPr>
            </w:pPr>
          </w:p>
        </w:tc>
      </w:tr>
      <w:tr w:rsidR="00887581" w14:paraId="384CFA77" w14:textId="77777777" w:rsidTr="006F7AAF">
        <w:tc>
          <w:tcPr>
            <w:tcW w:w="1037" w:type="pct"/>
            <w:vAlign w:val="center"/>
          </w:tcPr>
          <w:p w14:paraId="5028ED47" w14:textId="30081C7B" w:rsidR="00887581" w:rsidRDefault="00887581" w:rsidP="00887581">
            <w:pPr>
              <w:rPr>
                <w:b/>
                <w:bCs/>
              </w:rPr>
            </w:pPr>
            <w:r>
              <w:rPr>
                <w:color w:val="000000"/>
              </w:rPr>
              <w:t>Income Inequality</w:t>
            </w:r>
          </w:p>
        </w:tc>
        <w:tc>
          <w:tcPr>
            <w:tcW w:w="440" w:type="pct"/>
            <w:vAlign w:val="bottom"/>
          </w:tcPr>
          <w:p w14:paraId="4D23A731" w14:textId="397A861D" w:rsidR="00887581" w:rsidRPr="00887581" w:rsidRDefault="00887581" w:rsidP="007B10E0">
            <w:pPr>
              <w:tabs>
                <w:tab w:val="decimal" w:pos="425"/>
              </w:tabs>
              <w:rPr>
                <w:color w:val="000000"/>
              </w:rPr>
            </w:pPr>
            <w:r w:rsidRPr="00887581">
              <w:rPr>
                <w:color w:val="000000"/>
              </w:rPr>
              <w:t>4</w:t>
            </w:r>
            <w:r w:rsidR="00A4658F">
              <w:rPr>
                <w:color w:val="000000"/>
              </w:rPr>
              <w:t>6.09</w:t>
            </w:r>
          </w:p>
        </w:tc>
        <w:tc>
          <w:tcPr>
            <w:tcW w:w="440" w:type="pct"/>
            <w:tcBorders>
              <w:right w:val="single" w:sz="4" w:space="0" w:color="auto"/>
            </w:tcBorders>
            <w:vAlign w:val="bottom"/>
          </w:tcPr>
          <w:p w14:paraId="6BD1D9F1" w14:textId="14846FA1" w:rsidR="00887581" w:rsidRPr="00887581" w:rsidRDefault="00887581" w:rsidP="007B10E0">
            <w:pPr>
              <w:tabs>
                <w:tab w:val="decimal" w:pos="425"/>
              </w:tabs>
              <w:rPr>
                <w:color w:val="000000"/>
              </w:rPr>
            </w:pPr>
            <w:r w:rsidRPr="00887581">
              <w:rPr>
                <w:color w:val="000000"/>
              </w:rPr>
              <w:t>2.2</w:t>
            </w:r>
            <w:r w:rsidR="00A4658F">
              <w:rPr>
                <w:color w:val="000000"/>
              </w:rPr>
              <w:t>4</w:t>
            </w:r>
          </w:p>
        </w:tc>
        <w:tc>
          <w:tcPr>
            <w:tcW w:w="440" w:type="pct"/>
            <w:tcBorders>
              <w:left w:val="single" w:sz="4" w:space="0" w:color="auto"/>
            </w:tcBorders>
            <w:vAlign w:val="bottom"/>
          </w:tcPr>
          <w:p w14:paraId="6CA2D5E7" w14:textId="64C225E1" w:rsidR="00887581" w:rsidRPr="00887581" w:rsidRDefault="00887581" w:rsidP="00887581">
            <w:pPr>
              <w:tabs>
                <w:tab w:val="decimal" w:pos="255"/>
              </w:tabs>
              <w:rPr>
                <w:color w:val="000000"/>
              </w:rPr>
            </w:pPr>
            <w:r w:rsidRPr="00887581">
              <w:rPr>
                <w:color w:val="000000"/>
              </w:rPr>
              <w:t>-.0</w:t>
            </w:r>
            <w:r w:rsidR="008B361C">
              <w:rPr>
                <w:color w:val="000000"/>
              </w:rPr>
              <w:t>6</w:t>
            </w:r>
          </w:p>
        </w:tc>
        <w:tc>
          <w:tcPr>
            <w:tcW w:w="440" w:type="pct"/>
            <w:vAlign w:val="bottom"/>
          </w:tcPr>
          <w:p w14:paraId="3DF4F9BA" w14:textId="0F1A38A2" w:rsidR="00887581" w:rsidRPr="00887581" w:rsidRDefault="00887581" w:rsidP="00887581">
            <w:pPr>
              <w:tabs>
                <w:tab w:val="decimal" w:pos="255"/>
              </w:tabs>
              <w:rPr>
                <w:color w:val="000000"/>
              </w:rPr>
            </w:pPr>
          </w:p>
        </w:tc>
        <w:tc>
          <w:tcPr>
            <w:tcW w:w="440" w:type="pct"/>
            <w:vAlign w:val="bottom"/>
          </w:tcPr>
          <w:p w14:paraId="7A1D2351" w14:textId="77777777" w:rsidR="00887581" w:rsidRPr="00887581" w:rsidRDefault="00887581" w:rsidP="00887581">
            <w:pPr>
              <w:tabs>
                <w:tab w:val="decimal" w:pos="255"/>
              </w:tabs>
              <w:rPr>
                <w:color w:val="000000"/>
              </w:rPr>
            </w:pPr>
          </w:p>
        </w:tc>
        <w:tc>
          <w:tcPr>
            <w:tcW w:w="440" w:type="pct"/>
            <w:vAlign w:val="bottom"/>
          </w:tcPr>
          <w:p w14:paraId="4AE0D6F5" w14:textId="77777777" w:rsidR="00887581" w:rsidRPr="00887581" w:rsidRDefault="00887581" w:rsidP="00887581">
            <w:pPr>
              <w:tabs>
                <w:tab w:val="decimal" w:pos="255"/>
              </w:tabs>
              <w:rPr>
                <w:color w:val="000000"/>
              </w:rPr>
            </w:pPr>
          </w:p>
        </w:tc>
        <w:tc>
          <w:tcPr>
            <w:tcW w:w="440" w:type="pct"/>
            <w:vAlign w:val="bottom"/>
          </w:tcPr>
          <w:p w14:paraId="2EA34AA6" w14:textId="77777777" w:rsidR="00887581" w:rsidRPr="00887581" w:rsidRDefault="00887581" w:rsidP="00887581">
            <w:pPr>
              <w:tabs>
                <w:tab w:val="decimal" w:pos="255"/>
              </w:tabs>
              <w:rPr>
                <w:color w:val="000000"/>
              </w:rPr>
            </w:pPr>
          </w:p>
        </w:tc>
        <w:tc>
          <w:tcPr>
            <w:tcW w:w="440" w:type="pct"/>
            <w:vAlign w:val="bottom"/>
          </w:tcPr>
          <w:p w14:paraId="49738D62" w14:textId="77777777" w:rsidR="00887581" w:rsidRPr="00887581" w:rsidRDefault="00887581" w:rsidP="00887581">
            <w:pPr>
              <w:tabs>
                <w:tab w:val="decimal" w:pos="255"/>
              </w:tabs>
              <w:rPr>
                <w:color w:val="000000"/>
              </w:rPr>
            </w:pPr>
          </w:p>
        </w:tc>
        <w:tc>
          <w:tcPr>
            <w:tcW w:w="443" w:type="pct"/>
            <w:vAlign w:val="bottom"/>
          </w:tcPr>
          <w:p w14:paraId="7103C296" w14:textId="77777777" w:rsidR="00887581" w:rsidRPr="00887581" w:rsidRDefault="00887581" w:rsidP="00887581">
            <w:pPr>
              <w:tabs>
                <w:tab w:val="decimal" w:pos="255"/>
              </w:tabs>
              <w:rPr>
                <w:color w:val="000000"/>
              </w:rPr>
            </w:pPr>
          </w:p>
        </w:tc>
      </w:tr>
      <w:tr w:rsidR="00887581" w14:paraId="389AC81A" w14:textId="77777777" w:rsidTr="006F7AAF">
        <w:tc>
          <w:tcPr>
            <w:tcW w:w="1037" w:type="pct"/>
            <w:vAlign w:val="center"/>
          </w:tcPr>
          <w:p w14:paraId="7C317860" w14:textId="423967A3" w:rsidR="00887581" w:rsidRDefault="00887581" w:rsidP="00887581">
            <w:pPr>
              <w:rPr>
                <w:b/>
                <w:bCs/>
              </w:rPr>
            </w:pPr>
            <w:r>
              <w:rPr>
                <w:color w:val="000000"/>
              </w:rPr>
              <w:t>Age</w:t>
            </w:r>
          </w:p>
        </w:tc>
        <w:tc>
          <w:tcPr>
            <w:tcW w:w="440" w:type="pct"/>
            <w:vAlign w:val="bottom"/>
          </w:tcPr>
          <w:p w14:paraId="10E3F037" w14:textId="751D25B0" w:rsidR="00887581" w:rsidRPr="00887581" w:rsidRDefault="00887581" w:rsidP="007B10E0">
            <w:pPr>
              <w:tabs>
                <w:tab w:val="decimal" w:pos="425"/>
              </w:tabs>
              <w:rPr>
                <w:color w:val="000000"/>
              </w:rPr>
            </w:pPr>
            <w:r w:rsidRPr="00887581">
              <w:rPr>
                <w:color w:val="000000"/>
              </w:rPr>
              <w:t>37.</w:t>
            </w:r>
            <w:r w:rsidR="00A4658F">
              <w:rPr>
                <w:color w:val="000000"/>
              </w:rPr>
              <w:t>96</w:t>
            </w:r>
          </w:p>
        </w:tc>
        <w:tc>
          <w:tcPr>
            <w:tcW w:w="440" w:type="pct"/>
            <w:tcBorders>
              <w:right w:val="single" w:sz="4" w:space="0" w:color="auto"/>
            </w:tcBorders>
            <w:vAlign w:val="bottom"/>
          </w:tcPr>
          <w:p w14:paraId="138332D8" w14:textId="23AFCDF0" w:rsidR="00887581" w:rsidRPr="00887581" w:rsidRDefault="00887581" w:rsidP="007B10E0">
            <w:pPr>
              <w:tabs>
                <w:tab w:val="decimal" w:pos="425"/>
              </w:tabs>
              <w:rPr>
                <w:color w:val="000000"/>
              </w:rPr>
            </w:pPr>
            <w:r w:rsidRPr="00887581">
              <w:rPr>
                <w:color w:val="000000"/>
              </w:rPr>
              <w:t>2.4</w:t>
            </w:r>
            <w:r w:rsidR="00A4658F">
              <w:rPr>
                <w:color w:val="000000"/>
              </w:rPr>
              <w:t>2</w:t>
            </w:r>
          </w:p>
        </w:tc>
        <w:tc>
          <w:tcPr>
            <w:tcW w:w="440" w:type="pct"/>
            <w:tcBorders>
              <w:left w:val="single" w:sz="4" w:space="0" w:color="auto"/>
            </w:tcBorders>
            <w:vAlign w:val="bottom"/>
          </w:tcPr>
          <w:p w14:paraId="2B42392C" w14:textId="75FCA3C4" w:rsidR="00887581" w:rsidRPr="00887581" w:rsidRDefault="00887581" w:rsidP="00887581">
            <w:pPr>
              <w:tabs>
                <w:tab w:val="decimal" w:pos="255"/>
              </w:tabs>
              <w:rPr>
                <w:color w:val="000000"/>
              </w:rPr>
            </w:pPr>
            <w:r w:rsidRPr="00887581">
              <w:rPr>
                <w:color w:val="000000"/>
              </w:rPr>
              <w:t>.0</w:t>
            </w:r>
            <w:r w:rsidR="008B361C">
              <w:rPr>
                <w:color w:val="000000"/>
              </w:rPr>
              <w:t>2</w:t>
            </w:r>
          </w:p>
        </w:tc>
        <w:tc>
          <w:tcPr>
            <w:tcW w:w="440" w:type="pct"/>
            <w:vAlign w:val="bottom"/>
          </w:tcPr>
          <w:p w14:paraId="2698295F" w14:textId="280778F0" w:rsidR="00887581" w:rsidRPr="00887581" w:rsidRDefault="00887581" w:rsidP="00887581">
            <w:pPr>
              <w:tabs>
                <w:tab w:val="decimal" w:pos="255"/>
              </w:tabs>
              <w:rPr>
                <w:color w:val="000000"/>
              </w:rPr>
            </w:pPr>
            <w:r w:rsidRPr="00887581">
              <w:rPr>
                <w:color w:val="000000"/>
              </w:rPr>
              <w:t>.2</w:t>
            </w:r>
            <w:r w:rsidR="008B361C">
              <w:rPr>
                <w:color w:val="000000"/>
              </w:rPr>
              <w:t>1</w:t>
            </w:r>
            <w:r w:rsidRPr="00887581">
              <w:rPr>
                <w:color w:val="000000"/>
              </w:rPr>
              <w:t>***</w:t>
            </w:r>
          </w:p>
        </w:tc>
        <w:tc>
          <w:tcPr>
            <w:tcW w:w="440" w:type="pct"/>
            <w:vAlign w:val="bottom"/>
          </w:tcPr>
          <w:p w14:paraId="3677F9EE" w14:textId="1E7F277A" w:rsidR="00887581" w:rsidRPr="00887581" w:rsidRDefault="00887581" w:rsidP="00887581">
            <w:pPr>
              <w:tabs>
                <w:tab w:val="decimal" w:pos="255"/>
              </w:tabs>
              <w:rPr>
                <w:color w:val="000000"/>
              </w:rPr>
            </w:pPr>
          </w:p>
        </w:tc>
        <w:tc>
          <w:tcPr>
            <w:tcW w:w="440" w:type="pct"/>
            <w:vAlign w:val="bottom"/>
          </w:tcPr>
          <w:p w14:paraId="33BBDFD3" w14:textId="77777777" w:rsidR="00887581" w:rsidRPr="00887581" w:rsidRDefault="00887581" w:rsidP="00887581">
            <w:pPr>
              <w:tabs>
                <w:tab w:val="decimal" w:pos="255"/>
              </w:tabs>
              <w:rPr>
                <w:color w:val="000000"/>
              </w:rPr>
            </w:pPr>
          </w:p>
        </w:tc>
        <w:tc>
          <w:tcPr>
            <w:tcW w:w="440" w:type="pct"/>
            <w:vAlign w:val="bottom"/>
          </w:tcPr>
          <w:p w14:paraId="49867C9D" w14:textId="77777777" w:rsidR="00887581" w:rsidRPr="00887581" w:rsidRDefault="00887581" w:rsidP="00887581">
            <w:pPr>
              <w:tabs>
                <w:tab w:val="decimal" w:pos="255"/>
              </w:tabs>
              <w:rPr>
                <w:color w:val="000000"/>
              </w:rPr>
            </w:pPr>
          </w:p>
        </w:tc>
        <w:tc>
          <w:tcPr>
            <w:tcW w:w="440" w:type="pct"/>
            <w:vAlign w:val="bottom"/>
          </w:tcPr>
          <w:p w14:paraId="47678081" w14:textId="77777777" w:rsidR="00887581" w:rsidRPr="00887581" w:rsidRDefault="00887581" w:rsidP="00887581">
            <w:pPr>
              <w:tabs>
                <w:tab w:val="decimal" w:pos="255"/>
              </w:tabs>
              <w:rPr>
                <w:color w:val="000000"/>
              </w:rPr>
            </w:pPr>
          </w:p>
        </w:tc>
        <w:tc>
          <w:tcPr>
            <w:tcW w:w="443" w:type="pct"/>
            <w:vAlign w:val="bottom"/>
          </w:tcPr>
          <w:p w14:paraId="68B9BD29" w14:textId="77777777" w:rsidR="00887581" w:rsidRPr="00887581" w:rsidRDefault="00887581" w:rsidP="00887581">
            <w:pPr>
              <w:tabs>
                <w:tab w:val="decimal" w:pos="255"/>
              </w:tabs>
              <w:rPr>
                <w:color w:val="000000"/>
              </w:rPr>
            </w:pPr>
          </w:p>
        </w:tc>
      </w:tr>
      <w:tr w:rsidR="00887581" w14:paraId="7ADA7B03" w14:textId="77777777" w:rsidTr="006F7AAF">
        <w:tc>
          <w:tcPr>
            <w:tcW w:w="1037" w:type="pct"/>
            <w:vAlign w:val="center"/>
          </w:tcPr>
          <w:p w14:paraId="24FB711A" w14:textId="2F49A099" w:rsidR="00887581" w:rsidRDefault="00887581" w:rsidP="00887581">
            <w:pPr>
              <w:rPr>
                <w:b/>
                <w:bCs/>
              </w:rPr>
            </w:pPr>
            <w:r>
              <w:rPr>
                <w:color w:val="000000"/>
              </w:rPr>
              <w:t>Education</w:t>
            </w:r>
          </w:p>
        </w:tc>
        <w:tc>
          <w:tcPr>
            <w:tcW w:w="440" w:type="pct"/>
            <w:vAlign w:val="bottom"/>
          </w:tcPr>
          <w:p w14:paraId="5D2EBC40" w14:textId="1CFE51B4" w:rsidR="00887581" w:rsidRPr="00887581" w:rsidRDefault="00A4658F" w:rsidP="007B10E0">
            <w:pPr>
              <w:tabs>
                <w:tab w:val="decimal" w:pos="425"/>
              </w:tabs>
              <w:rPr>
                <w:color w:val="000000"/>
              </w:rPr>
            </w:pPr>
            <w:r>
              <w:rPr>
                <w:color w:val="000000"/>
              </w:rPr>
              <w:t>30.06</w:t>
            </w:r>
          </w:p>
        </w:tc>
        <w:tc>
          <w:tcPr>
            <w:tcW w:w="440" w:type="pct"/>
            <w:tcBorders>
              <w:right w:val="single" w:sz="4" w:space="0" w:color="auto"/>
            </w:tcBorders>
            <w:vAlign w:val="bottom"/>
          </w:tcPr>
          <w:p w14:paraId="64F8B9DD" w14:textId="0B6DCE38" w:rsidR="00887581" w:rsidRPr="00887581" w:rsidRDefault="00887581" w:rsidP="007B10E0">
            <w:pPr>
              <w:tabs>
                <w:tab w:val="decimal" w:pos="425"/>
              </w:tabs>
              <w:rPr>
                <w:color w:val="000000"/>
              </w:rPr>
            </w:pPr>
            <w:r w:rsidRPr="00887581">
              <w:rPr>
                <w:color w:val="000000"/>
              </w:rPr>
              <w:t>6.</w:t>
            </w:r>
            <w:r w:rsidR="00A4658F">
              <w:rPr>
                <w:color w:val="000000"/>
              </w:rPr>
              <w:t>57</w:t>
            </w:r>
          </w:p>
        </w:tc>
        <w:tc>
          <w:tcPr>
            <w:tcW w:w="440" w:type="pct"/>
            <w:tcBorders>
              <w:left w:val="single" w:sz="4" w:space="0" w:color="auto"/>
            </w:tcBorders>
            <w:vAlign w:val="bottom"/>
          </w:tcPr>
          <w:p w14:paraId="34FF5297" w14:textId="2A1117BC" w:rsidR="00887581" w:rsidRPr="00887581" w:rsidRDefault="00887581" w:rsidP="00887581">
            <w:pPr>
              <w:tabs>
                <w:tab w:val="decimal" w:pos="255"/>
              </w:tabs>
              <w:rPr>
                <w:color w:val="000000"/>
              </w:rPr>
            </w:pPr>
            <w:r w:rsidRPr="00887581">
              <w:rPr>
                <w:color w:val="000000"/>
              </w:rPr>
              <w:t>.0</w:t>
            </w:r>
            <w:r w:rsidR="008B361C">
              <w:rPr>
                <w:color w:val="000000"/>
              </w:rPr>
              <w:t>9*</w:t>
            </w:r>
          </w:p>
        </w:tc>
        <w:tc>
          <w:tcPr>
            <w:tcW w:w="440" w:type="pct"/>
            <w:vAlign w:val="bottom"/>
          </w:tcPr>
          <w:p w14:paraId="421035A2" w14:textId="5A536ADB" w:rsidR="00887581" w:rsidRPr="00887581" w:rsidRDefault="00887581" w:rsidP="00887581">
            <w:pPr>
              <w:tabs>
                <w:tab w:val="decimal" w:pos="255"/>
              </w:tabs>
              <w:rPr>
                <w:color w:val="000000"/>
              </w:rPr>
            </w:pPr>
            <w:r w:rsidRPr="00887581">
              <w:rPr>
                <w:color w:val="000000"/>
              </w:rPr>
              <w:t>-.</w:t>
            </w:r>
            <w:r w:rsidR="001E2E62">
              <w:rPr>
                <w:color w:val="000000"/>
              </w:rPr>
              <w:t>30</w:t>
            </w:r>
            <w:r w:rsidRPr="00887581">
              <w:rPr>
                <w:color w:val="000000"/>
              </w:rPr>
              <w:t>***</w:t>
            </w:r>
          </w:p>
        </w:tc>
        <w:tc>
          <w:tcPr>
            <w:tcW w:w="440" w:type="pct"/>
            <w:vAlign w:val="bottom"/>
          </w:tcPr>
          <w:p w14:paraId="02E66C56" w14:textId="183334BA" w:rsidR="00887581" w:rsidRPr="00887581" w:rsidRDefault="00887581" w:rsidP="00887581">
            <w:pPr>
              <w:tabs>
                <w:tab w:val="decimal" w:pos="255"/>
              </w:tabs>
              <w:rPr>
                <w:color w:val="000000"/>
              </w:rPr>
            </w:pPr>
            <w:r w:rsidRPr="00887581">
              <w:rPr>
                <w:color w:val="000000"/>
              </w:rPr>
              <w:t>-.2</w:t>
            </w:r>
            <w:r w:rsidR="00F61F34">
              <w:rPr>
                <w:color w:val="000000"/>
              </w:rPr>
              <w:t>1</w:t>
            </w:r>
            <w:r w:rsidRPr="00887581">
              <w:rPr>
                <w:color w:val="000000"/>
              </w:rPr>
              <w:t>***</w:t>
            </w:r>
          </w:p>
        </w:tc>
        <w:tc>
          <w:tcPr>
            <w:tcW w:w="440" w:type="pct"/>
            <w:vAlign w:val="bottom"/>
          </w:tcPr>
          <w:p w14:paraId="5CD6C29B" w14:textId="64A4B9F7" w:rsidR="00887581" w:rsidRPr="00887581" w:rsidRDefault="00887581" w:rsidP="00887581">
            <w:pPr>
              <w:tabs>
                <w:tab w:val="decimal" w:pos="255"/>
              </w:tabs>
              <w:rPr>
                <w:color w:val="000000"/>
              </w:rPr>
            </w:pPr>
          </w:p>
        </w:tc>
        <w:tc>
          <w:tcPr>
            <w:tcW w:w="440" w:type="pct"/>
            <w:vAlign w:val="bottom"/>
          </w:tcPr>
          <w:p w14:paraId="35F4AA53" w14:textId="77777777" w:rsidR="00887581" w:rsidRPr="00887581" w:rsidRDefault="00887581" w:rsidP="00887581">
            <w:pPr>
              <w:tabs>
                <w:tab w:val="decimal" w:pos="255"/>
              </w:tabs>
              <w:rPr>
                <w:color w:val="000000"/>
              </w:rPr>
            </w:pPr>
          </w:p>
        </w:tc>
        <w:tc>
          <w:tcPr>
            <w:tcW w:w="440" w:type="pct"/>
            <w:vAlign w:val="bottom"/>
          </w:tcPr>
          <w:p w14:paraId="0636FFDB" w14:textId="77777777" w:rsidR="00887581" w:rsidRPr="00887581" w:rsidRDefault="00887581" w:rsidP="00887581">
            <w:pPr>
              <w:tabs>
                <w:tab w:val="decimal" w:pos="255"/>
              </w:tabs>
              <w:rPr>
                <w:color w:val="000000"/>
              </w:rPr>
            </w:pPr>
          </w:p>
        </w:tc>
        <w:tc>
          <w:tcPr>
            <w:tcW w:w="443" w:type="pct"/>
            <w:vAlign w:val="bottom"/>
          </w:tcPr>
          <w:p w14:paraId="070235E6" w14:textId="77777777" w:rsidR="00887581" w:rsidRPr="00887581" w:rsidRDefault="00887581" w:rsidP="00887581">
            <w:pPr>
              <w:tabs>
                <w:tab w:val="decimal" w:pos="255"/>
              </w:tabs>
              <w:rPr>
                <w:color w:val="000000"/>
              </w:rPr>
            </w:pPr>
          </w:p>
        </w:tc>
      </w:tr>
      <w:tr w:rsidR="00887581" w14:paraId="08D102D6" w14:textId="77777777" w:rsidTr="006F7AAF">
        <w:tc>
          <w:tcPr>
            <w:tcW w:w="1037" w:type="pct"/>
            <w:vAlign w:val="center"/>
          </w:tcPr>
          <w:p w14:paraId="2AAE26B7" w14:textId="36A2D2E4" w:rsidR="00887581" w:rsidRDefault="00887581" w:rsidP="00887581">
            <w:pPr>
              <w:rPr>
                <w:b/>
                <w:bCs/>
              </w:rPr>
            </w:pPr>
            <w:r>
              <w:rPr>
                <w:color w:val="000000"/>
              </w:rPr>
              <w:t>Gender</w:t>
            </w:r>
          </w:p>
        </w:tc>
        <w:tc>
          <w:tcPr>
            <w:tcW w:w="440" w:type="pct"/>
            <w:vAlign w:val="bottom"/>
          </w:tcPr>
          <w:p w14:paraId="7610016F" w14:textId="04C9D343" w:rsidR="00887581" w:rsidRPr="00887581" w:rsidRDefault="00887581" w:rsidP="007B10E0">
            <w:pPr>
              <w:tabs>
                <w:tab w:val="decimal" w:pos="425"/>
              </w:tabs>
              <w:rPr>
                <w:color w:val="000000"/>
              </w:rPr>
            </w:pPr>
            <w:r w:rsidRPr="00887581">
              <w:rPr>
                <w:color w:val="000000"/>
              </w:rPr>
              <w:t>49.3</w:t>
            </w:r>
            <w:r w:rsidR="00A4658F">
              <w:rPr>
                <w:color w:val="000000"/>
              </w:rPr>
              <w:t>9</w:t>
            </w:r>
          </w:p>
        </w:tc>
        <w:tc>
          <w:tcPr>
            <w:tcW w:w="440" w:type="pct"/>
            <w:tcBorders>
              <w:right w:val="single" w:sz="4" w:space="0" w:color="auto"/>
            </w:tcBorders>
            <w:vAlign w:val="bottom"/>
          </w:tcPr>
          <w:p w14:paraId="5F14000D" w14:textId="43B4380D" w:rsidR="00887581" w:rsidRPr="00887581" w:rsidRDefault="00887581" w:rsidP="007B10E0">
            <w:pPr>
              <w:tabs>
                <w:tab w:val="decimal" w:pos="425"/>
              </w:tabs>
              <w:rPr>
                <w:color w:val="000000"/>
              </w:rPr>
            </w:pPr>
            <w:r w:rsidRPr="00887581">
              <w:rPr>
                <w:color w:val="000000"/>
              </w:rPr>
              <w:t>.8</w:t>
            </w:r>
            <w:r w:rsidR="00A4658F">
              <w:rPr>
                <w:color w:val="000000"/>
              </w:rPr>
              <w:t>3</w:t>
            </w:r>
          </w:p>
        </w:tc>
        <w:tc>
          <w:tcPr>
            <w:tcW w:w="440" w:type="pct"/>
            <w:tcBorders>
              <w:left w:val="single" w:sz="4" w:space="0" w:color="auto"/>
            </w:tcBorders>
            <w:vAlign w:val="bottom"/>
          </w:tcPr>
          <w:p w14:paraId="1D52CEF6" w14:textId="2DB5B2EA" w:rsidR="00887581" w:rsidRPr="00887581" w:rsidRDefault="00887581" w:rsidP="00887581">
            <w:pPr>
              <w:tabs>
                <w:tab w:val="decimal" w:pos="255"/>
              </w:tabs>
              <w:rPr>
                <w:color w:val="000000"/>
              </w:rPr>
            </w:pPr>
            <w:r w:rsidRPr="00887581">
              <w:rPr>
                <w:color w:val="000000"/>
              </w:rPr>
              <w:t>-.0</w:t>
            </w:r>
            <w:r w:rsidR="008B361C">
              <w:rPr>
                <w:color w:val="000000"/>
              </w:rPr>
              <w:t>7*</w:t>
            </w:r>
          </w:p>
        </w:tc>
        <w:tc>
          <w:tcPr>
            <w:tcW w:w="440" w:type="pct"/>
            <w:vAlign w:val="bottom"/>
          </w:tcPr>
          <w:p w14:paraId="0CDA7DD9" w14:textId="1F3ADAB0" w:rsidR="00887581" w:rsidRPr="00887581" w:rsidRDefault="00887581" w:rsidP="00887581">
            <w:pPr>
              <w:tabs>
                <w:tab w:val="decimal" w:pos="255"/>
              </w:tabs>
              <w:rPr>
                <w:color w:val="000000"/>
              </w:rPr>
            </w:pPr>
            <w:r w:rsidRPr="00887581">
              <w:rPr>
                <w:color w:val="000000"/>
              </w:rPr>
              <w:t>-.1</w:t>
            </w:r>
            <w:r w:rsidR="001E2E62">
              <w:rPr>
                <w:color w:val="000000"/>
              </w:rPr>
              <w:t>4</w:t>
            </w:r>
            <w:r w:rsidRPr="00887581">
              <w:rPr>
                <w:color w:val="000000"/>
              </w:rPr>
              <w:t>***</w:t>
            </w:r>
          </w:p>
        </w:tc>
        <w:tc>
          <w:tcPr>
            <w:tcW w:w="440" w:type="pct"/>
            <w:vAlign w:val="bottom"/>
          </w:tcPr>
          <w:p w14:paraId="351AB670" w14:textId="1907AF98" w:rsidR="00887581" w:rsidRPr="00887581" w:rsidRDefault="00887581" w:rsidP="00887581">
            <w:pPr>
              <w:tabs>
                <w:tab w:val="decimal" w:pos="255"/>
              </w:tabs>
              <w:rPr>
                <w:color w:val="000000"/>
              </w:rPr>
            </w:pPr>
            <w:r w:rsidRPr="00887581">
              <w:rPr>
                <w:color w:val="000000"/>
              </w:rPr>
              <w:t>-.4</w:t>
            </w:r>
            <w:r w:rsidR="00F61F34">
              <w:rPr>
                <w:color w:val="000000"/>
              </w:rPr>
              <w:t>8</w:t>
            </w:r>
            <w:r w:rsidRPr="00887581">
              <w:rPr>
                <w:color w:val="000000"/>
              </w:rPr>
              <w:t>***</w:t>
            </w:r>
          </w:p>
        </w:tc>
        <w:tc>
          <w:tcPr>
            <w:tcW w:w="440" w:type="pct"/>
            <w:vAlign w:val="bottom"/>
          </w:tcPr>
          <w:p w14:paraId="5CD5C0E6" w14:textId="243EC8AD" w:rsidR="00887581" w:rsidRPr="00887581" w:rsidRDefault="00887581" w:rsidP="00887581">
            <w:pPr>
              <w:tabs>
                <w:tab w:val="decimal" w:pos="255"/>
              </w:tabs>
              <w:rPr>
                <w:color w:val="000000"/>
              </w:rPr>
            </w:pPr>
            <w:r w:rsidRPr="00887581">
              <w:rPr>
                <w:color w:val="000000"/>
              </w:rPr>
              <w:t>.1</w:t>
            </w:r>
            <w:r w:rsidR="00F61F34">
              <w:rPr>
                <w:color w:val="000000"/>
              </w:rPr>
              <w:t>1</w:t>
            </w:r>
            <w:r w:rsidRPr="00887581">
              <w:rPr>
                <w:color w:val="000000"/>
              </w:rPr>
              <w:t>**</w:t>
            </w:r>
          </w:p>
        </w:tc>
        <w:tc>
          <w:tcPr>
            <w:tcW w:w="440" w:type="pct"/>
            <w:vAlign w:val="bottom"/>
          </w:tcPr>
          <w:p w14:paraId="0F562C12" w14:textId="328648D4" w:rsidR="00887581" w:rsidRPr="00887581" w:rsidRDefault="00887581" w:rsidP="00887581">
            <w:pPr>
              <w:tabs>
                <w:tab w:val="decimal" w:pos="255"/>
              </w:tabs>
              <w:rPr>
                <w:color w:val="000000"/>
              </w:rPr>
            </w:pPr>
          </w:p>
        </w:tc>
        <w:tc>
          <w:tcPr>
            <w:tcW w:w="440" w:type="pct"/>
            <w:vAlign w:val="bottom"/>
          </w:tcPr>
          <w:p w14:paraId="77E57352" w14:textId="77777777" w:rsidR="00887581" w:rsidRPr="00887581" w:rsidRDefault="00887581" w:rsidP="00887581">
            <w:pPr>
              <w:tabs>
                <w:tab w:val="decimal" w:pos="255"/>
              </w:tabs>
              <w:rPr>
                <w:color w:val="000000"/>
              </w:rPr>
            </w:pPr>
          </w:p>
        </w:tc>
        <w:tc>
          <w:tcPr>
            <w:tcW w:w="443" w:type="pct"/>
            <w:vAlign w:val="bottom"/>
          </w:tcPr>
          <w:p w14:paraId="38860740" w14:textId="77777777" w:rsidR="00887581" w:rsidRPr="00887581" w:rsidRDefault="00887581" w:rsidP="00887581">
            <w:pPr>
              <w:tabs>
                <w:tab w:val="decimal" w:pos="255"/>
              </w:tabs>
              <w:rPr>
                <w:color w:val="000000"/>
              </w:rPr>
            </w:pPr>
          </w:p>
        </w:tc>
      </w:tr>
      <w:tr w:rsidR="00887581" w14:paraId="50869E3A" w14:textId="77777777" w:rsidTr="006F7AAF">
        <w:tc>
          <w:tcPr>
            <w:tcW w:w="1037" w:type="pct"/>
            <w:vAlign w:val="center"/>
          </w:tcPr>
          <w:p w14:paraId="55668463" w14:textId="1F814F58" w:rsidR="00887581" w:rsidRDefault="00887581" w:rsidP="00887581">
            <w:pPr>
              <w:rPr>
                <w:b/>
                <w:bCs/>
              </w:rPr>
            </w:pPr>
            <w:r>
              <w:rPr>
                <w:color w:val="000000"/>
              </w:rPr>
              <w:t>Race</w:t>
            </w:r>
          </w:p>
        </w:tc>
        <w:tc>
          <w:tcPr>
            <w:tcW w:w="440" w:type="pct"/>
            <w:vAlign w:val="bottom"/>
          </w:tcPr>
          <w:p w14:paraId="58F1B017" w14:textId="6E9A3034" w:rsidR="00887581" w:rsidRPr="00887581" w:rsidRDefault="00887581" w:rsidP="007B10E0">
            <w:pPr>
              <w:tabs>
                <w:tab w:val="decimal" w:pos="425"/>
              </w:tabs>
              <w:rPr>
                <w:color w:val="000000"/>
              </w:rPr>
            </w:pPr>
            <w:r w:rsidRPr="00887581">
              <w:rPr>
                <w:color w:val="000000"/>
              </w:rPr>
              <w:t>7</w:t>
            </w:r>
            <w:r w:rsidR="00A4658F">
              <w:rPr>
                <w:color w:val="000000"/>
              </w:rPr>
              <w:t>5.75</w:t>
            </w:r>
          </w:p>
        </w:tc>
        <w:tc>
          <w:tcPr>
            <w:tcW w:w="440" w:type="pct"/>
            <w:tcBorders>
              <w:right w:val="single" w:sz="4" w:space="0" w:color="auto"/>
            </w:tcBorders>
            <w:vAlign w:val="bottom"/>
          </w:tcPr>
          <w:p w14:paraId="4AFD524C" w14:textId="5435F673" w:rsidR="00887581" w:rsidRPr="00887581" w:rsidRDefault="00887581" w:rsidP="007B10E0">
            <w:pPr>
              <w:tabs>
                <w:tab w:val="decimal" w:pos="425"/>
              </w:tabs>
              <w:rPr>
                <w:color w:val="000000"/>
              </w:rPr>
            </w:pPr>
            <w:r w:rsidRPr="00887581">
              <w:rPr>
                <w:color w:val="000000"/>
              </w:rPr>
              <w:t>1</w:t>
            </w:r>
            <w:r w:rsidR="00A4658F">
              <w:rPr>
                <w:color w:val="000000"/>
              </w:rPr>
              <w:t>4.11</w:t>
            </w:r>
          </w:p>
        </w:tc>
        <w:tc>
          <w:tcPr>
            <w:tcW w:w="440" w:type="pct"/>
            <w:tcBorders>
              <w:left w:val="single" w:sz="4" w:space="0" w:color="auto"/>
            </w:tcBorders>
            <w:vAlign w:val="bottom"/>
          </w:tcPr>
          <w:p w14:paraId="734B15AF" w14:textId="6B649D08" w:rsidR="00887581" w:rsidRPr="00887581" w:rsidRDefault="00887581" w:rsidP="00887581">
            <w:pPr>
              <w:tabs>
                <w:tab w:val="decimal" w:pos="255"/>
              </w:tabs>
              <w:rPr>
                <w:color w:val="000000"/>
              </w:rPr>
            </w:pPr>
            <w:r w:rsidRPr="00887581">
              <w:rPr>
                <w:color w:val="000000"/>
              </w:rPr>
              <w:t>-.0</w:t>
            </w:r>
            <w:r w:rsidR="008B361C">
              <w:rPr>
                <w:color w:val="000000"/>
              </w:rPr>
              <w:t>2</w:t>
            </w:r>
          </w:p>
        </w:tc>
        <w:tc>
          <w:tcPr>
            <w:tcW w:w="440" w:type="pct"/>
            <w:vAlign w:val="bottom"/>
          </w:tcPr>
          <w:p w14:paraId="228BBFE1" w14:textId="5FE5EF9C" w:rsidR="00887581" w:rsidRPr="00887581" w:rsidRDefault="00887581" w:rsidP="00887581">
            <w:pPr>
              <w:tabs>
                <w:tab w:val="decimal" w:pos="255"/>
              </w:tabs>
              <w:rPr>
                <w:color w:val="000000"/>
              </w:rPr>
            </w:pPr>
            <w:r w:rsidRPr="00887581">
              <w:rPr>
                <w:color w:val="000000"/>
              </w:rPr>
              <w:t>-.</w:t>
            </w:r>
            <w:r w:rsidR="001E2E62">
              <w:rPr>
                <w:color w:val="000000"/>
              </w:rPr>
              <w:t>0</w:t>
            </w:r>
            <w:r w:rsidRPr="00887581">
              <w:rPr>
                <w:color w:val="000000"/>
              </w:rPr>
              <w:t>8*</w:t>
            </w:r>
          </w:p>
        </w:tc>
        <w:tc>
          <w:tcPr>
            <w:tcW w:w="440" w:type="pct"/>
            <w:vAlign w:val="bottom"/>
          </w:tcPr>
          <w:p w14:paraId="664CE464" w14:textId="30CAA889" w:rsidR="00887581" w:rsidRPr="00887581" w:rsidRDefault="00441776" w:rsidP="00887581">
            <w:pPr>
              <w:tabs>
                <w:tab w:val="decimal" w:pos="255"/>
              </w:tabs>
              <w:rPr>
                <w:color w:val="000000"/>
              </w:rPr>
            </w:pPr>
            <w:r>
              <w:rPr>
                <w:color w:val="000000"/>
              </w:rPr>
              <w:t>-</w:t>
            </w:r>
            <w:r w:rsidR="00887581" w:rsidRPr="00887581">
              <w:rPr>
                <w:color w:val="000000"/>
              </w:rPr>
              <w:t>.</w:t>
            </w:r>
            <w:r w:rsidR="00F61F34">
              <w:rPr>
                <w:color w:val="000000"/>
              </w:rPr>
              <w:t>13***</w:t>
            </w:r>
          </w:p>
        </w:tc>
        <w:tc>
          <w:tcPr>
            <w:tcW w:w="440" w:type="pct"/>
            <w:vAlign w:val="bottom"/>
          </w:tcPr>
          <w:p w14:paraId="2EE2BF60" w14:textId="0F61D668" w:rsidR="00887581" w:rsidRPr="00887581" w:rsidRDefault="00887581" w:rsidP="00887581">
            <w:pPr>
              <w:tabs>
                <w:tab w:val="decimal" w:pos="255"/>
              </w:tabs>
              <w:rPr>
                <w:color w:val="000000"/>
              </w:rPr>
            </w:pPr>
            <w:r w:rsidRPr="00887581">
              <w:rPr>
                <w:color w:val="000000"/>
              </w:rPr>
              <w:t>.</w:t>
            </w:r>
            <w:r w:rsidR="00F61F34">
              <w:rPr>
                <w:color w:val="000000"/>
              </w:rPr>
              <w:t>14</w:t>
            </w:r>
            <w:r w:rsidRPr="00887581">
              <w:rPr>
                <w:color w:val="000000"/>
              </w:rPr>
              <w:t>***</w:t>
            </w:r>
          </w:p>
        </w:tc>
        <w:tc>
          <w:tcPr>
            <w:tcW w:w="440" w:type="pct"/>
            <w:vAlign w:val="bottom"/>
          </w:tcPr>
          <w:p w14:paraId="4BD480B1" w14:textId="7D3B7D4A" w:rsidR="00887581" w:rsidRPr="00887581" w:rsidRDefault="00887581" w:rsidP="00887581">
            <w:pPr>
              <w:tabs>
                <w:tab w:val="decimal" w:pos="255"/>
              </w:tabs>
              <w:rPr>
                <w:color w:val="000000"/>
              </w:rPr>
            </w:pPr>
            <w:r w:rsidRPr="00887581">
              <w:rPr>
                <w:color w:val="000000"/>
              </w:rPr>
              <w:t>.</w:t>
            </w:r>
            <w:r w:rsidR="00F2059F">
              <w:rPr>
                <w:color w:val="000000"/>
              </w:rPr>
              <w:t>11*</w:t>
            </w:r>
            <w:r w:rsidRPr="00887581">
              <w:rPr>
                <w:color w:val="000000"/>
              </w:rPr>
              <w:t>*</w:t>
            </w:r>
          </w:p>
        </w:tc>
        <w:tc>
          <w:tcPr>
            <w:tcW w:w="440" w:type="pct"/>
            <w:vAlign w:val="bottom"/>
          </w:tcPr>
          <w:p w14:paraId="3259F6B2" w14:textId="71BE7473" w:rsidR="00887581" w:rsidRPr="00887581" w:rsidRDefault="00887581" w:rsidP="00887581">
            <w:pPr>
              <w:tabs>
                <w:tab w:val="decimal" w:pos="255"/>
              </w:tabs>
              <w:rPr>
                <w:color w:val="000000"/>
              </w:rPr>
            </w:pPr>
          </w:p>
        </w:tc>
        <w:tc>
          <w:tcPr>
            <w:tcW w:w="443" w:type="pct"/>
            <w:vAlign w:val="bottom"/>
          </w:tcPr>
          <w:p w14:paraId="4059CFD3" w14:textId="77777777" w:rsidR="00887581" w:rsidRPr="00887581" w:rsidRDefault="00887581" w:rsidP="00887581">
            <w:pPr>
              <w:tabs>
                <w:tab w:val="decimal" w:pos="255"/>
              </w:tabs>
              <w:rPr>
                <w:color w:val="000000"/>
              </w:rPr>
            </w:pPr>
          </w:p>
        </w:tc>
      </w:tr>
      <w:tr w:rsidR="00887581" w14:paraId="3BC4E050" w14:textId="77777777" w:rsidTr="006F7AAF">
        <w:tc>
          <w:tcPr>
            <w:tcW w:w="1037" w:type="pct"/>
            <w:vAlign w:val="center"/>
          </w:tcPr>
          <w:p w14:paraId="57710956" w14:textId="3ECDA6A1" w:rsidR="00887581" w:rsidRDefault="00887581" w:rsidP="00887581">
            <w:pPr>
              <w:rPr>
                <w:b/>
                <w:bCs/>
              </w:rPr>
            </w:pPr>
            <w:r>
              <w:rPr>
                <w:color w:val="000000"/>
              </w:rPr>
              <w:t>Income</w:t>
            </w:r>
          </w:p>
        </w:tc>
        <w:tc>
          <w:tcPr>
            <w:tcW w:w="440" w:type="pct"/>
            <w:vAlign w:val="bottom"/>
          </w:tcPr>
          <w:p w14:paraId="26800228" w14:textId="20CF0A65" w:rsidR="00887581" w:rsidRPr="00887581" w:rsidRDefault="00887581" w:rsidP="007B10E0">
            <w:pPr>
              <w:tabs>
                <w:tab w:val="decimal" w:pos="425"/>
              </w:tabs>
              <w:rPr>
                <w:color w:val="000000"/>
              </w:rPr>
            </w:pPr>
            <w:r w:rsidRPr="00887581">
              <w:rPr>
                <w:color w:val="000000"/>
              </w:rPr>
              <w:t>7.</w:t>
            </w:r>
            <w:r w:rsidR="00A4658F">
              <w:rPr>
                <w:color w:val="000000"/>
              </w:rPr>
              <w:t>64</w:t>
            </w:r>
          </w:p>
        </w:tc>
        <w:tc>
          <w:tcPr>
            <w:tcW w:w="440" w:type="pct"/>
            <w:tcBorders>
              <w:right w:val="single" w:sz="4" w:space="0" w:color="auto"/>
            </w:tcBorders>
            <w:vAlign w:val="bottom"/>
          </w:tcPr>
          <w:p w14:paraId="17DF912D" w14:textId="3E0B94A8" w:rsidR="00887581" w:rsidRPr="00887581" w:rsidRDefault="00887581" w:rsidP="007B10E0">
            <w:pPr>
              <w:tabs>
                <w:tab w:val="decimal" w:pos="425"/>
              </w:tabs>
              <w:rPr>
                <w:color w:val="000000"/>
              </w:rPr>
            </w:pPr>
            <w:r w:rsidRPr="00887581">
              <w:rPr>
                <w:color w:val="000000"/>
              </w:rPr>
              <w:t>1.</w:t>
            </w:r>
            <w:r w:rsidR="00A4658F">
              <w:rPr>
                <w:color w:val="000000"/>
              </w:rPr>
              <w:t>68</w:t>
            </w:r>
          </w:p>
        </w:tc>
        <w:tc>
          <w:tcPr>
            <w:tcW w:w="440" w:type="pct"/>
            <w:tcBorders>
              <w:left w:val="single" w:sz="4" w:space="0" w:color="auto"/>
            </w:tcBorders>
            <w:vAlign w:val="bottom"/>
          </w:tcPr>
          <w:p w14:paraId="76D11A40" w14:textId="243F7833" w:rsidR="00887581" w:rsidRPr="00887581" w:rsidRDefault="00887581" w:rsidP="00887581">
            <w:pPr>
              <w:tabs>
                <w:tab w:val="decimal" w:pos="255"/>
              </w:tabs>
              <w:rPr>
                <w:color w:val="000000"/>
              </w:rPr>
            </w:pPr>
            <w:r w:rsidRPr="00887581">
              <w:rPr>
                <w:color w:val="000000"/>
              </w:rPr>
              <w:t>.</w:t>
            </w:r>
            <w:r w:rsidR="008B361C">
              <w:rPr>
                <w:color w:val="000000"/>
              </w:rPr>
              <w:t>11</w:t>
            </w:r>
            <w:r w:rsidRPr="00887581">
              <w:rPr>
                <w:color w:val="000000"/>
              </w:rPr>
              <w:t>*</w:t>
            </w:r>
            <w:r w:rsidR="008B361C">
              <w:rPr>
                <w:color w:val="000000"/>
              </w:rPr>
              <w:t>*</w:t>
            </w:r>
          </w:p>
        </w:tc>
        <w:tc>
          <w:tcPr>
            <w:tcW w:w="440" w:type="pct"/>
            <w:vAlign w:val="bottom"/>
          </w:tcPr>
          <w:p w14:paraId="4EE8FE36" w14:textId="152D5EDF" w:rsidR="00887581" w:rsidRPr="00887581" w:rsidRDefault="00887581" w:rsidP="00887581">
            <w:pPr>
              <w:tabs>
                <w:tab w:val="decimal" w:pos="255"/>
              </w:tabs>
              <w:rPr>
                <w:color w:val="000000"/>
              </w:rPr>
            </w:pPr>
            <w:r w:rsidRPr="00887581">
              <w:rPr>
                <w:color w:val="000000"/>
              </w:rPr>
              <w:t>-.</w:t>
            </w:r>
            <w:r w:rsidR="00F61F34">
              <w:rPr>
                <w:color w:val="000000"/>
              </w:rPr>
              <w:t>09</w:t>
            </w:r>
            <w:r w:rsidRPr="00887581">
              <w:rPr>
                <w:color w:val="000000"/>
              </w:rPr>
              <w:t>**</w:t>
            </w:r>
          </w:p>
        </w:tc>
        <w:tc>
          <w:tcPr>
            <w:tcW w:w="440" w:type="pct"/>
            <w:vAlign w:val="bottom"/>
          </w:tcPr>
          <w:p w14:paraId="5B6D4C49" w14:textId="12258E4C" w:rsidR="00887581" w:rsidRPr="00887581" w:rsidRDefault="00887581" w:rsidP="00887581">
            <w:pPr>
              <w:tabs>
                <w:tab w:val="decimal" w:pos="255"/>
              </w:tabs>
              <w:rPr>
                <w:color w:val="000000"/>
              </w:rPr>
            </w:pPr>
            <w:r w:rsidRPr="00887581">
              <w:rPr>
                <w:color w:val="000000"/>
              </w:rPr>
              <w:t>-.</w:t>
            </w:r>
            <w:r w:rsidR="00F61F34">
              <w:rPr>
                <w:color w:val="000000"/>
              </w:rPr>
              <w:t>31</w:t>
            </w:r>
            <w:r w:rsidRPr="00887581">
              <w:rPr>
                <w:color w:val="000000"/>
              </w:rPr>
              <w:t>***</w:t>
            </w:r>
          </w:p>
        </w:tc>
        <w:tc>
          <w:tcPr>
            <w:tcW w:w="440" w:type="pct"/>
            <w:vAlign w:val="bottom"/>
          </w:tcPr>
          <w:p w14:paraId="0B14713A" w14:textId="1E8C9177" w:rsidR="00887581" w:rsidRPr="00887581" w:rsidRDefault="00887581" w:rsidP="00887581">
            <w:pPr>
              <w:tabs>
                <w:tab w:val="decimal" w:pos="255"/>
              </w:tabs>
              <w:rPr>
                <w:color w:val="000000"/>
              </w:rPr>
            </w:pPr>
            <w:r w:rsidRPr="00887581">
              <w:rPr>
                <w:color w:val="000000"/>
              </w:rPr>
              <w:t>.5</w:t>
            </w:r>
            <w:r w:rsidR="00F61F34">
              <w:rPr>
                <w:color w:val="000000"/>
              </w:rPr>
              <w:t>8</w:t>
            </w:r>
            <w:r w:rsidRPr="00887581">
              <w:rPr>
                <w:color w:val="000000"/>
              </w:rPr>
              <w:t>***</w:t>
            </w:r>
          </w:p>
        </w:tc>
        <w:tc>
          <w:tcPr>
            <w:tcW w:w="440" w:type="pct"/>
            <w:vAlign w:val="bottom"/>
          </w:tcPr>
          <w:p w14:paraId="2A487658" w14:textId="0A270780" w:rsidR="00887581" w:rsidRPr="00887581" w:rsidRDefault="00887581" w:rsidP="00887581">
            <w:pPr>
              <w:tabs>
                <w:tab w:val="decimal" w:pos="255"/>
              </w:tabs>
              <w:rPr>
                <w:color w:val="000000"/>
              </w:rPr>
            </w:pPr>
            <w:r w:rsidRPr="00887581">
              <w:rPr>
                <w:color w:val="000000"/>
              </w:rPr>
              <w:t>.2</w:t>
            </w:r>
            <w:r w:rsidR="00F2059F">
              <w:rPr>
                <w:color w:val="000000"/>
              </w:rPr>
              <w:t>1</w:t>
            </w:r>
            <w:r w:rsidRPr="00887581">
              <w:rPr>
                <w:color w:val="000000"/>
              </w:rPr>
              <w:t>***</w:t>
            </w:r>
          </w:p>
        </w:tc>
        <w:tc>
          <w:tcPr>
            <w:tcW w:w="440" w:type="pct"/>
            <w:vAlign w:val="bottom"/>
          </w:tcPr>
          <w:p w14:paraId="38F0D141" w14:textId="0F473531" w:rsidR="00887581" w:rsidRPr="00887581" w:rsidRDefault="00F2059F" w:rsidP="00887581">
            <w:pPr>
              <w:tabs>
                <w:tab w:val="decimal" w:pos="255"/>
              </w:tabs>
              <w:rPr>
                <w:color w:val="000000"/>
              </w:rPr>
            </w:pPr>
            <w:r>
              <w:rPr>
                <w:color w:val="000000"/>
              </w:rPr>
              <w:t>-</w:t>
            </w:r>
            <w:r w:rsidR="00887581" w:rsidRPr="00887581">
              <w:rPr>
                <w:color w:val="000000"/>
              </w:rPr>
              <w:t>.0</w:t>
            </w:r>
            <w:r>
              <w:rPr>
                <w:color w:val="000000"/>
              </w:rPr>
              <w:t>1**</w:t>
            </w:r>
          </w:p>
        </w:tc>
        <w:tc>
          <w:tcPr>
            <w:tcW w:w="443" w:type="pct"/>
            <w:vAlign w:val="bottom"/>
          </w:tcPr>
          <w:p w14:paraId="099888CD" w14:textId="1CAB468E" w:rsidR="00887581" w:rsidRPr="00887581" w:rsidRDefault="00887581" w:rsidP="00887581">
            <w:pPr>
              <w:tabs>
                <w:tab w:val="decimal" w:pos="255"/>
              </w:tabs>
              <w:rPr>
                <w:color w:val="000000"/>
              </w:rPr>
            </w:pPr>
          </w:p>
        </w:tc>
      </w:tr>
      <w:tr w:rsidR="00887581" w14:paraId="1300BF63" w14:textId="77777777" w:rsidTr="006F7AAF">
        <w:tc>
          <w:tcPr>
            <w:tcW w:w="1037" w:type="pct"/>
            <w:tcBorders>
              <w:bottom w:val="single" w:sz="4" w:space="0" w:color="auto"/>
            </w:tcBorders>
            <w:vAlign w:val="center"/>
          </w:tcPr>
          <w:p w14:paraId="41981714" w14:textId="1EBAE5B3" w:rsidR="00887581" w:rsidRDefault="00887581" w:rsidP="00887581">
            <w:pPr>
              <w:rPr>
                <w:color w:val="000000"/>
              </w:rPr>
            </w:pPr>
            <w:r>
              <w:rPr>
                <w:color w:val="000000"/>
              </w:rPr>
              <w:t>Population Density</w:t>
            </w:r>
          </w:p>
        </w:tc>
        <w:tc>
          <w:tcPr>
            <w:tcW w:w="440" w:type="pct"/>
            <w:tcBorders>
              <w:bottom w:val="single" w:sz="4" w:space="0" w:color="auto"/>
            </w:tcBorders>
            <w:vAlign w:val="bottom"/>
          </w:tcPr>
          <w:p w14:paraId="02BA3469" w14:textId="1894FD4F" w:rsidR="00887581" w:rsidRPr="00887581" w:rsidRDefault="00A4658F" w:rsidP="007B10E0">
            <w:pPr>
              <w:tabs>
                <w:tab w:val="decimal" w:pos="425"/>
              </w:tabs>
              <w:rPr>
                <w:color w:val="000000"/>
              </w:rPr>
            </w:pPr>
            <w:r>
              <w:rPr>
                <w:color w:val="000000"/>
              </w:rPr>
              <w:t>4.02</w:t>
            </w:r>
          </w:p>
        </w:tc>
        <w:tc>
          <w:tcPr>
            <w:tcW w:w="440" w:type="pct"/>
            <w:tcBorders>
              <w:bottom w:val="single" w:sz="4" w:space="0" w:color="auto"/>
              <w:right w:val="single" w:sz="4" w:space="0" w:color="auto"/>
            </w:tcBorders>
            <w:vAlign w:val="bottom"/>
          </w:tcPr>
          <w:p w14:paraId="3C7940F7" w14:textId="7B493A1E" w:rsidR="00887581" w:rsidRPr="00887581" w:rsidRDefault="00887581" w:rsidP="007B10E0">
            <w:pPr>
              <w:tabs>
                <w:tab w:val="decimal" w:pos="425"/>
              </w:tabs>
              <w:rPr>
                <w:color w:val="000000"/>
              </w:rPr>
            </w:pPr>
            <w:r w:rsidRPr="00887581">
              <w:rPr>
                <w:color w:val="000000"/>
              </w:rPr>
              <w:t>14.</w:t>
            </w:r>
            <w:r w:rsidR="00A4658F">
              <w:rPr>
                <w:color w:val="000000"/>
              </w:rPr>
              <w:t>63</w:t>
            </w:r>
          </w:p>
        </w:tc>
        <w:tc>
          <w:tcPr>
            <w:tcW w:w="440" w:type="pct"/>
            <w:tcBorders>
              <w:left w:val="single" w:sz="4" w:space="0" w:color="auto"/>
              <w:bottom w:val="single" w:sz="4" w:space="0" w:color="auto"/>
            </w:tcBorders>
            <w:vAlign w:val="bottom"/>
          </w:tcPr>
          <w:p w14:paraId="12BE0CA4" w14:textId="766D7EDD" w:rsidR="00887581" w:rsidRPr="00887581" w:rsidRDefault="00887581" w:rsidP="00887581">
            <w:pPr>
              <w:tabs>
                <w:tab w:val="decimal" w:pos="255"/>
              </w:tabs>
              <w:rPr>
                <w:color w:val="000000"/>
              </w:rPr>
            </w:pPr>
            <w:r w:rsidRPr="00887581">
              <w:rPr>
                <w:color w:val="000000"/>
              </w:rPr>
              <w:t>.0</w:t>
            </w:r>
            <w:r w:rsidR="008B361C">
              <w:rPr>
                <w:color w:val="000000"/>
              </w:rPr>
              <w:t>8*</w:t>
            </w:r>
          </w:p>
        </w:tc>
        <w:tc>
          <w:tcPr>
            <w:tcW w:w="440" w:type="pct"/>
            <w:tcBorders>
              <w:bottom w:val="single" w:sz="4" w:space="0" w:color="auto"/>
            </w:tcBorders>
            <w:vAlign w:val="bottom"/>
          </w:tcPr>
          <w:p w14:paraId="1FF7AFF2" w14:textId="70D24F79" w:rsidR="00887581" w:rsidRPr="00887581" w:rsidRDefault="00887581" w:rsidP="00887581">
            <w:pPr>
              <w:tabs>
                <w:tab w:val="decimal" w:pos="255"/>
              </w:tabs>
              <w:rPr>
                <w:color w:val="000000"/>
              </w:rPr>
            </w:pPr>
            <w:r w:rsidRPr="00887581">
              <w:rPr>
                <w:color w:val="000000"/>
              </w:rPr>
              <w:t>-.30***</w:t>
            </w:r>
          </w:p>
        </w:tc>
        <w:tc>
          <w:tcPr>
            <w:tcW w:w="440" w:type="pct"/>
            <w:tcBorders>
              <w:bottom w:val="single" w:sz="4" w:space="0" w:color="auto"/>
            </w:tcBorders>
            <w:vAlign w:val="bottom"/>
          </w:tcPr>
          <w:p w14:paraId="7C258B83" w14:textId="70D21F11" w:rsidR="00887581" w:rsidRPr="00887581" w:rsidRDefault="00887581" w:rsidP="00887581">
            <w:pPr>
              <w:tabs>
                <w:tab w:val="decimal" w:pos="255"/>
              </w:tabs>
              <w:rPr>
                <w:color w:val="000000"/>
              </w:rPr>
            </w:pPr>
            <w:r w:rsidRPr="00887581">
              <w:rPr>
                <w:color w:val="000000"/>
              </w:rPr>
              <w:t>-.2</w:t>
            </w:r>
            <w:r w:rsidR="00F61F34">
              <w:rPr>
                <w:color w:val="000000"/>
              </w:rPr>
              <w:t>6</w:t>
            </w:r>
            <w:r w:rsidRPr="00887581">
              <w:rPr>
                <w:color w:val="000000"/>
              </w:rPr>
              <w:t>***</w:t>
            </w:r>
          </w:p>
        </w:tc>
        <w:tc>
          <w:tcPr>
            <w:tcW w:w="440" w:type="pct"/>
            <w:tcBorders>
              <w:bottom w:val="single" w:sz="4" w:space="0" w:color="auto"/>
            </w:tcBorders>
            <w:vAlign w:val="bottom"/>
          </w:tcPr>
          <w:p w14:paraId="47660E0F" w14:textId="4A336B9C" w:rsidR="00887581" w:rsidRPr="00887581" w:rsidRDefault="00887581" w:rsidP="00887581">
            <w:pPr>
              <w:tabs>
                <w:tab w:val="decimal" w:pos="255"/>
              </w:tabs>
              <w:rPr>
                <w:color w:val="000000"/>
              </w:rPr>
            </w:pPr>
            <w:r w:rsidRPr="00887581">
              <w:rPr>
                <w:color w:val="000000"/>
              </w:rPr>
              <w:t>.</w:t>
            </w:r>
            <w:r w:rsidR="00F61F34">
              <w:rPr>
                <w:color w:val="000000"/>
              </w:rPr>
              <w:t>55</w:t>
            </w:r>
            <w:r w:rsidRPr="00887581">
              <w:rPr>
                <w:color w:val="000000"/>
              </w:rPr>
              <w:t>***</w:t>
            </w:r>
          </w:p>
        </w:tc>
        <w:tc>
          <w:tcPr>
            <w:tcW w:w="440" w:type="pct"/>
            <w:tcBorders>
              <w:bottom w:val="single" w:sz="4" w:space="0" w:color="auto"/>
            </w:tcBorders>
            <w:vAlign w:val="bottom"/>
          </w:tcPr>
          <w:p w14:paraId="31363DD3" w14:textId="1A92CCDB" w:rsidR="00887581" w:rsidRPr="00887581" w:rsidRDefault="00887581" w:rsidP="00887581">
            <w:pPr>
              <w:tabs>
                <w:tab w:val="decimal" w:pos="255"/>
              </w:tabs>
              <w:rPr>
                <w:color w:val="000000"/>
              </w:rPr>
            </w:pPr>
            <w:r w:rsidRPr="00887581">
              <w:rPr>
                <w:color w:val="000000"/>
              </w:rPr>
              <w:t>.</w:t>
            </w:r>
            <w:r w:rsidR="00F2059F">
              <w:rPr>
                <w:color w:val="000000"/>
              </w:rPr>
              <w:t>08</w:t>
            </w:r>
            <w:r w:rsidRPr="00887581">
              <w:rPr>
                <w:color w:val="000000"/>
              </w:rPr>
              <w:t>*</w:t>
            </w:r>
          </w:p>
        </w:tc>
        <w:tc>
          <w:tcPr>
            <w:tcW w:w="440" w:type="pct"/>
            <w:tcBorders>
              <w:bottom w:val="single" w:sz="4" w:space="0" w:color="auto"/>
            </w:tcBorders>
            <w:vAlign w:val="bottom"/>
          </w:tcPr>
          <w:p w14:paraId="08EEA278" w14:textId="66706823" w:rsidR="00887581" w:rsidRPr="00887581" w:rsidRDefault="00887581" w:rsidP="00887581">
            <w:pPr>
              <w:tabs>
                <w:tab w:val="decimal" w:pos="255"/>
              </w:tabs>
              <w:rPr>
                <w:color w:val="000000"/>
              </w:rPr>
            </w:pPr>
            <w:r w:rsidRPr="00887581">
              <w:rPr>
                <w:color w:val="000000"/>
              </w:rPr>
              <w:t>.</w:t>
            </w:r>
            <w:r w:rsidR="00F2059F">
              <w:rPr>
                <w:color w:val="000000"/>
              </w:rPr>
              <w:t>19</w:t>
            </w:r>
            <w:r w:rsidRPr="00887581">
              <w:rPr>
                <w:color w:val="000000"/>
              </w:rPr>
              <w:t>***</w:t>
            </w:r>
          </w:p>
        </w:tc>
        <w:tc>
          <w:tcPr>
            <w:tcW w:w="443" w:type="pct"/>
            <w:tcBorders>
              <w:bottom w:val="single" w:sz="4" w:space="0" w:color="auto"/>
            </w:tcBorders>
            <w:vAlign w:val="bottom"/>
          </w:tcPr>
          <w:p w14:paraId="45DB8EC4" w14:textId="271FCD4A" w:rsidR="00887581" w:rsidRPr="00887581" w:rsidRDefault="00887581" w:rsidP="00887581">
            <w:pPr>
              <w:tabs>
                <w:tab w:val="decimal" w:pos="255"/>
              </w:tabs>
              <w:rPr>
                <w:color w:val="000000"/>
              </w:rPr>
            </w:pPr>
            <w:r w:rsidRPr="00887581">
              <w:rPr>
                <w:color w:val="000000"/>
              </w:rPr>
              <w:t>.4</w:t>
            </w:r>
            <w:r w:rsidR="00F2059F">
              <w:rPr>
                <w:color w:val="000000"/>
              </w:rPr>
              <w:t>0</w:t>
            </w:r>
            <w:r w:rsidRPr="00887581">
              <w:rPr>
                <w:color w:val="000000"/>
              </w:rPr>
              <w:t>***</w:t>
            </w:r>
          </w:p>
        </w:tc>
      </w:tr>
    </w:tbl>
    <w:p w14:paraId="06CF45F8" w14:textId="6A783633" w:rsidR="00BC0BB6" w:rsidRPr="00026E9A" w:rsidRDefault="00026E9A">
      <w:pPr>
        <w:rPr>
          <w:sz w:val="21"/>
          <w:szCs w:val="21"/>
        </w:rPr>
      </w:pPr>
      <w:r w:rsidRPr="00026E9A">
        <w:rPr>
          <w:sz w:val="21"/>
          <w:szCs w:val="21"/>
        </w:rPr>
        <w:t>Notes.</w:t>
      </w:r>
      <w:r>
        <w:rPr>
          <w:sz w:val="21"/>
          <w:szCs w:val="21"/>
        </w:rPr>
        <w:t xml:space="preserve"> </w:t>
      </w:r>
      <w:r w:rsidR="00D91ED4" w:rsidRPr="000755EC">
        <w:rPr>
          <w:color w:val="000000"/>
          <w:sz w:val="21"/>
          <w:szCs w:val="21"/>
        </w:rPr>
        <w:t>* p &lt; .05, ** p &lt; .01, *** p &lt; .001</w:t>
      </w:r>
      <w:r w:rsidR="00D91ED4">
        <w:rPr>
          <w:color w:val="000000"/>
          <w:sz w:val="21"/>
          <w:szCs w:val="21"/>
        </w:rPr>
        <w:t>.</w:t>
      </w:r>
      <w:r w:rsidR="00BC0BB6" w:rsidRPr="00026E9A">
        <w:rPr>
          <w:sz w:val="21"/>
          <w:szCs w:val="21"/>
        </w:rPr>
        <w:br w:type="page"/>
      </w:r>
    </w:p>
    <w:p w14:paraId="0A13E75E" w14:textId="1890B84D" w:rsidR="00042189" w:rsidRPr="006F7AAF" w:rsidRDefault="0083754D" w:rsidP="006F7AAF">
      <w:pPr>
        <w:spacing w:line="360" w:lineRule="auto"/>
        <w:jc w:val="center"/>
        <w:rPr>
          <w:b/>
          <w:bCs/>
        </w:rPr>
      </w:pPr>
      <w:r w:rsidRPr="0083754D">
        <w:rPr>
          <w:b/>
          <w:bCs/>
        </w:rPr>
        <w:lastRenderedPageBreak/>
        <w:t xml:space="preserve">Table </w:t>
      </w:r>
      <w:r w:rsidR="007A42F7">
        <w:rPr>
          <w:b/>
          <w:bCs/>
        </w:rPr>
        <w:t xml:space="preserve">2: </w:t>
      </w:r>
      <w:r w:rsidR="006F7AAF" w:rsidRPr="006F7AAF">
        <w:rPr>
          <w:b/>
          <w:bCs/>
          <w:color w:val="000000"/>
        </w:rPr>
        <w:t xml:space="preserve">Linear Mixed-Effects Model </w:t>
      </w:r>
      <w:r w:rsidR="006F7AAF" w:rsidRPr="006F7AAF">
        <w:rPr>
          <w:b/>
          <w:bCs/>
        </w:rPr>
        <w:t>Estimates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1939"/>
        <w:gridCol w:w="1939"/>
        <w:gridCol w:w="1939"/>
        <w:gridCol w:w="1939"/>
        <w:gridCol w:w="1944"/>
      </w:tblGrid>
      <w:tr w:rsidR="00AD7279" w14:paraId="03974BF8" w14:textId="3496BAB6" w:rsidTr="00FB2671">
        <w:tc>
          <w:tcPr>
            <w:tcW w:w="1258" w:type="pct"/>
            <w:tcBorders>
              <w:top w:val="single" w:sz="4" w:space="0" w:color="auto"/>
            </w:tcBorders>
            <w:vAlign w:val="bottom"/>
          </w:tcPr>
          <w:p w14:paraId="066046F0" w14:textId="4CBF0314" w:rsidR="00AD7279" w:rsidRDefault="00AD7279" w:rsidP="00C005AE"/>
        </w:tc>
        <w:tc>
          <w:tcPr>
            <w:tcW w:w="3742" w:type="pct"/>
            <w:gridSpan w:val="5"/>
            <w:tcBorders>
              <w:top w:val="single" w:sz="4" w:space="0" w:color="auto"/>
              <w:bottom w:val="single" w:sz="4" w:space="0" w:color="auto"/>
            </w:tcBorders>
          </w:tcPr>
          <w:p w14:paraId="158598C9" w14:textId="1C263C0D" w:rsidR="00AD7279" w:rsidRPr="00607A4E" w:rsidRDefault="00AD7279" w:rsidP="00AD7279">
            <w:pPr>
              <w:jc w:val="center"/>
              <w:rPr>
                <w:b/>
                <w:bCs/>
                <w:color w:val="000000"/>
              </w:rPr>
            </w:pPr>
            <w:r w:rsidRPr="00607A4E">
              <w:rPr>
                <w:b/>
                <w:bCs/>
                <w:color w:val="000000"/>
              </w:rPr>
              <w:t xml:space="preserve">Search </w:t>
            </w:r>
            <w:r w:rsidR="004A521A">
              <w:rPr>
                <w:b/>
                <w:bCs/>
                <w:color w:val="000000"/>
              </w:rPr>
              <w:t>I</w:t>
            </w:r>
            <w:r w:rsidRPr="00607A4E">
              <w:rPr>
                <w:b/>
                <w:bCs/>
                <w:color w:val="000000"/>
              </w:rPr>
              <w:t xml:space="preserve">nterest </w:t>
            </w:r>
            <w:r w:rsidR="004A521A">
              <w:rPr>
                <w:b/>
                <w:bCs/>
                <w:color w:val="000000"/>
              </w:rPr>
              <w:t>i</w:t>
            </w:r>
            <w:r w:rsidRPr="00607A4E">
              <w:rPr>
                <w:b/>
                <w:bCs/>
                <w:color w:val="000000"/>
              </w:rPr>
              <w:t>n</w:t>
            </w:r>
            <w:r w:rsidR="00E476CF" w:rsidRPr="00607A4E">
              <w:rPr>
                <w:b/>
                <w:bCs/>
                <w:color w:val="000000"/>
              </w:rPr>
              <w:t xml:space="preserve"> </w:t>
            </w:r>
            <w:r w:rsidR="004A521A">
              <w:rPr>
                <w:b/>
                <w:bCs/>
                <w:color w:val="000000"/>
              </w:rPr>
              <w:t>A</w:t>
            </w:r>
            <w:r w:rsidR="00E476CF" w:rsidRPr="00607A4E">
              <w:rPr>
                <w:b/>
                <w:bCs/>
                <w:color w:val="000000"/>
              </w:rPr>
              <w:t xml:space="preserve">nimal </w:t>
            </w:r>
            <w:r w:rsidR="004A521A">
              <w:rPr>
                <w:b/>
                <w:bCs/>
                <w:color w:val="000000"/>
              </w:rPr>
              <w:t>W</w:t>
            </w:r>
            <w:r w:rsidR="00E476CF" w:rsidRPr="00607A4E">
              <w:rPr>
                <w:b/>
                <w:bCs/>
                <w:color w:val="000000"/>
              </w:rPr>
              <w:t xml:space="preserve">elfare </w:t>
            </w:r>
            <w:r w:rsidR="004A521A">
              <w:rPr>
                <w:b/>
                <w:bCs/>
                <w:color w:val="000000"/>
              </w:rPr>
              <w:t>P</w:t>
            </w:r>
            <w:r w:rsidR="00E476CF" w:rsidRPr="00607A4E">
              <w:rPr>
                <w:b/>
                <w:bCs/>
                <w:color w:val="000000"/>
              </w:rPr>
              <w:t>roduct</w:t>
            </w:r>
            <w:r w:rsidR="004A521A">
              <w:rPr>
                <w:b/>
                <w:bCs/>
                <w:color w:val="000000"/>
              </w:rPr>
              <w:t>s</w:t>
            </w:r>
          </w:p>
        </w:tc>
      </w:tr>
      <w:tr w:rsidR="00DC3E39" w14:paraId="693E280A" w14:textId="77777777" w:rsidTr="00FB2671">
        <w:tc>
          <w:tcPr>
            <w:tcW w:w="1258" w:type="pct"/>
            <w:vAlign w:val="bottom"/>
          </w:tcPr>
          <w:p w14:paraId="63CAC1A9" w14:textId="77777777" w:rsidR="00DC3E39" w:rsidRPr="002376D7" w:rsidRDefault="00DC3E39" w:rsidP="00C005AE">
            <w:pPr>
              <w:rPr>
                <w:b/>
                <w:bCs/>
              </w:rPr>
            </w:pPr>
          </w:p>
        </w:tc>
        <w:tc>
          <w:tcPr>
            <w:tcW w:w="1496" w:type="pct"/>
            <w:gridSpan w:val="2"/>
            <w:tcBorders>
              <w:top w:val="single" w:sz="4" w:space="0" w:color="auto"/>
              <w:bottom w:val="single" w:sz="4" w:space="0" w:color="auto"/>
            </w:tcBorders>
            <w:vAlign w:val="center"/>
          </w:tcPr>
          <w:p w14:paraId="3F8247D9" w14:textId="34D87F96" w:rsidR="00DC3E39" w:rsidRPr="004A521A" w:rsidRDefault="004A521A" w:rsidP="002376D7">
            <w:pPr>
              <w:jc w:val="center"/>
              <w:rPr>
                <w:b/>
                <w:bCs/>
                <w:color w:val="000000"/>
              </w:rPr>
            </w:pPr>
            <w:r>
              <w:rPr>
                <w:b/>
                <w:bCs/>
                <w:color w:val="000000"/>
              </w:rPr>
              <w:t>Main Analysis</w:t>
            </w:r>
          </w:p>
        </w:tc>
        <w:tc>
          <w:tcPr>
            <w:tcW w:w="748" w:type="pct"/>
            <w:tcBorders>
              <w:top w:val="single" w:sz="4" w:space="0" w:color="auto"/>
              <w:bottom w:val="single" w:sz="4" w:space="0" w:color="auto"/>
            </w:tcBorders>
            <w:vAlign w:val="center"/>
          </w:tcPr>
          <w:p w14:paraId="040B1C30" w14:textId="40825B4C" w:rsidR="00DC3E39" w:rsidRPr="00607A4E" w:rsidRDefault="004A521A" w:rsidP="002376D7">
            <w:pPr>
              <w:jc w:val="center"/>
              <w:rPr>
                <w:b/>
                <w:bCs/>
                <w:color w:val="000000"/>
              </w:rPr>
            </w:pPr>
            <w:r>
              <w:rPr>
                <w:b/>
                <w:bCs/>
                <w:color w:val="000000"/>
              </w:rPr>
              <w:t>W</w:t>
            </w:r>
            <w:r w:rsidR="00FB1A45" w:rsidRPr="00607A4E">
              <w:rPr>
                <w:b/>
                <w:bCs/>
                <w:color w:val="000000"/>
              </w:rPr>
              <w:t>ithout</w:t>
            </w:r>
            <w:r w:rsidR="00B44463" w:rsidRPr="00607A4E">
              <w:rPr>
                <w:b/>
                <w:bCs/>
                <w:color w:val="000000"/>
              </w:rPr>
              <w:t xml:space="preserve"> </w:t>
            </w:r>
            <w:r>
              <w:rPr>
                <w:b/>
                <w:bCs/>
                <w:color w:val="000000"/>
              </w:rPr>
              <w:t>A</w:t>
            </w:r>
            <w:r w:rsidR="00B44463" w:rsidRPr="00607A4E">
              <w:rPr>
                <w:b/>
                <w:bCs/>
                <w:color w:val="000000"/>
              </w:rPr>
              <w:t>nimal</w:t>
            </w:r>
            <w:r w:rsidR="00FB1A45" w:rsidRPr="00607A4E">
              <w:rPr>
                <w:b/>
                <w:bCs/>
                <w:color w:val="000000"/>
              </w:rPr>
              <w:t xml:space="preserve"> </w:t>
            </w:r>
            <w:r>
              <w:rPr>
                <w:b/>
                <w:bCs/>
                <w:color w:val="000000"/>
              </w:rPr>
              <w:t>I</w:t>
            </w:r>
            <w:r w:rsidR="00B44463" w:rsidRPr="00607A4E">
              <w:rPr>
                <w:b/>
                <w:bCs/>
                <w:color w:val="000000"/>
              </w:rPr>
              <w:t>ngredient</w:t>
            </w:r>
            <w:r w:rsidR="00E476CF" w:rsidRPr="00607A4E">
              <w:rPr>
                <w:b/>
                <w:bCs/>
                <w:color w:val="000000"/>
              </w:rPr>
              <w:t>s</w:t>
            </w:r>
          </w:p>
        </w:tc>
        <w:tc>
          <w:tcPr>
            <w:tcW w:w="748" w:type="pct"/>
            <w:tcBorders>
              <w:top w:val="single" w:sz="4" w:space="0" w:color="auto"/>
              <w:bottom w:val="single" w:sz="4" w:space="0" w:color="auto"/>
            </w:tcBorders>
            <w:vAlign w:val="center"/>
          </w:tcPr>
          <w:p w14:paraId="39451470" w14:textId="172D4CA7" w:rsidR="00DC3E39" w:rsidRPr="00607A4E" w:rsidRDefault="004A521A" w:rsidP="002376D7">
            <w:pPr>
              <w:jc w:val="center"/>
              <w:rPr>
                <w:b/>
                <w:bCs/>
                <w:color w:val="000000"/>
              </w:rPr>
            </w:pPr>
            <w:r>
              <w:rPr>
                <w:b/>
                <w:bCs/>
                <w:color w:val="000000"/>
              </w:rPr>
              <w:t>N</w:t>
            </w:r>
            <w:r w:rsidR="00CD3C8D" w:rsidRPr="00607A4E">
              <w:rPr>
                <w:b/>
                <w:bCs/>
                <w:color w:val="000000"/>
              </w:rPr>
              <w:t xml:space="preserve">ot </w:t>
            </w:r>
            <w:r>
              <w:rPr>
                <w:b/>
                <w:bCs/>
                <w:color w:val="000000"/>
              </w:rPr>
              <w:t>T</w:t>
            </w:r>
            <w:r w:rsidR="00CD3C8D" w:rsidRPr="00607A4E">
              <w:rPr>
                <w:b/>
                <w:bCs/>
                <w:color w:val="000000"/>
              </w:rPr>
              <w:t xml:space="preserve">ested on </w:t>
            </w:r>
            <w:r>
              <w:rPr>
                <w:b/>
                <w:bCs/>
                <w:color w:val="000000"/>
              </w:rPr>
              <w:t>A</w:t>
            </w:r>
            <w:r w:rsidR="00CD3C8D" w:rsidRPr="00607A4E">
              <w:rPr>
                <w:b/>
                <w:bCs/>
                <w:color w:val="000000"/>
              </w:rPr>
              <w:t>nimals</w:t>
            </w:r>
          </w:p>
        </w:tc>
        <w:tc>
          <w:tcPr>
            <w:tcW w:w="750" w:type="pct"/>
            <w:tcBorders>
              <w:top w:val="single" w:sz="4" w:space="0" w:color="auto"/>
              <w:bottom w:val="single" w:sz="4" w:space="0" w:color="auto"/>
            </w:tcBorders>
            <w:vAlign w:val="center"/>
          </w:tcPr>
          <w:p w14:paraId="2AF73878" w14:textId="0AA08835" w:rsidR="00DC3E39" w:rsidRPr="00607A4E" w:rsidRDefault="004A521A" w:rsidP="002376D7">
            <w:pPr>
              <w:jc w:val="center"/>
              <w:rPr>
                <w:b/>
                <w:bCs/>
                <w:color w:val="000000"/>
              </w:rPr>
            </w:pPr>
            <w:r>
              <w:rPr>
                <w:b/>
                <w:bCs/>
                <w:color w:val="000000"/>
              </w:rPr>
              <w:t>F</w:t>
            </w:r>
            <w:r w:rsidR="008569CA" w:rsidRPr="00607A4E">
              <w:rPr>
                <w:b/>
                <w:bCs/>
                <w:color w:val="000000"/>
              </w:rPr>
              <w:t xml:space="preserve">rom </w:t>
            </w:r>
            <w:r>
              <w:rPr>
                <w:b/>
                <w:bCs/>
                <w:color w:val="000000"/>
              </w:rPr>
              <w:t>H</w:t>
            </w:r>
            <w:r w:rsidR="00CD3C8D" w:rsidRPr="00607A4E">
              <w:rPr>
                <w:b/>
                <w:bCs/>
                <w:color w:val="000000"/>
              </w:rPr>
              <w:t xml:space="preserve">umanely </w:t>
            </w:r>
            <w:r>
              <w:rPr>
                <w:b/>
                <w:bCs/>
                <w:color w:val="000000"/>
              </w:rPr>
              <w:t>T</w:t>
            </w:r>
            <w:r w:rsidR="00CD3C8D" w:rsidRPr="00607A4E">
              <w:rPr>
                <w:b/>
                <w:bCs/>
                <w:color w:val="000000"/>
              </w:rPr>
              <w:t xml:space="preserve">reated </w:t>
            </w:r>
            <w:r>
              <w:rPr>
                <w:b/>
                <w:bCs/>
                <w:color w:val="000000"/>
              </w:rPr>
              <w:t>A</w:t>
            </w:r>
            <w:r w:rsidR="00CD3C8D" w:rsidRPr="00607A4E">
              <w:rPr>
                <w:b/>
                <w:bCs/>
                <w:color w:val="000000"/>
              </w:rPr>
              <w:t>nimal</w:t>
            </w:r>
            <w:r w:rsidR="008569CA" w:rsidRPr="00607A4E">
              <w:rPr>
                <w:b/>
                <w:bCs/>
                <w:color w:val="000000"/>
              </w:rPr>
              <w:t>s</w:t>
            </w:r>
          </w:p>
        </w:tc>
      </w:tr>
      <w:tr w:rsidR="00DC3E39" w14:paraId="4F3488F9" w14:textId="0996D942" w:rsidTr="00FB2671">
        <w:tc>
          <w:tcPr>
            <w:tcW w:w="1258" w:type="pct"/>
            <w:tcBorders>
              <w:bottom w:val="single" w:sz="4" w:space="0" w:color="auto"/>
            </w:tcBorders>
            <w:vAlign w:val="bottom"/>
          </w:tcPr>
          <w:p w14:paraId="6B7B4634" w14:textId="107B2CFE" w:rsidR="00BE4089" w:rsidRPr="002376D7" w:rsidRDefault="00BE4089" w:rsidP="00FC6581">
            <w:pPr>
              <w:rPr>
                <w:b/>
                <w:bCs/>
                <w:color w:val="000000"/>
              </w:rPr>
            </w:pPr>
            <w:r w:rsidRPr="002376D7">
              <w:rPr>
                <w:b/>
                <w:bCs/>
                <w:color w:val="000000"/>
              </w:rPr>
              <w:t>Variable Names</w:t>
            </w:r>
          </w:p>
        </w:tc>
        <w:tc>
          <w:tcPr>
            <w:tcW w:w="748" w:type="pct"/>
            <w:tcBorders>
              <w:top w:val="single" w:sz="4" w:space="0" w:color="auto"/>
              <w:bottom w:val="single" w:sz="4" w:space="0" w:color="auto"/>
            </w:tcBorders>
          </w:tcPr>
          <w:p w14:paraId="73413365" w14:textId="6079C059" w:rsidR="00BE4089" w:rsidRPr="004A521A" w:rsidRDefault="00BE4089" w:rsidP="00FC6581">
            <w:pPr>
              <w:jc w:val="center"/>
              <w:rPr>
                <w:b/>
                <w:bCs/>
                <w:color w:val="000000"/>
              </w:rPr>
            </w:pPr>
            <w:r w:rsidRPr="004A521A">
              <w:rPr>
                <w:b/>
                <w:bCs/>
                <w:color w:val="000000"/>
              </w:rPr>
              <w:t>Model 1</w:t>
            </w:r>
          </w:p>
        </w:tc>
        <w:tc>
          <w:tcPr>
            <w:tcW w:w="748" w:type="pct"/>
            <w:tcBorders>
              <w:top w:val="single" w:sz="4" w:space="0" w:color="auto"/>
              <w:bottom w:val="single" w:sz="4" w:space="0" w:color="auto"/>
            </w:tcBorders>
            <w:vAlign w:val="bottom"/>
          </w:tcPr>
          <w:p w14:paraId="275DA94C" w14:textId="39D4F963" w:rsidR="00BE4089" w:rsidRPr="004A521A" w:rsidRDefault="00BE4089" w:rsidP="00FC6581">
            <w:pPr>
              <w:jc w:val="center"/>
              <w:rPr>
                <w:b/>
                <w:bCs/>
                <w:color w:val="000000"/>
              </w:rPr>
            </w:pPr>
            <w:r w:rsidRPr="004A521A">
              <w:rPr>
                <w:b/>
                <w:bCs/>
                <w:color w:val="000000"/>
              </w:rPr>
              <w:t>Model 2</w:t>
            </w:r>
          </w:p>
        </w:tc>
        <w:tc>
          <w:tcPr>
            <w:tcW w:w="748" w:type="pct"/>
            <w:tcBorders>
              <w:top w:val="single" w:sz="4" w:space="0" w:color="auto"/>
              <w:bottom w:val="single" w:sz="4" w:space="0" w:color="auto"/>
            </w:tcBorders>
          </w:tcPr>
          <w:p w14:paraId="581C51F0" w14:textId="3126F2DA" w:rsidR="00BE4089" w:rsidRPr="004A521A" w:rsidRDefault="00500D1C" w:rsidP="00FC6581">
            <w:pPr>
              <w:jc w:val="center"/>
              <w:rPr>
                <w:b/>
                <w:bCs/>
                <w:color w:val="000000"/>
              </w:rPr>
            </w:pPr>
            <w:r w:rsidRPr="004A521A">
              <w:rPr>
                <w:b/>
                <w:bCs/>
                <w:color w:val="000000"/>
              </w:rPr>
              <w:t>Model 3</w:t>
            </w:r>
          </w:p>
        </w:tc>
        <w:tc>
          <w:tcPr>
            <w:tcW w:w="748" w:type="pct"/>
            <w:tcBorders>
              <w:top w:val="single" w:sz="4" w:space="0" w:color="auto"/>
              <w:bottom w:val="single" w:sz="4" w:space="0" w:color="auto"/>
            </w:tcBorders>
          </w:tcPr>
          <w:p w14:paraId="67C9718D" w14:textId="46C0F29F" w:rsidR="00BE4089" w:rsidRPr="004A521A" w:rsidRDefault="00500D1C" w:rsidP="00FC6581">
            <w:pPr>
              <w:jc w:val="center"/>
              <w:rPr>
                <w:b/>
                <w:bCs/>
                <w:color w:val="000000"/>
              </w:rPr>
            </w:pPr>
            <w:r w:rsidRPr="004A521A">
              <w:rPr>
                <w:b/>
                <w:bCs/>
                <w:color w:val="000000"/>
              </w:rPr>
              <w:t>Model 4</w:t>
            </w:r>
          </w:p>
        </w:tc>
        <w:tc>
          <w:tcPr>
            <w:tcW w:w="750" w:type="pct"/>
            <w:tcBorders>
              <w:top w:val="single" w:sz="4" w:space="0" w:color="auto"/>
              <w:bottom w:val="single" w:sz="4" w:space="0" w:color="auto"/>
            </w:tcBorders>
          </w:tcPr>
          <w:p w14:paraId="7B197EBB" w14:textId="79C36168" w:rsidR="00BE4089" w:rsidRPr="004A521A" w:rsidRDefault="00500D1C" w:rsidP="00FC6581">
            <w:pPr>
              <w:jc w:val="center"/>
              <w:rPr>
                <w:b/>
                <w:bCs/>
                <w:color w:val="000000"/>
              </w:rPr>
            </w:pPr>
            <w:r w:rsidRPr="004A521A">
              <w:rPr>
                <w:b/>
                <w:bCs/>
                <w:color w:val="000000"/>
              </w:rPr>
              <w:t>Model 5</w:t>
            </w:r>
          </w:p>
        </w:tc>
      </w:tr>
      <w:tr w:rsidR="00673F57" w14:paraId="17BCA160" w14:textId="12C52B16" w:rsidTr="001463EC">
        <w:tc>
          <w:tcPr>
            <w:tcW w:w="1258" w:type="pct"/>
            <w:vAlign w:val="center"/>
          </w:tcPr>
          <w:p w14:paraId="71C7EF5E" w14:textId="51DFDE36" w:rsidR="00673F57" w:rsidRDefault="00673F57" w:rsidP="00673F57">
            <w:pPr>
              <w:rPr>
                <w:color w:val="000000"/>
              </w:rPr>
            </w:pPr>
            <w:r>
              <w:rPr>
                <w:color w:val="000000"/>
              </w:rPr>
              <w:t>Intercept</w:t>
            </w:r>
          </w:p>
        </w:tc>
        <w:tc>
          <w:tcPr>
            <w:tcW w:w="748" w:type="pct"/>
            <w:tcBorders>
              <w:top w:val="single" w:sz="4" w:space="0" w:color="auto"/>
            </w:tcBorders>
          </w:tcPr>
          <w:p w14:paraId="145C9776" w14:textId="2C617889" w:rsidR="00673F57" w:rsidRDefault="00673F57" w:rsidP="00673F57">
            <w:pPr>
              <w:pStyle w:val="NormalWeb"/>
              <w:tabs>
                <w:tab w:val="decimal" w:pos="765"/>
              </w:tabs>
              <w:spacing w:before="0" w:beforeAutospacing="0" w:after="0" w:afterAutospacing="0"/>
              <w:ind w:left="31" w:firstLine="8"/>
              <w:jc w:val="both"/>
              <w:rPr>
                <w:color w:val="000000"/>
              </w:rPr>
            </w:pPr>
            <w:r w:rsidRPr="000D056B">
              <w:rPr>
                <w:color w:val="000000"/>
              </w:rPr>
              <w:t>57.</w:t>
            </w:r>
            <w:r w:rsidR="00274533">
              <w:rPr>
                <w:color w:val="000000"/>
              </w:rPr>
              <w:t>2</w:t>
            </w:r>
            <w:r w:rsidR="000701E1">
              <w:rPr>
                <w:color w:val="000000"/>
              </w:rPr>
              <w:t>0</w:t>
            </w:r>
            <w:r w:rsidRPr="000D056B">
              <w:rPr>
                <w:color w:val="000000"/>
              </w:rPr>
              <w:t xml:space="preserve">*** </w:t>
            </w:r>
          </w:p>
          <w:p w14:paraId="1E36DC77" w14:textId="32779AB0" w:rsidR="00673F57" w:rsidRPr="009E4586" w:rsidRDefault="00673F57" w:rsidP="00673F57">
            <w:pPr>
              <w:pStyle w:val="NormalWeb"/>
              <w:tabs>
                <w:tab w:val="decimal" w:pos="765"/>
              </w:tabs>
              <w:spacing w:before="0" w:beforeAutospacing="0" w:after="0" w:afterAutospacing="0"/>
              <w:ind w:left="31" w:firstLine="8"/>
              <w:jc w:val="both"/>
              <w:rPr>
                <w:color w:val="000000"/>
              </w:rPr>
            </w:pPr>
            <w:r w:rsidRPr="000D056B">
              <w:rPr>
                <w:color w:val="000000"/>
              </w:rPr>
              <w:t>(2.</w:t>
            </w:r>
            <w:r w:rsidR="00274533">
              <w:rPr>
                <w:color w:val="000000"/>
              </w:rPr>
              <w:t>17</w:t>
            </w:r>
            <w:r w:rsidRPr="000D056B">
              <w:rPr>
                <w:color w:val="000000"/>
              </w:rPr>
              <w:t>)</w:t>
            </w:r>
          </w:p>
        </w:tc>
        <w:tc>
          <w:tcPr>
            <w:tcW w:w="748" w:type="pct"/>
            <w:tcBorders>
              <w:top w:val="single" w:sz="4" w:space="0" w:color="auto"/>
            </w:tcBorders>
            <w:vAlign w:val="bottom"/>
          </w:tcPr>
          <w:p w14:paraId="21FC0838" w14:textId="674EB380" w:rsidR="00673F57" w:rsidRDefault="00673F57" w:rsidP="00673F57">
            <w:pPr>
              <w:pStyle w:val="NormalWeb"/>
              <w:tabs>
                <w:tab w:val="decimal" w:pos="879"/>
              </w:tabs>
              <w:spacing w:before="0" w:beforeAutospacing="0" w:after="0" w:afterAutospacing="0"/>
              <w:ind w:left="31" w:firstLine="8"/>
              <w:jc w:val="both"/>
            </w:pPr>
            <w:r>
              <w:rPr>
                <w:color w:val="000000"/>
              </w:rPr>
              <w:t>57.</w:t>
            </w:r>
            <w:r w:rsidR="00302F16">
              <w:rPr>
                <w:color w:val="000000"/>
              </w:rPr>
              <w:t>20</w:t>
            </w:r>
            <w:r>
              <w:rPr>
                <w:color w:val="000000"/>
              </w:rPr>
              <w:t>***</w:t>
            </w:r>
          </w:p>
          <w:p w14:paraId="5E12F137" w14:textId="7F8D53C2" w:rsidR="00673F57" w:rsidRDefault="00673F57" w:rsidP="00673F57">
            <w:pPr>
              <w:pStyle w:val="NormalWeb"/>
              <w:tabs>
                <w:tab w:val="decimal" w:pos="879"/>
              </w:tabs>
              <w:spacing w:before="0" w:beforeAutospacing="0" w:after="0" w:afterAutospacing="0"/>
              <w:ind w:left="31" w:firstLine="8"/>
              <w:jc w:val="both"/>
              <w:rPr>
                <w:color w:val="000000"/>
              </w:rPr>
            </w:pPr>
            <w:r>
              <w:rPr>
                <w:color w:val="000000"/>
              </w:rPr>
              <w:t>(2.</w:t>
            </w:r>
            <w:r w:rsidR="00302F16">
              <w:rPr>
                <w:color w:val="000000"/>
              </w:rPr>
              <w:t>17</w:t>
            </w:r>
            <w:r>
              <w:rPr>
                <w:color w:val="000000"/>
              </w:rPr>
              <w:t>)</w:t>
            </w:r>
          </w:p>
        </w:tc>
        <w:tc>
          <w:tcPr>
            <w:tcW w:w="748" w:type="pct"/>
            <w:tcBorders>
              <w:top w:val="single" w:sz="4" w:space="0" w:color="auto"/>
            </w:tcBorders>
            <w:vAlign w:val="bottom"/>
          </w:tcPr>
          <w:p w14:paraId="3590240F" w14:textId="47829A0E" w:rsidR="00673F57" w:rsidRDefault="00673F57" w:rsidP="00673F57">
            <w:pPr>
              <w:pStyle w:val="NormalWeb"/>
              <w:tabs>
                <w:tab w:val="decimal" w:pos="879"/>
              </w:tabs>
              <w:spacing w:before="0" w:beforeAutospacing="0" w:after="0" w:afterAutospacing="0"/>
              <w:ind w:left="31" w:firstLine="8"/>
              <w:jc w:val="both"/>
              <w:rPr>
                <w:color w:val="000000"/>
              </w:rPr>
            </w:pPr>
            <w:r w:rsidRPr="00322223">
              <w:rPr>
                <w:color w:val="000000"/>
              </w:rPr>
              <w:t>55.6</w:t>
            </w:r>
            <w:r w:rsidR="00D80E57">
              <w:rPr>
                <w:color w:val="000000"/>
              </w:rPr>
              <w:t>3</w:t>
            </w:r>
            <w:r w:rsidRPr="00322223">
              <w:rPr>
                <w:color w:val="000000"/>
              </w:rPr>
              <w:t>***</w:t>
            </w:r>
            <w:r>
              <w:rPr>
                <w:color w:val="000000"/>
              </w:rPr>
              <w:br/>
            </w:r>
            <w:r w:rsidRPr="00322223">
              <w:rPr>
                <w:color w:val="000000"/>
              </w:rPr>
              <w:t>(2.</w:t>
            </w:r>
            <w:r w:rsidR="00287FA8">
              <w:rPr>
                <w:color w:val="000000"/>
              </w:rPr>
              <w:t>25</w:t>
            </w:r>
            <w:r w:rsidRPr="00322223">
              <w:rPr>
                <w:color w:val="000000"/>
              </w:rPr>
              <w:t>)</w:t>
            </w:r>
          </w:p>
        </w:tc>
        <w:tc>
          <w:tcPr>
            <w:tcW w:w="748" w:type="pct"/>
            <w:tcBorders>
              <w:top w:val="single" w:sz="4" w:space="0" w:color="auto"/>
            </w:tcBorders>
            <w:vAlign w:val="bottom"/>
          </w:tcPr>
          <w:p w14:paraId="5A9CB1DE" w14:textId="6C1E139E" w:rsidR="00673F57" w:rsidRDefault="00673F57" w:rsidP="00673F57">
            <w:pPr>
              <w:pStyle w:val="NormalWeb"/>
              <w:tabs>
                <w:tab w:val="decimal" w:pos="879"/>
              </w:tabs>
              <w:spacing w:before="0" w:beforeAutospacing="0" w:after="0" w:afterAutospacing="0"/>
              <w:ind w:left="31" w:firstLine="8"/>
              <w:jc w:val="both"/>
              <w:rPr>
                <w:color w:val="000000"/>
              </w:rPr>
            </w:pPr>
            <w:r w:rsidRPr="00577E9C">
              <w:rPr>
                <w:color w:val="000000"/>
              </w:rPr>
              <w:t>58.</w:t>
            </w:r>
            <w:r w:rsidR="00013E1F">
              <w:rPr>
                <w:color w:val="000000"/>
              </w:rPr>
              <w:t>64</w:t>
            </w:r>
            <w:r>
              <w:rPr>
                <w:color w:val="000000"/>
              </w:rPr>
              <w:t>***</w:t>
            </w:r>
          </w:p>
          <w:p w14:paraId="70AF8A0C" w14:textId="124647CB" w:rsidR="00673F57" w:rsidRDefault="00673F57" w:rsidP="00673F57">
            <w:pPr>
              <w:pStyle w:val="NormalWeb"/>
              <w:tabs>
                <w:tab w:val="decimal" w:pos="879"/>
              </w:tabs>
              <w:spacing w:before="0" w:beforeAutospacing="0" w:after="0" w:afterAutospacing="0"/>
              <w:ind w:left="31" w:firstLine="8"/>
              <w:jc w:val="both"/>
              <w:rPr>
                <w:color w:val="000000"/>
              </w:rPr>
            </w:pPr>
            <w:r w:rsidRPr="00577E9C">
              <w:rPr>
                <w:color w:val="000000"/>
              </w:rPr>
              <w:t>(2.</w:t>
            </w:r>
            <w:r w:rsidR="00013E1F">
              <w:rPr>
                <w:color w:val="000000"/>
              </w:rPr>
              <w:t>71</w:t>
            </w:r>
            <w:r w:rsidRPr="00577E9C">
              <w:rPr>
                <w:color w:val="000000"/>
              </w:rPr>
              <w:t>)</w:t>
            </w:r>
          </w:p>
        </w:tc>
        <w:tc>
          <w:tcPr>
            <w:tcW w:w="750" w:type="pct"/>
            <w:tcBorders>
              <w:top w:val="single" w:sz="4" w:space="0" w:color="auto"/>
            </w:tcBorders>
            <w:vAlign w:val="bottom"/>
          </w:tcPr>
          <w:p w14:paraId="4FC75541" w14:textId="73450B0B" w:rsidR="00673F57" w:rsidRPr="00673F57" w:rsidRDefault="00673F57" w:rsidP="00673F57">
            <w:pPr>
              <w:pStyle w:val="NormalWeb"/>
              <w:tabs>
                <w:tab w:val="decimal" w:pos="879"/>
              </w:tabs>
              <w:spacing w:before="0" w:beforeAutospacing="0" w:after="0" w:afterAutospacing="0"/>
              <w:ind w:left="31" w:firstLine="8"/>
              <w:jc w:val="both"/>
              <w:rPr>
                <w:color w:val="000000"/>
              </w:rPr>
            </w:pPr>
            <w:r w:rsidRPr="00673F57">
              <w:rPr>
                <w:color w:val="000000"/>
              </w:rPr>
              <w:t>49.</w:t>
            </w:r>
            <w:r w:rsidR="00475318">
              <w:rPr>
                <w:color w:val="000000"/>
              </w:rPr>
              <w:t>66</w:t>
            </w:r>
            <w:r w:rsidRPr="00673F57">
              <w:rPr>
                <w:color w:val="000000"/>
              </w:rPr>
              <w:t>***</w:t>
            </w:r>
          </w:p>
          <w:p w14:paraId="31129F38" w14:textId="0FD11F6D" w:rsidR="00673F57" w:rsidRDefault="00673F57" w:rsidP="00673F57">
            <w:pPr>
              <w:pStyle w:val="NormalWeb"/>
              <w:tabs>
                <w:tab w:val="decimal" w:pos="879"/>
              </w:tabs>
              <w:spacing w:before="0" w:beforeAutospacing="0" w:after="0" w:afterAutospacing="0"/>
              <w:ind w:left="31" w:firstLine="8"/>
              <w:jc w:val="both"/>
              <w:rPr>
                <w:color w:val="000000"/>
              </w:rPr>
            </w:pPr>
            <w:r w:rsidRPr="00673F57">
              <w:rPr>
                <w:color w:val="000000"/>
              </w:rPr>
              <w:t>(2.</w:t>
            </w:r>
            <w:r w:rsidR="00475318">
              <w:rPr>
                <w:color w:val="000000"/>
              </w:rPr>
              <w:t>28</w:t>
            </w:r>
            <w:r w:rsidRPr="00673F57">
              <w:rPr>
                <w:color w:val="000000"/>
              </w:rPr>
              <w:t>)</w:t>
            </w:r>
          </w:p>
        </w:tc>
      </w:tr>
      <w:tr w:rsidR="00673F57" w14:paraId="1C353104" w14:textId="353B35F9" w:rsidTr="001463EC">
        <w:tc>
          <w:tcPr>
            <w:tcW w:w="1258" w:type="pct"/>
            <w:vAlign w:val="center"/>
          </w:tcPr>
          <w:p w14:paraId="00C4988B" w14:textId="3A23F8F8" w:rsidR="00673F57" w:rsidRDefault="00673F57" w:rsidP="00673F57">
            <w:pPr>
              <w:rPr>
                <w:color w:val="000000"/>
              </w:rPr>
            </w:pPr>
            <w:r>
              <w:rPr>
                <w:color w:val="000000"/>
              </w:rPr>
              <w:t>Income Inequality</w:t>
            </w:r>
          </w:p>
        </w:tc>
        <w:tc>
          <w:tcPr>
            <w:tcW w:w="748" w:type="pct"/>
          </w:tcPr>
          <w:p w14:paraId="111313D8" w14:textId="7B53B2BB" w:rsidR="00673F57" w:rsidRDefault="00673F57" w:rsidP="00673F57">
            <w:pPr>
              <w:pStyle w:val="NormalWeb"/>
              <w:tabs>
                <w:tab w:val="decimal" w:pos="765"/>
              </w:tabs>
              <w:spacing w:before="0" w:beforeAutospacing="0" w:after="0" w:afterAutospacing="0"/>
              <w:ind w:left="31" w:firstLine="8"/>
              <w:jc w:val="both"/>
              <w:rPr>
                <w:color w:val="000000"/>
              </w:rPr>
            </w:pPr>
            <w:r w:rsidRPr="009E4586">
              <w:rPr>
                <w:color w:val="000000"/>
              </w:rPr>
              <w:t>-1.</w:t>
            </w:r>
            <w:r w:rsidR="00274533">
              <w:rPr>
                <w:color w:val="000000"/>
              </w:rPr>
              <w:t>53</w:t>
            </w:r>
            <w:r>
              <w:rPr>
                <w:color w:val="000000"/>
              </w:rPr>
              <w:t>**</w:t>
            </w:r>
            <w:r w:rsidR="00BB4572">
              <w:rPr>
                <w:color w:val="000000"/>
              </w:rPr>
              <w:t>*</w:t>
            </w:r>
          </w:p>
          <w:p w14:paraId="111CBA95" w14:textId="750DC592" w:rsidR="00673F57" w:rsidRPr="009E4586" w:rsidRDefault="00673F57" w:rsidP="00673F57">
            <w:pPr>
              <w:pStyle w:val="NormalWeb"/>
              <w:tabs>
                <w:tab w:val="decimal" w:pos="765"/>
              </w:tabs>
              <w:spacing w:before="0" w:beforeAutospacing="0" w:after="0" w:afterAutospacing="0"/>
              <w:ind w:left="31" w:firstLine="8"/>
              <w:jc w:val="both"/>
              <w:rPr>
                <w:color w:val="000000"/>
              </w:rPr>
            </w:pPr>
            <w:r w:rsidRPr="00292982">
              <w:rPr>
                <w:color w:val="000000"/>
              </w:rPr>
              <w:t>(0.</w:t>
            </w:r>
            <w:r w:rsidR="000701E1">
              <w:rPr>
                <w:color w:val="000000"/>
              </w:rPr>
              <w:t>37</w:t>
            </w:r>
            <w:r w:rsidRPr="00292982">
              <w:rPr>
                <w:color w:val="000000"/>
              </w:rPr>
              <w:t>)</w:t>
            </w:r>
          </w:p>
        </w:tc>
        <w:tc>
          <w:tcPr>
            <w:tcW w:w="748" w:type="pct"/>
            <w:vAlign w:val="bottom"/>
          </w:tcPr>
          <w:p w14:paraId="56114255" w14:textId="58E2BC3E" w:rsidR="00673F57" w:rsidRDefault="00673F57" w:rsidP="00673F57">
            <w:pPr>
              <w:pStyle w:val="NormalWeb"/>
              <w:tabs>
                <w:tab w:val="decimal" w:pos="879"/>
              </w:tabs>
              <w:spacing w:before="0" w:beforeAutospacing="0" w:after="0" w:afterAutospacing="0"/>
              <w:ind w:left="31" w:firstLine="8"/>
              <w:jc w:val="both"/>
            </w:pPr>
            <w:r>
              <w:rPr>
                <w:color w:val="000000"/>
              </w:rPr>
              <w:t>-1.</w:t>
            </w:r>
            <w:r w:rsidR="00302F16">
              <w:rPr>
                <w:color w:val="000000"/>
              </w:rPr>
              <w:t>43</w:t>
            </w:r>
            <w:r>
              <w:rPr>
                <w:color w:val="000000"/>
              </w:rPr>
              <w:t>**</w:t>
            </w:r>
            <w:r w:rsidR="00302F16">
              <w:rPr>
                <w:color w:val="000000"/>
              </w:rPr>
              <w:t>*</w:t>
            </w:r>
          </w:p>
          <w:p w14:paraId="131B5FC1" w14:textId="4120CD1B" w:rsidR="00673F57" w:rsidRDefault="00673F57" w:rsidP="00673F57">
            <w:pPr>
              <w:pStyle w:val="NormalWeb"/>
              <w:tabs>
                <w:tab w:val="decimal" w:pos="879"/>
              </w:tabs>
              <w:spacing w:before="0" w:beforeAutospacing="0" w:after="0" w:afterAutospacing="0"/>
              <w:ind w:left="31" w:firstLine="8"/>
              <w:jc w:val="both"/>
              <w:rPr>
                <w:color w:val="000000"/>
              </w:rPr>
            </w:pPr>
            <w:r>
              <w:rPr>
                <w:color w:val="000000"/>
              </w:rPr>
              <w:t>(0.</w:t>
            </w:r>
            <w:r w:rsidR="00302F16">
              <w:rPr>
                <w:color w:val="000000"/>
              </w:rPr>
              <w:t>37</w:t>
            </w:r>
            <w:r>
              <w:rPr>
                <w:color w:val="000000"/>
              </w:rPr>
              <w:t>)</w:t>
            </w:r>
          </w:p>
        </w:tc>
        <w:tc>
          <w:tcPr>
            <w:tcW w:w="748" w:type="pct"/>
            <w:vAlign w:val="bottom"/>
          </w:tcPr>
          <w:p w14:paraId="614168C0" w14:textId="4E83E7E3" w:rsidR="00673F57" w:rsidRDefault="00673F57" w:rsidP="00673F57">
            <w:pPr>
              <w:pStyle w:val="NormalWeb"/>
              <w:tabs>
                <w:tab w:val="decimal" w:pos="879"/>
              </w:tabs>
              <w:spacing w:before="0" w:beforeAutospacing="0" w:after="0" w:afterAutospacing="0"/>
              <w:ind w:left="31" w:firstLine="8"/>
              <w:jc w:val="both"/>
              <w:rPr>
                <w:color w:val="000000"/>
              </w:rPr>
            </w:pPr>
            <w:r w:rsidRPr="00322223">
              <w:rPr>
                <w:color w:val="000000"/>
              </w:rPr>
              <w:t>-1.</w:t>
            </w:r>
            <w:r w:rsidR="00287FA8">
              <w:rPr>
                <w:color w:val="000000"/>
              </w:rPr>
              <w:t>34</w:t>
            </w:r>
            <w:r>
              <w:rPr>
                <w:color w:val="000000"/>
              </w:rPr>
              <w:t>*</w:t>
            </w:r>
            <w:r w:rsidR="00287FA8">
              <w:rPr>
                <w:color w:val="000000"/>
              </w:rPr>
              <w:t>*</w:t>
            </w:r>
            <w:r>
              <w:rPr>
                <w:color w:val="000000"/>
              </w:rPr>
              <w:t>*</w:t>
            </w:r>
          </w:p>
          <w:p w14:paraId="096842E1" w14:textId="0AAA3C28" w:rsidR="00673F57" w:rsidRDefault="00673F57" w:rsidP="00673F57">
            <w:pPr>
              <w:pStyle w:val="NormalWeb"/>
              <w:tabs>
                <w:tab w:val="decimal" w:pos="879"/>
              </w:tabs>
              <w:spacing w:before="0" w:beforeAutospacing="0" w:after="0" w:afterAutospacing="0"/>
              <w:ind w:left="31" w:firstLine="8"/>
              <w:jc w:val="both"/>
              <w:rPr>
                <w:color w:val="000000"/>
              </w:rPr>
            </w:pPr>
            <w:r w:rsidRPr="00322223">
              <w:rPr>
                <w:color w:val="000000"/>
              </w:rPr>
              <w:t>(0.</w:t>
            </w:r>
            <w:r w:rsidR="00287FA8">
              <w:rPr>
                <w:color w:val="000000"/>
              </w:rPr>
              <w:t>37</w:t>
            </w:r>
            <w:r w:rsidRPr="00322223">
              <w:rPr>
                <w:color w:val="000000"/>
              </w:rPr>
              <w:t>)</w:t>
            </w:r>
          </w:p>
        </w:tc>
        <w:tc>
          <w:tcPr>
            <w:tcW w:w="748" w:type="pct"/>
            <w:vAlign w:val="bottom"/>
          </w:tcPr>
          <w:p w14:paraId="1FF719EC" w14:textId="3298F787" w:rsidR="00673F57" w:rsidRDefault="00673F57" w:rsidP="00673F57">
            <w:pPr>
              <w:pStyle w:val="NormalWeb"/>
              <w:tabs>
                <w:tab w:val="decimal" w:pos="879"/>
              </w:tabs>
              <w:spacing w:before="0" w:beforeAutospacing="0" w:after="0" w:afterAutospacing="0"/>
              <w:ind w:left="31" w:firstLine="8"/>
              <w:jc w:val="both"/>
              <w:rPr>
                <w:color w:val="000000"/>
              </w:rPr>
            </w:pPr>
            <w:r w:rsidRPr="00577E9C">
              <w:rPr>
                <w:color w:val="000000"/>
              </w:rPr>
              <w:t>-</w:t>
            </w:r>
            <w:r w:rsidR="00013E1F">
              <w:rPr>
                <w:color w:val="000000"/>
              </w:rPr>
              <w:t>1</w:t>
            </w:r>
            <w:r w:rsidRPr="00577E9C">
              <w:rPr>
                <w:color w:val="000000"/>
              </w:rPr>
              <w:t>.</w:t>
            </w:r>
            <w:r w:rsidR="00013E1F">
              <w:rPr>
                <w:color w:val="000000"/>
              </w:rPr>
              <w:t>90</w:t>
            </w:r>
            <w:r>
              <w:rPr>
                <w:color w:val="000000"/>
              </w:rPr>
              <w:t>**</w:t>
            </w:r>
          </w:p>
          <w:p w14:paraId="5421F4F8" w14:textId="166DCD50" w:rsidR="00673F57" w:rsidRDefault="00673F57" w:rsidP="00673F57">
            <w:pPr>
              <w:pStyle w:val="NormalWeb"/>
              <w:tabs>
                <w:tab w:val="decimal" w:pos="879"/>
              </w:tabs>
              <w:spacing w:before="0" w:beforeAutospacing="0" w:after="0" w:afterAutospacing="0"/>
              <w:ind w:left="31" w:firstLine="8"/>
              <w:jc w:val="both"/>
              <w:rPr>
                <w:color w:val="000000"/>
              </w:rPr>
            </w:pPr>
            <w:r w:rsidRPr="00577E9C">
              <w:rPr>
                <w:color w:val="000000"/>
              </w:rPr>
              <w:t>(0.</w:t>
            </w:r>
            <w:r w:rsidR="00013E1F">
              <w:rPr>
                <w:color w:val="000000"/>
              </w:rPr>
              <w:t>7</w:t>
            </w:r>
            <w:r w:rsidRPr="00577E9C">
              <w:rPr>
                <w:color w:val="000000"/>
              </w:rPr>
              <w:t>2)</w:t>
            </w:r>
          </w:p>
        </w:tc>
        <w:tc>
          <w:tcPr>
            <w:tcW w:w="750" w:type="pct"/>
            <w:vAlign w:val="bottom"/>
          </w:tcPr>
          <w:p w14:paraId="0B856CED" w14:textId="122E8BE7" w:rsidR="00673F57" w:rsidRDefault="00673F57" w:rsidP="00673F57">
            <w:pPr>
              <w:pStyle w:val="NormalWeb"/>
              <w:tabs>
                <w:tab w:val="decimal" w:pos="879"/>
              </w:tabs>
              <w:spacing w:before="0" w:beforeAutospacing="0" w:after="0" w:afterAutospacing="0"/>
              <w:ind w:left="31" w:firstLine="8"/>
              <w:jc w:val="both"/>
              <w:rPr>
                <w:color w:val="000000"/>
              </w:rPr>
            </w:pPr>
            <w:r w:rsidRPr="00673F57">
              <w:rPr>
                <w:color w:val="000000"/>
              </w:rPr>
              <w:t>-0.</w:t>
            </w:r>
            <w:r w:rsidR="00475318">
              <w:rPr>
                <w:color w:val="000000"/>
              </w:rPr>
              <w:t>84</w:t>
            </w:r>
          </w:p>
          <w:p w14:paraId="3B926082" w14:textId="423B6894" w:rsidR="00673F57" w:rsidRDefault="00673F57" w:rsidP="00673F57">
            <w:pPr>
              <w:pStyle w:val="NormalWeb"/>
              <w:tabs>
                <w:tab w:val="decimal" w:pos="879"/>
              </w:tabs>
              <w:spacing w:before="0" w:beforeAutospacing="0" w:after="0" w:afterAutospacing="0"/>
              <w:ind w:left="31" w:firstLine="8"/>
              <w:jc w:val="both"/>
              <w:rPr>
                <w:color w:val="000000"/>
              </w:rPr>
            </w:pPr>
            <w:r w:rsidRPr="00673F57">
              <w:rPr>
                <w:color w:val="000000"/>
              </w:rPr>
              <w:t>(0.</w:t>
            </w:r>
            <w:r w:rsidR="00475318">
              <w:rPr>
                <w:color w:val="000000"/>
              </w:rPr>
              <w:t>53</w:t>
            </w:r>
            <w:r w:rsidRPr="00673F57">
              <w:rPr>
                <w:color w:val="000000"/>
              </w:rPr>
              <w:t>)</w:t>
            </w:r>
          </w:p>
        </w:tc>
      </w:tr>
      <w:tr w:rsidR="00673F57" w14:paraId="330BF093" w14:textId="089396F7" w:rsidTr="001463EC">
        <w:tc>
          <w:tcPr>
            <w:tcW w:w="1258" w:type="pct"/>
            <w:vAlign w:val="center"/>
          </w:tcPr>
          <w:p w14:paraId="0361588F" w14:textId="3B122B41" w:rsidR="00673F57" w:rsidRDefault="00673F57" w:rsidP="00673F57">
            <w:r>
              <w:rPr>
                <w:color w:val="000000"/>
              </w:rPr>
              <w:t>Age</w:t>
            </w:r>
          </w:p>
        </w:tc>
        <w:tc>
          <w:tcPr>
            <w:tcW w:w="748" w:type="pct"/>
          </w:tcPr>
          <w:p w14:paraId="2852846D" w14:textId="77777777" w:rsidR="00673F57" w:rsidRPr="000D056B" w:rsidRDefault="00673F57" w:rsidP="00673F57">
            <w:pPr>
              <w:pStyle w:val="NormalWeb"/>
              <w:tabs>
                <w:tab w:val="decimal" w:pos="765"/>
              </w:tabs>
              <w:spacing w:before="0" w:beforeAutospacing="0" w:after="0" w:afterAutospacing="0"/>
              <w:ind w:left="31" w:firstLine="8"/>
              <w:jc w:val="both"/>
              <w:rPr>
                <w:color w:val="000000"/>
              </w:rPr>
            </w:pPr>
          </w:p>
        </w:tc>
        <w:tc>
          <w:tcPr>
            <w:tcW w:w="748" w:type="pct"/>
            <w:vAlign w:val="bottom"/>
          </w:tcPr>
          <w:p w14:paraId="2A52EDC0" w14:textId="2E2A1324" w:rsidR="00673F57" w:rsidRDefault="00302F16" w:rsidP="00673F57">
            <w:pPr>
              <w:pStyle w:val="NormalWeb"/>
              <w:tabs>
                <w:tab w:val="decimal" w:pos="879"/>
              </w:tabs>
              <w:spacing w:before="0" w:beforeAutospacing="0" w:after="0" w:afterAutospacing="0"/>
              <w:ind w:left="31" w:firstLine="8"/>
              <w:jc w:val="both"/>
            </w:pPr>
            <w:r>
              <w:rPr>
                <w:color w:val="000000"/>
              </w:rPr>
              <w:t>0.94</w:t>
            </w:r>
          </w:p>
          <w:p w14:paraId="488F0DA9" w14:textId="3DC8AA57" w:rsidR="00673F57" w:rsidRDefault="00673F57" w:rsidP="00673F57">
            <w:pPr>
              <w:tabs>
                <w:tab w:val="decimal" w:pos="879"/>
              </w:tabs>
              <w:ind w:left="31" w:firstLine="8"/>
            </w:pPr>
            <w:r>
              <w:rPr>
                <w:color w:val="000000"/>
              </w:rPr>
              <w:t>(0.5</w:t>
            </w:r>
            <w:r w:rsidR="00302F16">
              <w:rPr>
                <w:color w:val="000000"/>
              </w:rPr>
              <w:t>1</w:t>
            </w:r>
            <w:r>
              <w:rPr>
                <w:color w:val="000000"/>
              </w:rPr>
              <w:t>)</w:t>
            </w:r>
          </w:p>
        </w:tc>
        <w:tc>
          <w:tcPr>
            <w:tcW w:w="748" w:type="pct"/>
            <w:vAlign w:val="bottom"/>
          </w:tcPr>
          <w:p w14:paraId="3311539B" w14:textId="55D436A0" w:rsidR="00673F57" w:rsidRDefault="00287FA8" w:rsidP="00673F57">
            <w:pPr>
              <w:pStyle w:val="NormalWeb"/>
              <w:tabs>
                <w:tab w:val="decimal" w:pos="879"/>
              </w:tabs>
              <w:spacing w:before="0" w:beforeAutospacing="0" w:after="0" w:afterAutospacing="0"/>
              <w:ind w:left="31" w:firstLine="8"/>
              <w:jc w:val="both"/>
              <w:rPr>
                <w:color w:val="000000"/>
              </w:rPr>
            </w:pPr>
            <w:r>
              <w:rPr>
                <w:color w:val="000000"/>
              </w:rPr>
              <w:t>0.88</w:t>
            </w:r>
          </w:p>
          <w:p w14:paraId="0FB38E7D" w14:textId="4AB107C3" w:rsidR="00673F57" w:rsidRDefault="00673F57" w:rsidP="00673F57">
            <w:pPr>
              <w:pStyle w:val="NormalWeb"/>
              <w:tabs>
                <w:tab w:val="decimal" w:pos="879"/>
              </w:tabs>
              <w:spacing w:before="0" w:beforeAutospacing="0" w:after="0" w:afterAutospacing="0"/>
              <w:ind w:left="31" w:firstLine="8"/>
              <w:jc w:val="both"/>
              <w:rPr>
                <w:color w:val="000000"/>
              </w:rPr>
            </w:pPr>
            <w:r w:rsidRPr="00322223">
              <w:rPr>
                <w:color w:val="000000"/>
              </w:rPr>
              <w:t>(0.5</w:t>
            </w:r>
            <w:r w:rsidR="00EB1236">
              <w:rPr>
                <w:color w:val="000000"/>
              </w:rPr>
              <w:t>1</w:t>
            </w:r>
            <w:r w:rsidRPr="00322223">
              <w:rPr>
                <w:color w:val="000000"/>
              </w:rPr>
              <w:t>)</w:t>
            </w:r>
          </w:p>
        </w:tc>
        <w:tc>
          <w:tcPr>
            <w:tcW w:w="748" w:type="pct"/>
            <w:vAlign w:val="bottom"/>
          </w:tcPr>
          <w:p w14:paraId="31A52A91" w14:textId="1D108115" w:rsidR="00673F57" w:rsidRDefault="00673F57" w:rsidP="00673F57">
            <w:pPr>
              <w:pStyle w:val="NormalWeb"/>
              <w:tabs>
                <w:tab w:val="decimal" w:pos="879"/>
              </w:tabs>
              <w:spacing w:before="0" w:beforeAutospacing="0" w:after="0" w:afterAutospacing="0"/>
              <w:ind w:left="31" w:firstLine="8"/>
              <w:jc w:val="both"/>
              <w:rPr>
                <w:color w:val="000000"/>
              </w:rPr>
            </w:pPr>
            <w:r w:rsidRPr="00577E9C">
              <w:rPr>
                <w:color w:val="000000"/>
              </w:rPr>
              <w:t>2.</w:t>
            </w:r>
            <w:r w:rsidR="00013E1F">
              <w:rPr>
                <w:color w:val="000000"/>
              </w:rPr>
              <w:t>35</w:t>
            </w:r>
            <w:r>
              <w:rPr>
                <w:color w:val="000000"/>
              </w:rPr>
              <w:t>*</w:t>
            </w:r>
          </w:p>
          <w:p w14:paraId="5F223DAE" w14:textId="47BD6327" w:rsidR="00673F57" w:rsidRDefault="00673F57" w:rsidP="00673F57">
            <w:pPr>
              <w:pStyle w:val="NormalWeb"/>
              <w:tabs>
                <w:tab w:val="decimal" w:pos="879"/>
              </w:tabs>
              <w:spacing w:before="0" w:beforeAutospacing="0" w:after="0" w:afterAutospacing="0"/>
              <w:ind w:left="31" w:firstLine="8"/>
              <w:jc w:val="both"/>
              <w:rPr>
                <w:color w:val="000000"/>
              </w:rPr>
            </w:pPr>
            <w:r w:rsidRPr="00577E9C">
              <w:rPr>
                <w:color w:val="000000"/>
              </w:rPr>
              <w:t>(</w:t>
            </w:r>
            <w:r w:rsidR="00013E1F">
              <w:rPr>
                <w:color w:val="000000"/>
              </w:rPr>
              <w:t>0.98</w:t>
            </w:r>
            <w:r w:rsidRPr="00577E9C">
              <w:rPr>
                <w:color w:val="000000"/>
              </w:rPr>
              <w:t>)</w:t>
            </w:r>
          </w:p>
        </w:tc>
        <w:tc>
          <w:tcPr>
            <w:tcW w:w="750" w:type="pct"/>
            <w:vAlign w:val="bottom"/>
          </w:tcPr>
          <w:p w14:paraId="37959336" w14:textId="2B8828E4" w:rsidR="00213F16" w:rsidRDefault="00673F57" w:rsidP="00673F57">
            <w:pPr>
              <w:pStyle w:val="NormalWeb"/>
              <w:tabs>
                <w:tab w:val="decimal" w:pos="879"/>
              </w:tabs>
              <w:spacing w:before="0" w:beforeAutospacing="0" w:after="0" w:afterAutospacing="0"/>
              <w:ind w:left="31" w:firstLine="8"/>
              <w:jc w:val="both"/>
              <w:rPr>
                <w:color w:val="000000"/>
              </w:rPr>
            </w:pPr>
            <w:r w:rsidRPr="00673F57">
              <w:rPr>
                <w:color w:val="000000"/>
              </w:rPr>
              <w:t>1.</w:t>
            </w:r>
            <w:r w:rsidR="00475318">
              <w:rPr>
                <w:color w:val="000000"/>
              </w:rPr>
              <w:t>83</w:t>
            </w:r>
            <w:r w:rsidR="005444D0">
              <w:rPr>
                <w:color w:val="000000"/>
              </w:rPr>
              <w:t>*</w:t>
            </w:r>
          </w:p>
          <w:p w14:paraId="2113367B" w14:textId="7F243086" w:rsidR="00673F57" w:rsidRDefault="00673F57" w:rsidP="00673F57">
            <w:pPr>
              <w:pStyle w:val="NormalWeb"/>
              <w:tabs>
                <w:tab w:val="decimal" w:pos="879"/>
              </w:tabs>
              <w:spacing w:before="0" w:beforeAutospacing="0" w:after="0" w:afterAutospacing="0"/>
              <w:ind w:left="31" w:firstLine="8"/>
              <w:jc w:val="both"/>
              <w:rPr>
                <w:color w:val="000000"/>
              </w:rPr>
            </w:pPr>
            <w:r w:rsidRPr="00673F57">
              <w:rPr>
                <w:color w:val="000000"/>
              </w:rPr>
              <w:t>(0.</w:t>
            </w:r>
            <w:r w:rsidR="00475318">
              <w:rPr>
                <w:color w:val="000000"/>
              </w:rPr>
              <w:t>73</w:t>
            </w:r>
            <w:r w:rsidRPr="00673F57">
              <w:rPr>
                <w:color w:val="000000"/>
              </w:rPr>
              <w:t>)</w:t>
            </w:r>
          </w:p>
        </w:tc>
      </w:tr>
      <w:tr w:rsidR="00673F57" w14:paraId="7BDED6D3" w14:textId="0BDF013C" w:rsidTr="001463EC">
        <w:tc>
          <w:tcPr>
            <w:tcW w:w="1258" w:type="pct"/>
            <w:vAlign w:val="center"/>
          </w:tcPr>
          <w:p w14:paraId="6C190B9F" w14:textId="06E5B7B4" w:rsidR="00673F57" w:rsidRDefault="00673F57" w:rsidP="00673F57">
            <w:r>
              <w:rPr>
                <w:color w:val="000000"/>
              </w:rPr>
              <w:t>Education</w:t>
            </w:r>
          </w:p>
        </w:tc>
        <w:tc>
          <w:tcPr>
            <w:tcW w:w="748" w:type="pct"/>
          </w:tcPr>
          <w:p w14:paraId="6650D61C" w14:textId="77777777" w:rsidR="00673F57" w:rsidRPr="000D056B" w:rsidRDefault="00673F57" w:rsidP="00673F57">
            <w:pPr>
              <w:pStyle w:val="NormalWeb"/>
              <w:tabs>
                <w:tab w:val="decimal" w:pos="765"/>
              </w:tabs>
              <w:spacing w:before="0" w:beforeAutospacing="0" w:after="0" w:afterAutospacing="0"/>
              <w:ind w:left="31" w:firstLine="8"/>
              <w:jc w:val="both"/>
              <w:rPr>
                <w:color w:val="000000"/>
              </w:rPr>
            </w:pPr>
          </w:p>
        </w:tc>
        <w:tc>
          <w:tcPr>
            <w:tcW w:w="748" w:type="pct"/>
            <w:vAlign w:val="bottom"/>
          </w:tcPr>
          <w:p w14:paraId="659A7836" w14:textId="67C78E76" w:rsidR="00673F57" w:rsidRDefault="00302F16" w:rsidP="00673F57">
            <w:pPr>
              <w:pStyle w:val="NormalWeb"/>
              <w:tabs>
                <w:tab w:val="decimal" w:pos="879"/>
              </w:tabs>
              <w:spacing w:before="0" w:beforeAutospacing="0" w:after="0" w:afterAutospacing="0"/>
              <w:ind w:left="31" w:firstLine="8"/>
              <w:jc w:val="both"/>
            </w:pPr>
            <w:r>
              <w:t>0.18</w:t>
            </w:r>
          </w:p>
          <w:p w14:paraId="17DFB2E6" w14:textId="134E7BA3" w:rsidR="00673F57" w:rsidRDefault="00673F57" w:rsidP="00673F57">
            <w:pPr>
              <w:tabs>
                <w:tab w:val="decimal" w:pos="879"/>
              </w:tabs>
              <w:ind w:left="31" w:firstLine="8"/>
            </w:pPr>
            <w:r>
              <w:rPr>
                <w:color w:val="000000"/>
              </w:rPr>
              <w:t>(0.</w:t>
            </w:r>
            <w:r w:rsidR="00302F16">
              <w:rPr>
                <w:color w:val="000000"/>
              </w:rPr>
              <w:t>36</w:t>
            </w:r>
            <w:r>
              <w:rPr>
                <w:color w:val="000000"/>
              </w:rPr>
              <w:t>)</w:t>
            </w:r>
          </w:p>
        </w:tc>
        <w:tc>
          <w:tcPr>
            <w:tcW w:w="748" w:type="pct"/>
            <w:vAlign w:val="bottom"/>
          </w:tcPr>
          <w:p w14:paraId="46EC2B05" w14:textId="43BC792F" w:rsidR="00673F57" w:rsidRDefault="00673F57" w:rsidP="00673F57">
            <w:pPr>
              <w:pStyle w:val="NormalWeb"/>
              <w:tabs>
                <w:tab w:val="decimal" w:pos="879"/>
              </w:tabs>
              <w:spacing w:before="0" w:beforeAutospacing="0" w:after="0" w:afterAutospacing="0"/>
              <w:ind w:left="31" w:firstLine="8"/>
              <w:jc w:val="both"/>
              <w:rPr>
                <w:color w:val="000000"/>
              </w:rPr>
            </w:pPr>
            <w:r w:rsidRPr="00322223">
              <w:rPr>
                <w:color w:val="000000"/>
              </w:rPr>
              <w:t>0.</w:t>
            </w:r>
            <w:r w:rsidR="00EB1236">
              <w:rPr>
                <w:color w:val="000000"/>
              </w:rPr>
              <w:t>28</w:t>
            </w:r>
          </w:p>
          <w:p w14:paraId="1F62389C" w14:textId="5E856D9D" w:rsidR="00673F57" w:rsidRDefault="00673F57" w:rsidP="00673F57">
            <w:pPr>
              <w:pStyle w:val="NormalWeb"/>
              <w:tabs>
                <w:tab w:val="decimal" w:pos="879"/>
              </w:tabs>
              <w:spacing w:before="0" w:beforeAutospacing="0" w:after="0" w:afterAutospacing="0"/>
              <w:ind w:left="31" w:firstLine="8"/>
              <w:jc w:val="both"/>
              <w:rPr>
                <w:color w:val="000000"/>
              </w:rPr>
            </w:pPr>
            <w:r w:rsidRPr="00322223">
              <w:rPr>
                <w:color w:val="000000"/>
              </w:rPr>
              <w:t>(0.</w:t>
            </w:r>
            <w:r w:rsidR="00EB1236">
              <w:rPr>
                <w:color w:val="000000"/>
              </w:rPr>
              <w:t>37</w:t>
            </w:r>
            <w:r w:rsidRPr="00322223">
              <w:rPr>
                <w:color w:val="000000"/>
              </w:rPr>
              <w:t xml:space="preserve">) </w:t>
            </w:r>
          </w:p>
        </w:tc>
        <w:tc>
          <w:tcPr>
            <w:tcW w:w="748" w:type="pct"/>
            <w:vAlign w:val="bottom"/>
          </w:tcPr>
          <w:p w14:paraId="37AAFBFF" w14:textId="0C5C04AD" w:rsidR="00673F57" w:rsidRDefault="00673F57" w:rsidP="00673F57">
            <w:pPr>
              <w:pStyle w:val="NormalWeb"/>
              <w:tabs>
                <w:tab w:val="decimal" w:pos="879"/>
              </w:tabs>
              <w:spacing w:before="0" w:beforeAutospacing="0" w:after="0" w:afterAutospacing="0"/>
              <w:ind w:left="31" w:firstLine="8"/>
              <w:jc w:val="both"/>
              <w:rPr>
                <w:color w:val="000000"/>
              </w:rPr>
            </w:pPr>
            <w:r w:rsidRPr="00577E9C">
              <w:rPr>
                <w:color w:val="000000"/>
              </w:rPr>
              <w:t>-</w:t>
            </w:r>
            <w:r w:rsidR="00013E1F">
              <w:rPr>
                <w:color w:val="000000"/>
              </w:rPr>
              <w:t>1.91</w:t>
            </w:r>
            <w:r>
              <w:rPr>
                <w:color w:val="000000"/>
              </w:rPr>
              <w:t>**</w:t>
            </w:r>
          </w:p>
          <w:p w14:paraId="00E1732B" w14:textId="7A86915B" w:rsidR="00673F57" w:rsidRDefault="00673F57" w:rsidP="00673F57">
            <w:pPr>
              <w:pStyle w:val="NormalWeb"/>
              <w:tabs>
                <w:tab w:val="decimal" w:pos="879"/>
              </w:tabs>
              <w:spacing w:before="0" w:beforeAutospacing="0" w:after="0" w:afterAutospacing="0"/>
              <w:ind w:left="31" w:firstLine="8"/>
              <w:jc w:val="both"/>
              <w:rPr>
                <w:color w:val="000000"/>
              </w:rPr>
            </w:pPr>
            <w:r w:rsidRPr="00577E9C">
              <w:rPr>
                <w:color w:val="000000"/>
              </w:rPr>
              <w:t>(0.</w:t>
            </w:r>
            <w:r w:rsidR="00013E1F">
              <w:rPr>
                <w:color w:val="000000"/>
              </w:rPr>
              <w:t>71</w:t>
            </w:r>
            <w:r w:rsidRPr="00577E9C">
              <w:rPr>
                <w:color w:val="000000"/>
              </w:rPr>
              <w:t>)</w:t>
            </w:r>
          </w:p>
        </w:tc>
        <w:tc>
          <w:tcPr>
            <w:tcW w:w="750" w:type="pct"/>
            <w:vAlign w:val="bottom"/>
          </w:tcPr>
          <w:p w14:paraId="2239F32B" w14:textId="78C31A63" w:rsidR="00213F16" w:rsidRDefault="00475318" w:rsidP="00673F57">
            <w:pPr>
              <w:pStyle w:val="NormalWeb"/>
              <w:tabs>
                <w:tab w:val="decimal" w:pos="879"/>
              </w:tabs>
              <w:spacing w:before="0" w:beforeAutospacing="0" w:after="0" w:afterAutospacing="0"/>
              <w:ind w:left="31" w:firstLine="8"/>
              <w:jc w:val="both"/>
              <w:rPr>
                <w:color w:val="000000"/>
              </w:rPr>
            </w:pPr>
            <w:r>
              <w:rPr>
                <w:color w:val="000000"/>
              </w:rPr>
              <w:t>-0.19</w:t>
            </w:r>
          </w:p>
          <w:p w14:paraId="053F1EFC" w14:textId="47ABA87F" w:rsidR="00673F57" w:rsidRDefault="00673F57" w:rsidP="00673F57">
            <w:pPr>
              <w:pStyle w:val="NormalWeb"/>
              <w:tabs>
                <w:tab w:val="decimal" w:pos="879"/>
              </w:tabs>
              <w:spacing w:before="0" w:beforeAutospacing="0" w:after="0" w:afterAutospacing="0"/>
              <w:ind w:left="31" w:firstLine="8"/>
              <w:jc w:val="both"/>
              <w:rPr>
                <w:color w:val="000000"/>
              </w:rPr>
            </w:pPr>
            <w:r w:rsidRPr="00673F57">
              <w:rPr>
                <w:color w:val="000000"/>
              </w:rPr>
              <w:t>(0.</w:t>
            </w:r>
            <w:r w:rsidR="00475318">
              <w:rPr>
                <w:color w:val="000000"/>
              </w:rPr>
              <w:t>53</w:t>
            </w:r>
            <w:r w:rsidRPr="00673F57">
              <w:rPr>
                <w:color w:val="000000"/>
              </w:rPr>
              <w:t>)</w:t>
            </w:r>
          </w:p>
        </w:tc>
      </w:tr>
      <w:tr w:rsidR="00673F57" w14:paraId="1CBAE95E" w14:textId="1EBB1030" w:rsidTr="001463EC">
        <w:tc>
          <w:tcPr>
            <w:tcW w:w="1258" w:type="pct"/>
            <w:vAlign w:val="center"/>
          </w:tcPr>
          <w:p w14:paraId="2EE4627A" w14:textId="7EDF44B3" w:rsidR="00673F57" w:rsidRDefault="00673F57" w:rsidP="00673F57">
            <w:r>
              <w:rPr>
                <w:color w:val="000000"/>
              </w:rPr>
              <w:t>Gender</w:t>
            </w:r>
          </w:p>
        </w:tc>
        <w:tc>
          <w:tcPr>
            <w:tcW w:w="748" w:type="pct"/>
          </w:tcPr>
          <w:p w14:paraId="28BB6E45" w14:textId="77777777" w:rsidR="00673F57" w:rsidRPr="000D056B" w:rsidRDefault="00673F57" w:rsidP="00673F57">
            <w:pPr>
              <w:pStyle w:val="NormalWeb"/>
              <w:tabs>
                <w:tab w:val="decimal" w:pos="765"/>
              </w:tabs>
              <w:spacing w:before="0" w:beforeAutospacing="0" w:after="0" w:afterAutospacing="0"/>
              <w:ind w:left="31" w:firstLine="8"/>
              <w:jc w:val="both"/>
              <w:rPr>
                <w:color w:val="000000"/>
              </w:rPr>
            </w:pPr>
          </w:p>
        </w:tc>
        <w:tc>
          <w:tcPr>
            <w:tcW w:w="748" w:type="pct"/>
            <w:vAlign w:val="bottom"/>
          </w:tcPr>
          <w:p w14:paraId="0FBBDBA1" w14:textId="1EE9F5E0" w:rsidR="00673F57" w:rsidRDefault="00673F57" w:rsidP="00673F57">
            <w:pPr>
              <w:pStyle w:val="NormalWeb"/>
              <w:tabs>
                <w:tab w:val="decimal" w:pos="879"/>
              </w:tabs>
              <w:spacing w:before="0" w:beforeAutospacing="0" w:after="0" w:afterAutospacing="0"/>
              <w:ind w:left="31" w:firstLine="8"/>
              <w:jc w:val="both"/>
            </w:pPr>
            <w:r>
              <w:rPr>
                <w:color w:val="000000"/>
              </w:rPr>
              <w:t>-</w:t>
            </w:r>
            <w:r w:rsidR="00302F16">
              <w:rPr>
                <w:color w:val="000000"/>
              </w:rPr>
              <w:t>8.27</w:t>
            </w:r>
            <w:r>
              <w:rPr>
                <w:color w:val="000000"/>
              </w:rPr>
              <w:t>***</w:t>
            </w:r>
          </w:p>
          <w:p w14:paraId="0AA2A5AF" w14:textId="19C11A1E" w:rsidR="00673F57" w:rsidRDefault="00673F57" w:rsidP="00673F57">
            <w:pPr>
              <w:tabs>
                <w:tab w:val="decimal" w:pos="879"/>
              </w:tabs>
              <w:ind w:left="31" w:firstLine="8"/>
            </w:pPr>
            <w:r>
              <w:rPr>
                <w:color w:val="000000"/>
              </w:rPr>
              <w:t>(1.</w:t>
            </w:r>
            <w:r w:rsidR="00302F16">
              <w:rPr>
                <w:color w:val="000000"/>
              </w:rPr>
              <w:t>31</w:t>
            </w:r>
            <w:r>
              <w:rPr>
                <w:color w:val="000000"/>
              </w:rPr>
              <w:t>)</w:t>
            </w:r>
          </w:p>
        </w:tc>
        <w:tc>
          <w:tcPr>
            <w:tcW w:w="748" w:type="pct"/>
            <w:vAlign w:val="bottom"/>
          </w:tcPr>
          <w:p w14:paraId="505B2802" w14:textId="3426858C" w:rsidR="00673F57" w:rsidRDefault="00673F57" w:rsidP="00673F57">
            <w:pPr>
              <w:pStyle w:val="NormalWeb"/>
              <w:tabs>
                <w:tab w:val="decimal" w:pos="879"/>
              </w:tabs>
              <w:spacing w:before="0" w:beforeAutospacing="0" w:after="0" w:afterAutospacing="0"/>
              <w:ind w:left="31" w:firstLine="8"/>
              <w:jc w:val="both"/>
              <w:rPr>
                <w:color w:val="000000"/>
              </w:rPr>
            </w:pPr>
            <w:r w:rsidRPr="00322223">
              <w:rPr>
                <w:color w:val="000000"/>
              </w:rPr>
              <w:t>-</w:t>
            </w:r>
            <w:r w:rsidR="00EB1236">
              <w:rPr>
                <w:color w:val="000000"/>
              </w:rPr>
              <w:t>7</w:t>
            </w:r>
            <w:r w:rsidRPr="00322223">
              <w:rPr>
                <w:color w:val="000000"/>
              </w:rPr>
              <w:t>.</w:t>
            </w:r>
            <w:r w:rsidR="00EB1236">
              <w:rPr>
                <w:color w:val="000000"/>
              </w:rPr>
              <w:t>6</w:t>
            </w:r>
            <w:r w:rsidRPr="00322223">
              <w:rPr>
                <w:color w:val="000000"/>
              </w:rPr>
              <w:t>2</w:t>
            </w:r>
            <w:r>
              <w:rPr>
                <w:color w:val="000000"/>
              </w:rPr>
              <w:t>***</w:t>
            </w:r>
          </w:p>
          <w:p w14:paraId="4E9B0383" w14:textId="1978B447" w:rsidR="00673F57" w:rsidRDefault="00673F57" w:rsidP="00673F57">
            <w:pPr>
              <w:pStyle w:val="NormalWeb"/>
              <w:tabs>
                <w:tab w:val="decimal" w:pos="879"/>
              </w:tabs>
              <w:spacing w:before="0" w:beforeAutospacing="0" w:after="0" w:afterAutospacing="0"/>
              <w:ind w:left="31" w:firstLine="8"/>
              <w:jc w:val="both"/>
              <w:rPr>
                <w:color w:val="000000"/>
              </w:rPr>
            </w:pPr>
            <w:r w:rsidRPr="00322223">
              <w:rPr>
                <w:color w:val="000000"/>
              </w:rPr>
              <w:t>(1.</w:t>
            </w:r>
            <w:r w:rsidR="00EB1236">
              <w:rPr>
                <w:color w:val="000000"/>
              </w:rPr>
              <w:t>3</w:t>
            </w:r>
            <w:r w:rsidRPr="00322223">
              <w:rPr>
                <w:color w:val="000000"/>
              </w:rPr>
              <w:t>2)</w:t>
            </w:r>
          </w:p>
        </w:tc>
        <w:tc>
          <w:tcPr>
            <w:tcW w:w="748" w:type="pct"/>
            <w:vAlign w:val="bottom"/>
          </w:tcPr>
          <w:p w14:paraId="5A241AF5" w14:textId="3A57F435" w:rsidR="00673F57" w:rsidRDefault="00673F57" w:rsidP="00673F57">
            <w:pPr>
              <w:pStyle w:val="NormalWeb"/>
              <w:tabs>
                <w:tab w:val="decimal" w:pos="879"/>
              </w:tabs>
              <w:spacing w:before="0" w:beforeAutospacing="0" w:after="0" w:afterAutospacing="0"/>
              <w:ind w:left="31" w:firstLine="8"/>
              <w:jc w:val="both"/>
              <w:rPr>
                <w:color w:val="000000"/>
              </w:rPr>
            </w:pPr>
            <w:r w:rsidRPr="00577E9C">
              <w:rPr>
                <w:color w:val="000000"/>
              </w:rPr>
              <w:t>-1</w:t>
            </w:r>
            <w:r w:rsidR="00013E1F">
              <w:rPr>
                <w:color w:val="000000"/>
              </w:rPr>
              <w:t>0</w:t>
            </w:r>
            <w:r w:rsidRPr="00577E9C">
              <w:rPr>
                <w:color w:val="000000"/>
              </w:rPr>
              <w:t>.</w:t>
            </w:r>
            <w:r w:rsidR="00013E1F">
              <w:rPr>
                <w:color w:val="000000"/>
              </w:rPr>
              <w:t>4</w:t>
            </w:r>
            <w:r w:rsidRPr="00577E9C">
              <w:rPr>
                <w:color w:val="000000"/>
              </w:rPr>
              <w:t>4</w:t>
            </w:r>
            <w:r>
              <w:rPr>
                <w:color w:val="000000"/>
              </w:rPr>
              <w:t>***</w:t>
            </w:r>
          </w:p>
          <w:p w14:paraId="350EA9DA" w14:textId="1AACB444" w:rsidR="00673F57" w:rsidRDefault="00673F57" w:rsidP="00673F57">
            <w:pPr>
              <w:pStyle w:val="NormalWeb"/>
              <w:tabs>
                <w:tab w:val="decimal" w:pos="879"/>
              </w:tabs>
              <w:spacing w:before="0" w:beforeAutospacing="0" w:after="0" w:afterAutospacing="0"/>
              <w:ind w:left="31" w:firstLine="8"/>
              <w:jc w:val="both"/>
              <w:rPr>
                <w:color w:val="000000"/>
              </w:rPr>
            </w:pPr>
            <w:r w:rsidRPr="00577E9C">
              <w:rPr>
                <w:color w:val="000000"/>
              </w:rPr>
              <w:t>(2.</w:t>
            </w:r>
            <w:r w:rsidR="00013E1F">
              <w:rPr>
                <w:color w:val="000000"/>
              </w:rPr>
              <w:t>53</w:t>
            </w:r>
            <w:r w:rsidRPr="00577E9C">
              <w:rPr>
                <w:color w:val="000000"/>
              </w:rPr>
              <w:t>)</w:t>
            </w:r>
          </w:p>
        </w:tc>
        <w:tc>
          <w:tcPr>
            <w:tcW w:w="750" w:type="pct"/>
            <w:vAlign w:val="bottom"/>
          </w:tcPr>
          <w:p w14:paraId="32623E92" w14:textId="38D49CC9" w:rsidR="00213F16" w:rsidRDefault="005558D6" w:rsidP="00673F57">
            <w:pPr>
              <w:pStyle w:val="NormalWeb"/>
              <w:tabs>
                <w:tab w:val="decimal" w:pos="879"/>
              </w:tabs>
              <w:spacing w:before="0" w:beforeAutospacing="0" w:after="0" w:afterAutospacing="0"/>
              <w:ind w:left="31" w:firstLine="8"/>
              <w:jc w:val="both"/>
              <w:rPr>
                <w:color w:val="000000"/>
              </w:rPr>
            </w:pPr>
            <w:r>
              <w:rPr>
                <w:color w:val="000000"/>
              </w:rPr>
              <w:t>0</w:t>
            </w:r>
            <w:r w:rsidR="00673F57" w:rsidRPr="00673F57">
              <w:rPr>
                <w:color w:val="000000"/>
              </w:rPr>
              <w:t>.</w:t>
            </w:r>
            <w:r>
              <w:rPr>
                <w:color w:val="000000"/>
              </w:rPr>
              <w:t>30</w:t>
            </w:r>
          </w:p>
          <w:p w14:paraId="0968BB23" w14:textId="11F23FAE" w:rsidR="00673F57" w:rsidRDefault="00673F57" w:rsidP="00673F57">
            <w:pPr>
              <w:pStyle w:val="NormalWeb"/>
              <w:tabs>
                <w:tab w:val="decimal" w:pos="879"/>
              </w:tabs>
              <w:spacing w:before="0" w:beforeAutospacing="0" w:after="0" w:afterAutospacing="0"/>
              <w:ind w:left="31" w:firstLine="8"/>
              <w:jc w:val="both"/>
              <w:rPr>
                <w:color w:val="000000"/>
              </w:rPr>
            </w:pPr>
            <w:r w:rsidRPr="00673F57">
              <w:rPr>
                <w:color w:val="000000"/>
              </w:rPr>
              <w:t>(</w:t>
            </w:r>
            <w:r w:rsidR="005558D6">
              <w:rPr>
                <w:color w:val="000000"/>
              </w:rPr>
              <w:t>1</w:t>
            </w:r>
            <w:r w:rsidRPr="00673F57">
              <w:rPr>
                <w:color w:val="000000"/>
              </w:rPr>
              <w:t>.</w:t>
            </w:r>
            <w:r w:rsidR="005558D6">
              <w:rPr>
                <w:color w:val="000000"/>
              </w:rPr>
              <w:t>8</w:t>
            </w:r>
            <w:r w:rsidRPr="00673F57">
              <w:rPr>
                <w:color w:val="000000"/>
              </w:rPr>
              <w:t>8)</w:t>
            </w:r>
          </w:p>
        </w:tc>
      </w:tr>
      <w:tr w:rsidR="00673F57" w14:paraId="76080878" w14:textId="792B94FF" w:rsidTr="001463EC">
        <w:tc>
          <w:tcPr>
            <w:tcW w:w="1258" w:type="pct"/>
            <w:vAlign w:val="center"/>
          </w:tcPr>
          <w:p w14:paraId="499776DE" w14:textId="0E1F1F3E" w:rsidR="00673F57" w:rsidRDefault="00673F57" w:rsidP="00673F57">
            <w:r>
              <w:rPr>
                <w:color w:val="000000"/>
              </w:rPr>
              <w:t>Race</w:t>
            </w:r>
          </w:p>
        </w:tc>
        <w:tc>
          <w:tcPr>
            <w:tcW w:w="748" w:type="pct"/>
          </w:tcPr>
          <w:p w14:paraId="6A002C40" w14:textId="77777777" w:rsidR="00673F57" w:rsidRPr="000D056B" w:rsidRDefault="00673F57" w:rsidP="00673F57">
            <w:pPr>
              <w:pStyle w:val="NormalWeb"/>
              <w:tabs>
                <w:tab w:val="decimal" w:pos="765"/>
              </w:tabs>
              <w:spacing w:before="0" w:beforeAutospacing="0" w:after="0" w:afterAutospacing="0"/>
              <w:ind w:left="31" w:firstLine="8"/>
              <w:jc w:val="both"/>
              <w:rPr>
                <w:color w:val="000000"/>
              </w:rPr>
            </w:pPr>
          </w:p>
        </w:tc>
        <w:tc>
          <w:tcPr>
            <w:tcW w:w="748" w:type="pct"/>
            <w:vAlign w:val="bottom"/>
          </w:tcPr>
          <w:p w14:paraId="6777EA04" w14:textId="5755D80E" w:rsidR="00673F57" w:rsidRDefault="00673F57" w:rsidP="00673F57">
            <w:pPr>
              <w:pStyle w:val="NormalWeb"/>
              <w:tabs>
                <w:tab w:val="decimal" w:pos="879"/>
              </w:tabs>
              <w:spacing w:before="0" w:beforeAutospacing="0" w:after="0" w:afterAutospacing="0"/>
              <w:ind w:left="31" w:firstLine="8"/>
              <w:jc w:val="both"/>
            </w:pPr>
            <w:r>
              <w:rPr>
                <w:color w:val="000000"/>
              </w:rPr>
              <w:t>-0.</w:t>
            </w:r>
            <w:r w:rsidR="00302F16">
              <w:rPr>
                <w:color w:val="000000"/>
              </w:rPr>
              <w:t>08</w:t>
            </w:r>
          </w:p>
          <w:p w14:paraId="52B7F392" w14:textId="18018687" w:rsidR="00673F57" w:rsidRDefault="00673F57" w:rsidP="00673F57">
            <w:pPr>
              <w:tabs>
                <w:tab w:val="decimal" w:pos="879"/>
              </w:tabs>
              <w:ind w:left="31" w:firstLine="8"/>
            </w:pPr>
            <w:r>
              <w:rPr>
                <w:color w:val="000000"/>
              </w:rPr>
              <w:t>(0.</w:t>
            </w:r>
            <w:r w:rsidR="00302F16">
              <w:rPr>
                <w:color w:val="000000"/>
              </w:rPr>
              <w:t>09</w:t>
            </w:r>
            <w:r>
              <w:rPr>
                <w:color w:val="000000"/>
              </w:rPr>
              <w:t>)</w:t>
            </w:r>
          </w:p>
        </w:tc>
        <w:tc>
          <w:tcPr>
            <w:tcW w:w="748" w:type="pct"/>
            <w:vAlign w:val="bottom"/>
          </w:tcPr>
          <w:p w14:paraId="4E10EC49" w14:textId="6809686C" w:rsidR="00673F57" w:rsidRDefault="00673F57" w:rsidP="00673F57">
            <w:pPr>
              <w:pStyle w:val="NormalWeb"/>
              <w:tabs>
                <w:tab w:val="decimal" w:pos="879"/>
              </w:tabs>
              <w:spacing w:before="0" w:beforeAutospacing="0" w:after="0" w:afterAutospacing="0"/>
              <w:ind w:left="31" w:firstLine="8"/>
              <w:jc w:val="both"/>
              <w:rPr>
                <w:color w:val="000000"/>
              </w:rPr>
            </w:pPr>
            <w:r w:rsidRPr="00322223">
              <w:rPr>
                <w:color w:val="000000"/>
              </w:rPr>
              <w:t>-0.</w:t>
            </w:r>
            <w:r>
              <w:rPr>
                <w:color w:val="000000"/>
              </w:rPr>
              <w:t>0</w:t>
            </w:r>
            <w:r w:rsidR="00EB1236">
              <w:rPr>
                <w:color w:val="000000"/>
              </w:rPr>
              <w:t>4</w:t>
            </w:r>
          </w:p>
          <w:p w14:paraId="3D574A38" w14:textId="00067D54" w:rsidR="00673F57" w:rsidRDefault="00673F57" w:rsidP="00673F57">
            <w:pPr>
              <w:pStyle w:val="NormalWeb"/>
              <w:tabs>
                <w:tab w:val="decimal" w:pos="879"/>
              </w:tabs>
              <w:spacing w:before="0" w:beforeAutospacing="0" w:after="0" w:afterAutospacing="0"/>
              <w:ind w:left="31" w:firstLine="8"/>
              <w:jc w:val="both"/>
              <w:rPr>
                <w:color w:val="000000"/>
              </w:rPr>
            </w:pPr>
            <w:r w:rsidRPr="00322223">
              <w:rPr>
                <w:color w:val="000000"/>
              </w:rPr>
              <w:t>(0.</w:t>
            </w:r>
            <w:r w:rsidR="00EB1236">
              <w:rPr>
                <w:color w:val="000000"/>
              </w:rPr>
              <w:t>09</w:t>
            </w:r>
            <w:r w:rsidRPr="00322223">
              <w:rPr>
                <w:color w:val="000000"/>
              </w:rPr>
              <w:t>)</w:t>
            </w:r>
          </w:p>
        </w:tc>
        <w:tc>
          <w:tcPr>
            <w:tcW w:w="748" w:type="pct"/>
            <w:vAlign w:val="bottom"/>
          </w:tcPr>
          <w:p w14:paraId="7F5ACFD2" w14:textId="2EC32C2E" w:rsidR="00673F57" w:rsidRDefault="00673F57" w:rsidP="00673F57">
            <w:pPr>
              <w:pStyle w:val="NormalWeb"/>
              <w:tabs>
                <w:tab w:val="decimal" w:pos="879"/>
              </w:tabs>
              <w:spacing w:before="0" w:beforeAutospacing="0" w:after="0" w:afterAutospacing="0"/>
              <w:ind w:left="31" w:firstLine="8"/>
              <w:jc w:val="both"/>
              <w:rPr>
                <w:color w:val="000000"/>
              </w:rPr>
            </w:pPr>
            <w:r w:rsidRPr="00577E9C">
              <w:rPr>
                <w:color w:val="000000"/>
              </w:rPr>
              <w:t>-0.</w:t>
            </w:r>
            <w:r w:rsidR="00013E1F">
              <w:rPr>
                <w:color w:val="000000"/>
              </w:rPr>
              <w:t>52</w:t>
            </w:r>
            <w:r>
              <w:rPr>
                <w:color w:val="000000"/>
              </w:rPr>
              <w:t>*</w:t>
            </w:r>
            <w:r w:rsidR="00E65E87">
              <w:rPr>
                <w:color w:val="000000"/>
              </w:rPr>
              <w:t>*</w:t>
            </w:r>
          </w:p>
          <w:p w14:paraId="60D1C723" w14:textId="75218F26" w:rsidR="00673F57" w:rsidRDefault="00673F57" w:rsidP="00673F57">
            <w:pPr>
              <w:pStyle w:val="NormalWeb"/>
              <w:tabs>
                <w:tab w:val="decimal" w:pos="879"/>
              </w:tabs>
              <w:spacing w:before="0" w:beforeAutospacing="0" w:after="0" w:afterAutospacing="0"/>
              <w:ind w:left="31" w:firstLine="8"/>
              <w:jc w:val="both"/>
              <w:rPr>
                <w:color w:val="000000"/>
              </w:rPr>
            </w:pPr>
            <w:r w:rsidRPr="00577E9C">
              <w:rPr>
                <w:color w:val="000000"/>
              </w:rPr>
              <w:t>(0.</w:t>
            </w:r>
            <w:r w:rsidR="00013E1F">
              <w:rPr>
                <w:color w:val="000000"/>
              </w:rPr>
              <w:t>18</w:t>
            </w:r>
            <w:r w:rsidRPr="00577E9C">
              <w:rPr>
                <w:color w:val="000000"/>
              </w:rPr>
              <w:t>)</w:t>
            </w:r>
          </w:p>
        </w:tc>
        <w:tc>
          <w:tcPr>
            <w:tcW w:w="750" w:type="pct"/>
            <w:vAlign w:val="bottom"/>
          </w:tcPr>
          <w:p w14:paraId="015C86DF" w14:textId="2AAAF2DC" w:rsidR="00213F16" w:rsidRDefault="00673F57" w:rsidP="00673F57">
            <w:pPr>
              <w:pStyle w:val="NormalWeb"/>
              <w:tabs>
                <w:tab w:val="decimal" w:pos="879"/>
              </w:tabs>
              <w:spacing w:before="0" w:beforeAutospacing="0" w:after="0" w:afterAutospacing="0"/>
              <w:ind w:left="31" w:firstLine="8"/>
              <w:jc w:val="both"/>
              <w:rPr>
                <w:color w:val="000000"/>
              </w:rPr>
            </w:pPr>
            <w:r w:rsidRPr="00673F57">
              <w:rPr>
                <w:color w:val="000000"/>
              </w:rPr>
              <w:t>-0.2</w:t>
            </w:r>
            <w:r w:rsidR="005558D6">
              <w:rPr>
                <w:color w:val="000000"/>
              </w:rPr>
              <w:t>8</w:t>
            </w:r>
            <w:r w:rsidR="005444D0">
              <w:rPr>
                <w:color w:val="000000"/>
              </w:rPr>
              <w:t>*</w:t>
            </w:r>
          </w:p>
          <w:p w14:paraId="17FFFB5E" w14:textId="383BC11A" w:rsidR="00673F57" w:rsidRDefault="00673F57" w:rsidP="00673F57">
            <w:pPr>
              <w:pStyle w:val="NormalWeb"/>
              <w:tabs>
                <w:tab w:val="decimal" w:pos="879"/>
              </w:tabs>
              <w:spacing w:before="0" w:beforeAutospacing="0" w:after="0" w:afterAutospacing="0"/>
              <w:ind w:left="31" w:firstLine="8"/>
              <w:jc w:val="both"/>
              <w:rPr>
                <w:color w:val="000000"/>
              </w:rPr>
            </w:pPr>
            <w:r w:rsidRPr="00673F57">
              <w:rPr>
                <w:color w:val="000000"/>
              </w:rPr>
              <w:t>(0.</w:t>
            </w:r>
            <w:r w:rsidR="005558D6">
              <w:rPr>
                <w:color w:val="000000"/>
              </w:rPr>
              <w:t>13</w:t>
            </w:r>
            <w:r w:rsidRPr="00673F57">
              <w:rPr>
                <w:color w:val="000000"/>
              </w:rPr>
              <w:t>)</w:t>
            </w:r>
          </w:p>
        </w:tc>
      </w:tr>
      <w:tr w:rsidR="00673F57" w14:paraId="20815E95" w14:textId="10FD1F01" w:rsidTr="001463EC">
        <w:tc>
          <w:tcPr>
            <w:tcW w:w="1258" w:type="pct"/>
            <w:vAlign w:val="center"/>
          </w:tcPr>
          <w:p w14:paraId="2D39DB08" w14:textId="44ACA8FB" w:rsidR="00673F57" w:rsidRDefault="00673F57" w:rsidP="00673F57">
            <w:r>
              <w:rPr>
                <w:color w:val="000000"/>
              </w:rPr>
              <w:t>Income</w:t>
            </w:r>
          </w:p>
        </w:tc>
        <w:tc>
          <w:tcPr>
            <w:tcW w:w="748" w:type="pct"/>
          </w:tcPr>
          <w:p w14:paraId="368ECB6E" w14:textId="77777777" w:rsidR="00673F57" w:rsidRPr="000D056B" w:rsidRDefault="00673F57" w:rsidP="00673F57">
            <w:pPr>
              <w:pStyle w:val="NormalWeb"/>
              <w:tabs>
                <w:tab w:val="decimal" w:pos="765"/>
              </w:tabs>
              <w:spacing w:before="0" w:beforeAutospacing="0" w:after="0" w:afterAutospacing="0"/>
              <w:ind w:left="31" w:firstLine="8"/>
              <w:jc w:val="both"/>
              <w:rPr>
                <w:color w:val="000000"/>
              </w:rPr>
            </w:pPr>
          </w:p>
        </w:tc>
        <w:tc>
          <w:tcPr>
            <w:tcW w:w="748" w:type="pct"/>
            <w:vAlign w:val="bottom"/>
          </w:tcPr>
          <w:p w14:paraId="376266CF" w14:textId="1860452E" w:rsidR="00673F57" w:rsidRDefault="00302F16" w:rsidP="00673F57">
            <w:pPr>
              <w:pStyle w:val="NormalWeb"/>
              <w:tabs>
                <w:tab w:val="decimal" w:pos="879"/>
              </w:tabs>
              <w:spacing w:before="0" w:beforeAutospacing="0" w:after="0" w:afterAutospacing="0"/>
              <w:ind w:left="31" w:firstLine="8"/>
              <w:jc w:val="both"/>
            </w:pPr>
            <w:r>
              <w:rPr>
                <w:color w:val="000000"/>
              </w:rPr>
              <w:t>6.01</w:t>
            </w:r>
            <w:r w:rsidR="00673F57">
              <w:rPr>
                <w:color w:val="000000"/>
              </w:rPr>
              <w:t>***</w:t>
            </w:r>
          </w:p>
          <w:p w14:paraId="1F948A11" w14:textId="51420E18" w:rsidR="00673F57" w:rsidRDefault="00673F57" w:rsidP="00673F57">
            <w:pPr>
              <w:tabs>
                <w:tab w:val="decimal" w:pos="879"/>
              </w:tabs>
              <w:ind w:left="31" w:firstLine="8"/>
            </w:pPr>
            <w:r>
              <w:rPr>
                <w:color w:val="000000"/>
              </w:rPr>
              <w:t>(</w:t>
            </w:r>
            <w:r w:rsidR="00302F16">
              <w:rPr>
                <w:color w:val="000000"/>
              </w:rPr>
              <w:t>0.86</w:t>
            </w:r>
            <w:r>
              <w:rPr>
                <w:color w:val="000000"/>
              </w:rPr>
              <w:t>)</w:t>
            </w:r>
          </w:p>
        </w:tc>
        <w:tc>
          <w:tcPr>
            <w:tcW w:w="748" w:type="pct"/>
            <w:vAlign w:val="bottom"/>
          </w:tcPr>
          <w:p w14:paraId="30BBA7F4" w14:textId="7CE30667" w:rsidR="00673F57" w:rsidRDefault="00EB1236" w:rsidP="00673F57">
            <w:pPr>
              <w:pStyle w:val="NormalWeb"/>
              <w:tabs>
                <w:tab w:val="decimal" w:pos="879"/>
              </w:tabs>
              <w:spacing w:before="0" w:beforeAutospacing="0" w:after="0" w:afterAutospacing="0"/>
              <w:ind w:left="31" w:firstLine="8"/>
              <w:jc w:val="both"/>
              <w:rPr>
                <w:color w:val="000000"/>
              </w:rPr>
            </w:pPr>
            <w:r>
              <w:rPr>
                <w:color w:val="000000"/>
              </w:rPr>
              <w:t>5.57</w:t>
            </w:r>
            <w:r w:rsidR="00673F57">
              <w:rPr>
                <w:color w:val="000000"/>
              </w:rPr>
              <w:t>***</w:t>
            </w:r>
          </w:p>
          <w:p w14:paraId="0C1EF75C" w14:textId="193B478B" w:rsidR="00673F57" w:rsidRDefault="00673F57" w:rsidP="00673F57">
            <w:pPr>
              <w:pStyle w:val="NormalWeb"/>
              <w:tabs>
                <w:tab w:val="decimal" w:pos="879"/>
              </w:tabs>
              <w:spacing w:before="0" w:beforeAutospacing="0" w:after="0" w:afterAutospacing="0"/>
              <w:ind w:left="31" w:firstLine="8"/>
              <w:jc w:val="both"/>
              <w:rPr>
                <w:color w:val="000000"/>
              </w:rPr>
            </w:pPr>
            <w:r w:rsidRPr="00322223">
              <w:rPr>
                <w:color w:val="000000"/>
              </w:rPr>
              <w:t>(</w:t>
            </w:r>
            <w:r w:rsidR="00EB1236">
              <w:rPr>
                <w:color w:val="000000"/>
              </w:rPr>
              <w:t>0.87</w:t>
            </w:r>
            <w:r w:rsidRPr="00322223">
              <w:rPr>
                <w:color w:val="000000"/>
              </w:rPr>
              <w:t>)</w:t>
            </w:r>
          </w:p>
        </w:tc>
        <w:tc>
          <w:tcPr>
            <w:tcW w:w="748" w:type="pct"/>
            <w:vAlign w:val="bottom"/>
          </w:tcPr>
          <w:p w14:paraId="4FE9AE2C" w14:textId="61D344FA" w:rsidR="00673F57" w:rsidRDefault="00673F57" w:rsidP="00673F57">
            <w:pPr>
              <w:pStyle w:val="NormalWeb"/>
              <w:tabs>
                <w:tab w:val="decimal" w:pos="879"/>
              </w:tabs>
              <w:spacing w:before="0" w:beforeAutospacing="0" w:after="0" w:afterAutospacing="0"/>
              <w:ind w:left="31" w:firstLine="8"/>
              <w:jc w:val="both"/>
              <w:rPr>
                <w:color w:val="000000"/>
              </w:rPr>
            </w:pPr>
            <w:r w:rsidRPr="00577E9C">
              <w:rPr>
                <w:color w:val="000000"/>
              </w:rPr>
              <w:t>1</w:t>
            </w:r>
            <w:r w:rsidR="00013E1F">
              <w:rPr>
                <w:color w:val="000000"/>
              </w:rPr>
              <w:t>2.69</w:t>
            </w:r>
            <w:r>
              <w:rPr>
                <w:color w:val="000000"/>
              </w:rPr>
              <w:t>***</w:t>
            </w:r>
          </w:p>
          <w:p w14:paraId="2A932AFB" w14:textId="4C251E92" w:rsidR="00673F57" w:rsidRDefault="00673F57" w:rsidP="00673F57">
            <w:pPr>
              <w:pStyle w:val="NormalWeb"/>
              <w:tabs>
                <w:tab w:val="decimal" w:pos="879"/>
              </w:tabs>
              <w:spacing w:before="0" w:beforeAutospacing="0" w:after="0" w:afterAutospacing="0"/>
              <w:ind w:left="31" w:firstLine="8"/>
              <w:jc w:val="both"/>
              <w:rPr>
                <w:color w:val="000000"/>
              </w:rPr>
            </w:pPr>
            <w:r w:rsidRPr="00577E9C">
              <w:rPr>
                <w:color w:val="000000"/>
              </w:rPr>
              <w:t>(</w:t>
            </w:r>
            <w:r w:rsidR="00013E1F">
              <w:rPr>
                <w:color w:val="000000"/>
              </w:rPr>
              <w:t>1.67</w:t>
            </w:r>
            <w:r>
              <w:rPr>
                <w:color w:val="000000"/>
              </w:rPr>
              <w:t>)</w:t>
            </w:r>
          </w:p>
        </w:tc>
        <w:tc>
          <w:tcPr>
            <w:tcW w:w="750" w:type="pct"/>
            <w:vAlign w:val="bottom"/>
          </w:tcPr>
          <w:p w14:paraId="4E83617D" w14:textId="0CBE8CEA" w:rsidR="00213F16" w:rsidRDefault="005558D6" w:rsidP="00673F57">
            <w:pPr>
              <w:pStyle w:val="NormalWeb"/>
              <w:tabs>
                <w:tab w:val="decimal" w:pos="879"/>
              </w:tabs>
              <w:spacing w:before="0" w:beforeAutospacing="0" w:after="0" w:afterAutospacing="0"/>
              <w:ind w:left="31" w:firstLine="8"/>
              <w:jc w:val="both"/>
              <w:rPr>
                <w:color w:val="000000"/>
              </w:rPr>
            </w:pPr>
            <w:r>
              <w:rPr>
                <w:color w:val="000000"/>
              </w:rPr>
              <w:t>2</w:t>
            </w:r>
            <w:r w:rsidR="00673F57" w:rsidRPr="00673F57">
              <w:rPr>
                <w:color w:val="000000"/>
              </w:rPr>
              <w:t>.</w:t>
            </w:r>
            <w:r>
              <w:rPr>
                <w:color w:val="000000"/>
              </w:rPr>
              <w:t>85</w:t>
            </w:r>
            <w:r w:rsidR="005444D0">
              <w:rPr>
                <w:color w:val="000000"/>
              </w:rPr>
              <w:t>*</w:t>
            </w:r>
          </w:p>
          <w:p w14:paraId="599B1D36" w14:textId="3C3B90B7" w:rsidR="00673F57" w:rsidRDefault="00673F57" w:rsidP="00673F57">
            <w:pPr>
              <w:pStyle w:val="NormalWeb"/>
              <w:tabs>
                <w:tab w:val="decimal" w:pos="879"/>
              </w:tabs>
              <w:spacing w:before="0" w:beforeAutospacing="0" w:after="0" w:afterAutospacing="0"/>
              <w:ind w:left="31" w:firstLine="8"/>
              <w:jc w:val="both"/>
              <w:rPr>
                <w:color w:val="000000"/>
              </w:rPr>
            </w:pPr>
            <w:r w:rsidRPr="00673F57">
              <w:rPr>
                <w:color w:val="000000"/>
              </w:rPr>
              <w:t>(1.</w:t>
            </w:r>
            <w:r w:rsidR="005558D6">
              <w:rPr>
                <w:color w:val="000000"/>
              </w:rPr>
              <w:t>25</w:t>
            </w:r>
            <w:r w:rsidRPr="00673F57">
              <w:rPr>
                <w:color w:val="000000"/>
              </w:rPr>
              <w:t>)</w:t>
            </w:r>
          </w:p>
        </w:tc>
      </w:tr>
      <w:tr w:rsidR="00673F57" w14:paraId="61283492" w14:textId="2E6F54D1" w:rsidTr="001463EC">
        <w:tc>
          <w:tcPr>
            <w:tcW w:w="1258" w:type="pct"/>
            <w:vAlign w:val="center"/>
          </w:tcPr>
          <w:p w14:paraId="625FD66A" w14:textId="34D9F626" w:rsidR="00673F57" w:rsidRDefault="00673F57" w:rsidP="00673F57">
            <w:pPr>
              <w:rPr>
                <w:color w:val="000000"/>
              </w:rPr>
            </w:pPr>
            <w:r>
              <w:rPr>
                <w:color w:val="000000"/>
              </w:rPr>
              <w:t>Population Density</w:t>
            </w:r>
          </w:p>
        </w:tc>
        <w:tc>
          <w:tcPr>
            <w:tcW w:w="748" w:type="pct"/>
          </w:tcPr>
          <w:p w14:paraId="1CC65E35" w14:textId="77777777" w:rsidR="00673F57" w:rsidRPr="000D056B" w:rsidRDefault="00673F57" w:rsidP="00673F57">
            <w:pPr>
              <w:pStyle w:val="NormalWeb"/>
              <w:tabs>
                <w:tab w:val="decimal" w:pos="765"/>
              </w:tabs>
              <w:spacing w:before="0" w:beforeAutospacing="0" w:after="0" w:afterAutospacing="0"/>
              <w:ind w:left="31" w:firstLine="8"/>
              <w:jc w:val="both"/>
              <w:rPr>
                <w:color w:val="000000"/>
              </w:rPr>
            </w:pPr>
          </w:p>
        </w:tc>
        <w:tc>
          <w:tcPr>
            <w:tcW w:w="748" w:type="pct"/>
            <w:vAlign w:val="bottom"/>
          </w:tcPr>
          <w:p w14:paraId="28C4D2CB" w14:textId="44E9DAEE" w:rsidR="00673F57" w:rsidRDefault="00673F57" w:rsidP="00673F57">
            <w:pPr>
              <w:pStyle w:val="NormalWeb"/>
              <w:tabs>
                <w:tab w:val="decimal" w:pos="879"/>
              </w:tabs>
              <w:spacing w:before="0" w:beforeAutospacing="0" w:after="0" w:afterAutospacing="0"/>
              <w:ind w:left="31" w:firstLine="8"/>
              <w:jc w:val="both"/>
            </w:pPr>
            <w:r>
              <w:rPr>
                <w:color w:val="000000"/>
              </w:rPr>
              <w:t>0.</w:t>
            </w:r>
            <w:r w:rsidR="00302F16">
              <w:rPr>
                <w:color w:val="000000"/>
              </w:rPr>
              <w:t>49</w:t>
            </w:r>
          </w:p>
          <w:p w14:paraId="11B17D7F" w14:textId="6365F130" w:rsidR="00673F57" w:rsidRDefault="00673F57" w:rsidP="00673F57">
            <w:pPr>
              <w:pStyle w:val="NormalWeb"/>
              <w:tabs>
                <w:tab w:val="decimal" w:pos="879"/>
              </w:tabs>
              <w:spacing w:before="0" w:beforeAutospacing="0" w:after="0" w:afterAutospacing="0"/>
              <w:ind w:left="31" w:firstLine="8"/>
              <w:jc w:val="both"/>
              <w:rPr>
                <w:color w:val="000000"/>
              </w:rPr>
            </w:pPr>
            <w:r>
              <w:rPr>
                <w:color w:val="000000"/>
              </w:rPr>
              <w:t>(0.2</w:t>
            </w:r>
            <w:r w:rsidR="00302F16">
              <w:rPr>
                <w:color w:val="000000"/>
              </w:rPr>
              <w:t>5</w:t>
            </w:r>
            <w:r>
              <w:rPr>
                <w:color w:val="000000"/>
              </w:rPr>
              <w:t>)</w:t>
            </w:r>
          </w:p>
        </w:tc>
        <w:tc>
          <w:tcPr>
            <w:tcW w:w="748" w:type="pct"/>
            <w:vAlign w:val="bottom"/>
          </w:tcPr>
          <w:p w14:paraId="28E29B43" w14:textId="39804779" w:rsidR="00673F57" w:rsidRDefault="00673F57" w:rsidP="00673F57">
            <w:pPr>
              <w:pStyle w:val="NormalWeb"/>
              <w:tabs>
                <w:tab w:val="decimal" w:pos="879"/>
              </w:tabs>
              <w:spacing w:before="0" w:beforeAutospacing="0" w:after="0" w:afterAutospacing="0"/>
              <w:ind w:left="31" w:firstLine="8"/>
              <w:jc w:val="both"/>
              <w:rPr>
                <w:color w:val="000000"/>
              </w:rPr>
            </w:pPr>
            <w:r w:rsidRPr="00322223">
              <w:rPr>
                <w:color w:val="000000"/>
              </w:rPr>
              <w:t>0.</w:t>
            </w:r>
            <w:r w:rsidR="00EB1236">
              <w:rPr>
                <w:color w:val="000000"/>
              </w:rPr>
              <w:t>51</w:t>
            </w:r>
            <w:r>
              <w:rPr>
                <w:color w:val="000000"/>
              </w:rPr>
              <w:t>*</w:t>
            </w:r>
          </w:p>
          <w:p w14:paraId="7F38525D" w14:textId="6363BFAC" w:rsidR="00673F57" w:rsidRDefault="00673F57" w:rsidP="00673F57">
            <w:pPr>
              <w:pStyle w:val="NormalWeb"/>
              <w:tabs>
                <w:tab w:val="decimal" w:pos="879"/>
              </w:tabs>
              <w:spacing w:before="0" w:beforeAutospacing="0" w:after="0" w:afterAutospacing="0"/>
              <w:ind w:left="31" w:firstLine="8"/>
              <w:jc w:val="both"/>
              <w:rPr>
                <w:color w:val="000000"/>
              </w:rPr>
            </w:pPr>
            <w:r w:rsidRPr="00322223">
              <w:rPr>
                <w:color w:val="000000"/>
              </w:rPr>
              <w:t>(0.2</w:t>
            </w:r>
            <w:r w:rsidR="00EB1236">
              <w:rPr>
                <w:color w:val="000000"/>
              </w:rPr>
              <w:t>5</w:t>
            </w:r>
            <w:r w:rsidRPr="00322223">
              <w:rPr>
                <w:color w:val="000000"/>
              </w:rPr>
              <w:t>)</w:t>
            </w:r>
          </w:p>
        </w:tc>
        <w:tc>
          <w:tcPr>
            <w:tcW w:w="748" w:type="pct"/>
            <w:vAlign w:val="bottom"/>
          </w:tcPr>
          <w:p w14:paraId="6AD4E619" w14:textId="7CE804F2" w:rsidR="00673F57" w:rsidRDefault="00673F57" w:rsidP="00673F57">
            <w:pPr>
              <w:pStyle w:val="NormalWeb"/>
              <w:tabs>
                <w:tab w:val="decimal" w:pos="879"/>
              </w:tabs>
              <w:spacing w:before="0" w:beforeAutospacing="0" w:after="0" w:afterAutospacing="0"/>
              <w:ind w:left="31" w:firstLine="8"/>
              <w:jc w:val="both"/>
              <w:rPr>
                <w:color w:val="000000"/>
              </w:rPr>
            </w:pPr>
            <w:r w:rsidRPr="00577E9C">
              <w:rPr>
                <w:color w:val="000000"/>
              </w:rPr>
              <w:t>0.2</w:t>
            </w:r>
            <w:r w:rsidR="00013E1F">
              <w:rPr>
                <w:color w:val="000000"/>
              </w:rPr>
              <w:t>0</w:t>
            </w:r>
          </w:p>
          <w:p w14:paraId="5CAD2075" w14:textId="4D677507" w:rsidR="00673F57" w:rsidRDefault="00673F57" w:rsidP="00673F57">
            <w:pPr>
              <w:pStyle w:val="NormalWeb"/>
              <w:tabs>
                <w:tab w:val="decimal" w:pos="879"/>
              </w:tabs>
              <w:spacing w:before="0" w:beforeAutospacing="0" w:after="0" w:afterAutospacing="0"/>
              <w:ind w:left="31" w:firstLine="8"/>
              <w:jc w:val="both"/>
              <w:rPr>
                <w:color w:val="000000"/>
              </w:rPr>
            </w:pPr>
            <w:r w:rsidRPr="00577E9C">
              <w:rPr>
                <w:color w:val="000000"/>
              </w:rPr>
              <w:t>(0.</w:t>
            </w:r>
            <w:r w:rsidR="00013E1F">
              <w:rPr>
                <w:color w:val="000000"/>
              </w:rPr>
              <w:t>48</w:t>
            </w:r>
            <w:r w:rsidRPr="00577E9C">
              <w:rPr>
                <w:color w:val="000000"/>
              </w:rPr>
              <w:t xml:space="preserve">) </w:t>
            </w:r>
          </w:p>
        </w:tc>
        <w:tc>
          <w:tcPr>
            <w:tcW w:w="750" w:type="pct"/>
            <w:vAlign w:val="bottom"/>
          </w:tcPr>
          <w:p w14:paraId="740E73C6" w14:textId="4D1C8A36" w:rsidR="00213F16" w:rsidRDefault="00673F57" w:rsidP="00673F57">
            <w:pPr>
              <w:pStyle w:val="NormalWeb"/>
              <w:tabs>
                <w:tab w:val="decimal" w:pos="879"/>
              </w:tabs>
              <w:spacing w:before="0" w:beforeAutospacing="0" w:after="0" w:afterAutospacing="0"/>
              <w:ind w:left="31" w:firstLine="8"/>
              <w:jc w:val="both"/>
              <w:rPr>
                <w:color w:val="000000"/>
              </w:rPr>
            </w:pPr>
            <w:r w:rsidRPr="00673F57">
              <w:rPr>
                <w:color w:val="000000"/>
              </w:rPr>
              <w:t>-0.</w:t>
            </w:r>
            <w:r w:rsidR="00785958">
              <w:rPr>
                <w:color w:val="000000"/>
              </w:rPr>
              <w:t>65</w:t>
            </w:r>
          </w:p>
          <w:p w14:paraId="00159013" w14:textId="519962E5" w:rsidR="00673F57" w:rsidRDefault="00673F57" w:rsidP="00673F57">
            <w:pPr>
              <w:pStyle w:val="NormalWeb"/>
              <w:tabs>
                <w:tab w:val="decimal" w:pos="879"/>
              </w:tabs>
              <w:spacing w:before="0" w:beforeAutospacing="0" w:after="0" w:afterAutospacing="0"/>
              <w:ind w:left="31" w:firstLine="8"/>
              <w:jc w:val="both"/>
              <w:rPr>
                <w:color w:val="000000"/>
              </w:rPr>
            </w:pPr>
            <w:r w:rsidRPr="00673F57">
              <w:rPr>
                <w:color w:val="000000"/>
              </w:rPr>
              <w:t>(0.</w:t>
            </w:r>
            <w:r w:rsidR="00785958">
              <w:rPr>
                <w:color w:val="000000"/>
              </w:rPr>
              <w:t>36</w:t>
            </w:r>
            <w:r w:rsidRPr="00673F57">
              <w:rPr>
                <w:color w:val="000000"/>
              </w:rPr>
              <w:t>)</w:t>
            </w:r>
          </w:p>
        </w:tc>
      </w:tr>
      <w:tr w:rsidR="00DC3E39" w14:paraId="47D58E99" w14:textId="635E524B" w:rsidTr="00DC3E39">
        <w:tc>
          <w:tcPr>
            <w:tcW w:w="1258" w:type="pct"/>
            <w:tcBorders>
              <w:top w:val="single" w:sz="4" w:space="0" w:color="auto"/>
            </w:tcBorders>
            <w:vAlign w:val="center"/>
          </w:tcPr>
          <w:p w14:paraId="1D1281E9" w14:textId="6225A7C5" w:rsidR="00BE4089" w:rsidRDefault="00BE4089" w:rsidP="00FC6581">
            <w:pPr>
              <w:rPr>
                <w:color w:val="000000"/>
              </w:rPr>
            </w:pPr>
            <w:r>
              <w:rPr>
                <w:color w:val="000000"/>
              </w:rPr>
              <w:t>Observations</w:t>
            </w:r>
          </w:p>
        </w:tc>
        <w:tc>
          <w:tcPr>
            <w:tcW w:w="748" w:type="pct"/>
            <w:tcBorders>
              <w:top w:val="single" w:sz="4" w:space="0" w:color="auto"/>
            </w:tcBorders>
          </w:tcPr>
          <w:p w14:paraId="225C1817" w14:textId="1B94E042" w:rsidR="00BE4089" w:rsidRDefault="000701E1" w:rsidP="00FC6581">
            <w:pPr>
              <w:pStyle w:val="NormalWeb"/>
              <w:spacing w:before="0" w:beforeAutospacing="0" w:after="0" w:afterAutospacing="0"/>
              <w:ind w:left="900" w:hanging="720"/>
              <w:jc w:val="center"/>
              <w:rPr>
                <w:color w:val="000000"/>
              </w:rPr>
            </w:pPr>
            <w:r>
              <w:rPr>
                <w:color w:val="000000"/>
              </w:rPr>
              <w:t>816</w:t>
            </w:r>
          </w:p>
        </w:tc>
        <w:tc>
          <w:tcPr>
            <w:tcW w:w="748" w:type="pct"/>
            <w:tcBorders>
              <w:top w:val="single" w:sz="4" w:space="0" w:color="auto"/>
            </w:tcBorders>
            <w:vAlign w:val="bottom"/>
          </w:tcPr>
          <w:p w14:paraId="6A0E7619" w14:textId="28DF2A50" w:rsidR="00BE4089" w:rsidRDefault="000A06B9" w:rsidP="00FC6581">
            <w:pPr>
              <w:pStyle w:val="NormalWeb"/>
              <w:spacing w:before="0" w:beforeAutospacing="0" w:after="0" w:afterAutospacing="0"/>
              <w:ind w:left="900" w:hanging="720"/>
              <w:jc w:val="center"/>
              <w:rPr>
                <w:color w:val="000000"/>
              </w:rPr>
            </w:pPr>
            <w:r>
              <w:rPr>
                <w:color w:val="000000"/>
              </w:rPr>
              <w:t>816</w:t>
            </w:r>
          </w:p>
        </w:tc>
        <w:tc>
          <w:tcPr>
            <w:tcW w:w="748" w:type="pct"/>
            <w:tcBorders>
              <w:top w:val="single" w:sz="4" w:space="0" w:color="auto"/>
            </w:tcBorders>
          </w:tcPr>
          <w:p w14:paraId="7165382E" w14:textId="0D988694" w:rsidR="00BE4089" w:rsidRDefault="00FF09D4" w:rsidP="00FC6581">
            <w:pPr>
              <w:pStyle w:val="NormalWeb"/>
              <w:spacing w:before="0" w:beforeAutospacing="0" w:after="0" w:afterAutospacing="0"/>
              <w:ind w:left="900" w:hanging="720"/>
              <w:jc w:val="center"/>
              <w:rPr>
                <w:color w:val="000000"/>
              </w:rPr>
            </w:pPr>
            <w:r w:rsidRPr="00FF09D4">
              <w:rPr>
                <w:color w:val="000000"/>
              </w:rPr>
              <w:t>816</w:t>
            </w:r>
          </w:p>
        </w:tc>
        <w:tc>
          <w:tcPr>
            <w:tcW w:w="748" w:type="pct"/>
            <w:tcBorders>
              <w:top w:val="single" w:sz="4" w:space="0" w:color="auto"/>
            </w:tcBorders>
          </w:tcPr>
          <w:p w14:paraId="10E91609" w14:textId="341ED35A" w:rsidR="00BE4089" w:rsidRDefault="00FF09D4" w:rsidP="00FC6581">
            <w:pPr>
              <w:pStyle w:val="NormalWeb"/>
              <w:spacing w:before="0" w:beforeAutospacing="0" w:after="0" w:afterAutospacing="0"/>
              <w:ind w:left="900" w:hanging="720"/>
              <w:jc w:val="center"/>
              <w:rPr>
                <w:color w:val="000000"/>
              </w:rPr>
            </w:pPr>
            <w:r w:rsidRPr="00FF09D4">
              <w:rPr>
                <w:color w:val="000000"/>
              </w:rPr>
              <w:t>816</w:t>
            </w:r>
          </w:p>
        </w:tc>
        <w:tc>
          <w:tcPr>
            <w:tcW w:w="750" w:type="pct"/>
            <w:tcBorders>
              <w:top w:val="single" w:sz="4" w:space="0" w:color="auto"/>
            </w:tcBorders>
          </w:tcPr>
          <w:p w14:paraId="3487F518" w14:textId="7D1D8DAA" w:rsidR="00BE4089" w:rsidRDefault="00FF09D4" w:rsidP="00FC6581">
            <w:pPr>
              <w:pStyle w:val="NormalWeb"/>
              <w:spacing w:before="0" w:beforeAutospacing="0" w:after="0" w:afterAutospacing="0"/>
              <w:ind w:left="900" w:hanging="720"/>
              <w:jc w:val="center"/>
              <w:rPr>
                <w:color w:val="000000"/>
              </w:rPr>
            </w:pPr>
            <w:r w:rsidRPr="00FF09D4">
              <w:rPr>
                <w:color w:val="000000"/>
              </w:rPr>
              <w:t>816</w:t>
            </w:r>
          </w:p>
        </w:tc>
      </w:tr>
      <w:tr w:rsidR="00DC3E39" w14:paraId="3FF2F3ED" w14:textId="65B3B2D1" w:rsidTr="00DC3E39">
        <w:tc>
          <w:tcPr>
            <w:tcW w:w="1258" w:type="pct"/>
            <w:vAlign w:val="center"/>
          </w:tcPr>
          <w:p w14:paraId="28F7EE49" w14:textId="26400412" w:rsidR="00BE4089" w:rsidRDefault="00BE4089" w:rsidP="00FC6581">
            <w:pPr>
              <w:rPr>
                <w:color w:val="000000"/>
              </w:rPr>
            </w:pPr>
            <w:r>
              <w:rPr>
                <w:color w:val="000000"/>
              </w:rPr>
              <w:t>Log likelihood</w:t>
            </w:r>
          </w:p>
        </w:tc>
        <w:tc>
          <w:tcPr>
            <w:tcW w:w="748" w:type="pct"/>
          </w:tcPr>
          <w:p w14:paraId="2EFEBE83" w14:textId="79B4389D" w:rsidR="00BE4089" w:rsidRPr="00EE47BD" w:rsidRDefault="006738BF" w:rsidP="00FC6581">
            <w:pPr>
              <w:pStyle w:val="NormalWeb"/>
              <w:tabs>
                <w:tab w:val="decimal" w:pos="851"/>
              </w:tabs>
              <w:spacing w:before="0" w:beforeAutospacing="0" w:after="0" w:afterAutospacing="0"/>
              <w:ind w:left="900" w:hanging="720"/>
              <w:jc w:val="center"/>
              <w:rPr>
                <w:color w:val="000000"/>
              </w:rPr>
            </w:pPr>
            <w:r w:rsidRPr="006738BF">
              <w:rPr>
                <w:color w:val="000000"/>
              </w:rPr>
              <w:t>-2</w:t>
            </w:r>
            <w:r w:rsidR="00736514">
              <w:rPr>
                <w:color w:val="000000"/>
              </w:rPr>
              <w:t>,</w:t>
            </w:r>
            <w:r w:rsidRPr="006738BF">
              <w:rPr>
                <w:color w:val="000000"/>
              </w:rPr>
              <w:t>725.16</w:t>
            </w:r>
          </w:p>
        </w:tc>
        <w:tc>
          <w:tcPr>
            <w:tcW w:w="748" w:type="pct"/>
            <w:vAlign w:val="bottom"/>
          </w:tcPr>
          <w:p w14:paraId="4A7D31F9" w14:textId="2F187E96" w:rsidR="00BE4089" w:rsidRDefault="000A06B9" w:rsidP="00FC6581">
            <w:pPr>
              <w:pStyle w:val="NormalWeb"/>
              <w:tabs>
                <w:tab w:val="decimal" w:pos="851"/>
              </w:tabs>
              <w:spacing w:before="0" w:beforeAutospacing="0" w:after="0" w:afterAutospacing="0"/>
              <w:ind w:left="900" w:hanging="720"/>
              <w:jc w:val="center"/>
              <w:rPr>
                <w:color w:val="000000"/>
              </w:rPr>
            </w:pPr>
            <w:r w:rsidRPr="000A06B9">
              <w:rPr>
                <w:color w:val="000000"/>
              </w:rPr>
              <w:t>-2</w:t>
            </w:r>
            <w:r w:rsidR="00736514">
              <w:rPr>
                <w:color w:val="000000"/>
              </w:rPr>
              <w:t>,</w:t>
            </w:r>
            <w:r w:rsidRPr="000A06B9">
              <w:rPr>
                <w:color w:val="000000"/>
              </w:rPr>
              <w:t>657.39</w:t>
            </w:r>
          </w:p>
        </w:tc>
        <w:tc>
          <w:tcPr>
            <w:tcW w:w="748" w:type="pct"/>
          </w:tcPr>
          <w:p w14:paraId="12818FC5" w14:textId="55CF5EB4" w:rsidR="00BE4089" w:rsidRDefault="00AF119A" w:rsidP="00FC6581">
            <w:pPr>
              <w:pStyle w:val="NormalWeb"/>
              <w:tabs>
                <w:tab w:val="decimal" w:pos="851"/>
              </w:tabs>
              <w:spacing w:before="0" w:beforeAutospacing="0" w:after="0" w:afterAutospacing="0"/>
              <w:ind w:left="900" w:hanging="720"/>
              <w:jc w:val="center"/>
              <w:rPr>
                <w:color w:val="000000"/>
              </w:rPr>
            </w:pPr>
            <w:r w:rsidRPr="00AF119A">
              <w:rPr>
                <w:color w:val="000000"/>
              </w:rPr>
              <w:t>-2</w:t>
            </w:r>
            <w:r w:rsidR="00736514">
              <w:rPr>
                <w:color w:val="000000"/>
              </w:rPr>
              <w:t>,</w:t>
            </w:r>
            <w:r w:rsidRPr="00AF119A">
              <w:rPr>
                <w:color w:val="000000"/>
              </w:rPr>
              <w:t>668.38</w:t>
            </w:r>
          </w:p>
        </w:tc>
        <w:tc>
          <w:tcPr>
            <w:tcW w:w="748" w:type="pct"/>
          </w:tcPr>
          <w:p w14:paraId="2A5EBA4F" w14:textId="0F2F7CB6" w:rsidR="00BE4089" w:rsidRDefault="0016120B" w:rsidP="00FC6581">
            <w:pPr>
              <w:pStyle w:val="NormalWeb"/>
              <w:tabs>
                <w:tab w:val="decimal" w:pos="851"/>
              </w:tabs>
              <w:spacing w:before="0" w:beforeAutospacing="0" w:after="0" w:afterAutospacing="0"/>
              <w:ind w:left="900" w:hanging="720"/>
              <w:jc w:val="center"/>
              <w:rPr>
                <w:color w:val="000000"/>
              </w:rPr>
            </w:pPr>
            <w:r w:rsidRPr="0016120B">
              <w:rPr>
                <w:color w:val="000000"/>
              </w:rPr>
              <w:t>-3</w:t>
            </w:r>
            <w:r w:rsidR="009C4380">
              <w:rPr>
                <w:color w:val="000000"/>
              </w:rPr>
              <w:t>,</w:t>
            </w:r>
            <w:r w:rsidRPr="0016120B">
              <w:rPr>
                <w:color w:val="000000"/>
              </w:rPr>
              <w:t>148.06</w:t>
            </w:r>
          </w:p>
        </w:tc>
        <w:tc>
          <w:tcPr>
            <w:tcW w:w="750" w:type="pct"/>
          </w:tcPr>
          <w:p w14:paraId="39DFF336" w14:textId="7ED02F11" w:rsidR="00BE4089" w:rsidRDefault="005444D0" w:rsidP="00FC6581">
            <w:pPr>
              <w:pStyle w:val="NormalWeb"/>
              <w:tabs>
                <w:tab w:val="decimal" w:pos="851"/>
              </w:tabs>
              <w:spacing w:before="0" w:beforeAutospacing="0" w:after="0" w:afterAutospacing="0"/>
              <w:ind w:left="900" w:hanging="720"/>
              <w:jc w:val="center"/>
              <w:rPr>
                <w:color w:val="000000"/>
              </w:rPr>
            </w:pPr>
            <w:r w:rsidRPr="005444D0">
              <w:rPr>
                <w:color w:val="000000"/>
              </w:rPr>
              <w:t>-2</w:t>
            </w:r>
            <w:r w:rsidR="009C4380">
              <w:rPr>
                <w:color w:val="000000"/>
              </w:rPr>
              <w:t>,</w:t>
            </w:r>
            <w:r w:rsidRPr="005444D0">
              <w:rPr>
                <w:color w:val="000000"/>
              </w:rPr>
              <w:t>920.05</w:t>
            </w:r>
          </w:p>
        </w:tc>
      </w:tr>
      <w:tr w:rsidR="00DC3E39" w14:paraId="2694F393" w14:textId="4740A81E" w:rsidTr="00DC3E39">
        <w:tc>
          <w:tcPr>
            <w:tcW w:w="1258" w:type="pct"/>
            <w:vAlign w:val="center"/>
          </w:tcPr>
          <w:p w14:paraId="365956F6" w14:textId="36209965" w:rsidR="00BE4089" w:rsidRDefault="00BE4089" w:rsidP="00FC6581">
            <w:pPr>
              <w:rPr>
                <w:color w:val="000000"/>
              </w:rPr>
            </w:pPr>
            <w:r w:rsidRPr="001C6B68">
              <w:rPr>
                <w:color w:val="000000"/>
              </w:rPr>
              <w:t xml:space="preserve">Akaike </w:t>
            </w:r>
            <w:r>
              <w:rPr>
                <w:color w:val="000000"/>
              </w:rPr>
              <w:t>i</w:t>
            </w:r>
            <w:r w:rsidRPr="001C6B68">
              <w:rPr>
                <w:color w:val="000000"/>
              </w:rPr>
              <w:t xml:space="preserve">nformation </w:t>
            </w:r>
            <w:r>
              <w:rPr>
                <w:color w:val="000000"/>
              </w:rPr>
              <w:t>c</w:t>
            </w:r>
            <w:r w:rsidRPr="001C6B68">
              <w:rPr>
                <w:color w:val="000000"/>
              </w:rPr>
              <w:t>riterion</w:t>
            </w:r>
          </w:p>
        </w:tc>
        <w:tc>
          <w:tcPr>
            <w:tcW w:w="748" w:type="pct"/>
          </w:tcPr>
          <w:p w14:paraId="1AB1382C" w14:textId="11ECC970" w:rsidR="00BE4089" w:rsidRPr="00104C50" w:rsidRDefault="006738BF" w:rsidP="00FC6581">
            <w:pPr>
              <w:pStyle w:val="NormalWeb"/>
              <w:tabs>
                <w:tab w:val="decimal" w:pos="851"/>
              </w:tabs>
              <w:spacing w:before="0" w:beforeAutospacing="0" w:after="0" w:afterAutospacing="0"/>
              <w:ind w:left="900" w:hanging="720"/>
              <w:jc w:val="center"/>
              <w:rPr>
                <w:color w:val="000000"/>
              </w:rPr>
            </w:pPr>
            <w:r w:rsidRPr="006738BF">
              <w:rPr>
                <w:color w:val="000000"/>
              </w:rPr>
              <w:t>5</w:t>
            </w:r>
            <w:r w:rsidR="00736514">
              <w:rPr>
                <w:color w:val="000000"/>
              </w:rPr>
              <w:t>,</w:t>
            </w:r>
            <w:r w:rsidRPr="006738BF">
              <w:rPr>
                <w:color w:val="000000"/>
              </w:rPr>
              <w:t>460.31</w:t>
            </w:r>
          </w:p>
        </w:tc>
        <w:tc>
          <w:tcPr>
            <w:tcW w:w="748" w:type="pct"/>
            <w:vAlign w:val="bottom"/>
          </w:tcPr>
          <w:p w14:paraId="1C69EC24" w14:textId="59BD14C9" w:rsidR="00BE4089" w:rsidRDefault="00DC3C90" w:rsidP="00FC6581">
            <w:pPr>
              <w:pStyle w:val="NormalWeb"/>
              <w:tabs>
                <w:tab w:val="decimal" w:pos="851"/>
              </w:tabs>
              <w:spacing w:before="0" w:beforeAutospacing="0" w:after="0" w:afterAutospacing="0"/>
              <w:ind w:left="900" w:hanging="720"/>
              <w:jc w:val="center"/>
              <w:rPr>
                <w:color w:val="000000"/>
              </w:rPr>
            </w:pPr>
            <w:r w:rsidRPr="00DC3C90">
              <w:rPr>
                <w:color w:val="000000"/>
              </w:rPr>
              <w:t>5</w:t>
            </w:r>
            <w:r w:rsidR="00736514">
              <w:rPr>
                <w:color w:val="000000"/>
              </w:rPr>
              <w:t>,</w:t>
            </w:r>
            <w:r w:rsidRPr="00DC3C90">
              <w:rPr>
                <w:color w:val="000000"/>
              </w:rPr>
              <w:t>336.79</w:t>
            </w:r>
          </w:p>
        </w:tc>
        <w:tc>
          <w:tcPr>
            <w:tcW w:w="748" w:type="pct"/>
          </w:tcPr>
          <w:p w14:paraId="5E6A8D08" w14:textId="53993E4B" w:rsidR="00BE4089" w:rsidRDefault="00483752" w:rsidP="00FC6581">
            <w:pPr>
              <w:pStyle w:val="NormalWeb"/>
              <w:tabs>
                <w:tab w:val="decimal" w:pos="851"/>
              </w:tabs>
              <w:spacing w:before="0" w:beforeAutospacing="0" w:after="0" w:afterAutospacing="0"/>
              <w:ind w:left="900" w:hanging="720"/>
              <w:jc w:val="center"/>
              <w:rPr>
                <w:color w:val="000000"/>
              </w:rPr>
            </w:pPr>
            <w:r w:rsidRPr="00483752">
              <w:rPr>
                <w:color w:val="000000"/>
              </w:rPr>
              <w:t>5</w:t>
            </w:r>
            <w:r w:rsidR="009C4380">
              <w:rPr>
                <w:color w:val="000000"/>
              </w:rPr>
              <w:t>,</w:t>
            </w:r>
            <w:r w:rsidRPr="00483752">
              <w:rPr>
                <w:color w:val="000000"/>
              </w:rPr>
              <w:t>358.76</w:t>
            </w:r>
          </w:p>
        </w:tc>
        <w:tc>
          <w:tcPr>
            <w:tcW w:w="748" w:type="pct"/>
          </w:tcPr>
          <w:p w14:paraId="754EA6D6" w14:textId="2BCFFABB" w:rsidR="00BE4089" w:rsidRDefault="0016120B" w:rsidP="00FC6581">
            <w:pPr>
              <w:pStyle w:val="NormalWeb"/>
              <w:tabs>
                <w:tab w:val="decimal" w:pos="851"/>
              </w:tabs>
              <w:spacing w:before="0" w:beforeAutospacing="0" w:after="0" w:afterAutospacing="0"/>
              <w:ind w:left="900" w:hanging="720"/>
              <w:jc w:val="center"/>
              <w:rPr>
                <w:color w:val="000000"/>
              </w:rPr>
            </w:pPr>
            <w:r w:rsidRPr="0016120B">
              <w:rPr>
                <w:color w:val="000000"/>
              </w:rPr>
              <w:t>6</w:t>
            </w:r>
            <w:r w:rsidR="009C4380">
              <w:rPr>
                <w:color w:val="000000"/>
              </w:rPr>
              <w:t>,</w:t>
            </w:r>
            <w:r w:rsidRPr="0016120B">
              <w:rPr>
                <w:color w:val="000000"/>
              </w:rPr>
              <w:t>318.13</w:t>
            </w:r>
          </w:p>
        </w:tc>
        <w:tc>
          <w:tcPr>
            <w:tcW w:w="750" w:type="pct"/>
          </w:tcPr>
          <w:p w14:paraId="167E4FBB" w14:textId="13AAAA2C" w:rsidR="00BE4089" w:rsidRDefault="00E508A1" w:rsidP="00FC6581">
            <w:pPr>
              <w:pStyle w:val="NormalWeb"/>
              <w:tabs>
                <w:tab w:val="decimal" w:pos="851"/>
              </w:tabs>
              <w:spacing w:before="0" w:beforeAutospacing="0" w:after="0" w:afterAutospacing="0"/>
              <w:ind w:left="900" w:hanging="720"/>
              <w:jc w:val="center"/>
              <w:rPr>
                <w:color w:val="000000"/>
              </w:rPr>
            </w:pPr>
            <w:r w:rsidRPr="00E508A1">
              <w:rPr>
                <w:color w:val="000000"/>
              </w:rPr>
              <w:t>5</w:t>
            </w:r>
            <w:r w:rsidR="009C4380">
              <w:rPr>
                <w:color w:val="000000"/>
              </w:rPr>
              <w:t>,</w:t>
            </w:r>
            <w:r w:rsidRPr="00E508A1">
              <w:rPr>
                <w:color w:val="000000"/>
              </w:rPr>
              <w:t>862.11</w:t>
            </w:r>
          </w:p>
        </w:tc>
      </w:tr>
      <w:tr w:rsidR="00DC3E39" w14:paraId="7D2137BB" w14:textId="2D54A944" w:rsidTr="00DC3E39">
        <w:tc>
          <w:tcPr>
            <w:tcW w:w="1258" w:type="pct"/>
            <w:tcBorders>
              <w:bottom w:val="single" w:sz="4" w:space="0" w:color="auto"/>
            </w:tcBorders>
            <w:vAlign w:val="center"/>
          </w:tcPr>
          <w:p w14:paraId="0B980653" w14:textId="0CEC6924" w:rsidR="00BE4089" w:rsidRDefault="00BE4089" w:rsidP="00FC6581">
            <w:pPr>
              <w:rPr>
                <w:color w:val="000000"/>
              </w:rPr>
            </w:pPr>
            <w:r>
              <w:rPr>
                <w:color w:val="000000"/>
              </w:rPr>
              <w:t>Bayesian information criterion</w:t>
            </w:r>
          </w:p>
        </w:tc>
        <w:tc>
          <w:tcPr>
            <w:tcW w:w="748" w:type="pct"/>
            <w:tcBorders>
              <w:bottom w:val="single" w:sz="4" w:space="0" w:color="auto"/>
            </w:tcBorders>
          </w:tcPr>
          <w:p w14:paraId="398AAB8B" w14:textId="43F87E77" w:rsidR="00BE4089" w:rsidRPr="00EE47BD" w:rsidRDefault="006738BF" w:rsidP="00FC6581">
            <w:pPr>
              <w:pStyle w:val="NormalWeb"/>
              <w:tabs>
                <w:tab w:val="decimal" w:pos="851"/>
              </w:tabs>
              <w:spacing w:before="0" w:beforeAutospacing="0" w:after="0" w:afterAutospacing="0"/>
              <w:ind w:left="900" w:hanging="720"/>
              <w:jc w:val="center"/>
              <w:rPr>
                <w:color w:val="000000"/>
              </w:rPr>
            </w:pPr>
            <w:r w:rsidRPr="006738BF">
              <w:rPr>
                <w:color w:val="000000"/>
              </w:rPr>
              <w:t>5</w:t>
            </w:r>
            <w:r w:rsidR="00736514">
              <w:rPr>
                <w:color w:val="000000"/>
              </w:rPr>
              <w:t>,</w:t>
            </w:r>
            <w:r w:rsidRPr="006738BF">
              <w:rPr>
                <w:color w:val="000000"/>
              </w:rPr>
              <w:t>483.83</w:t>
            </w:r>
          </w:p>
        </w:tc>
        <w:tc>
          <w:tcPr>
            <w:tcW w:w="748" w:type="pct"/>
            <w:tcBorders>
              <w:bottom w:val="single" w:sz="4" w:space="0" w:color="auto"/>
            </w:tcBorders>
            <w:vAlign w:val="bottom"/>
          </w:tcPr>
          <w:p w14:paraId="62374364" w14:textId="45D34A1F" w:rsidR="00BE4089" w:rsidRDefault="00DC3C90" w:rsidP="00FC6581">
            <w:pPr>
              <w:pStyle w:val="NormalWeb"/>
              <w:tabs>
                <w:tab w:val="decimal" w:pos="851"/>
              </w:tabs>
              <w:spacing w:before="0" w:beforeAutospacing="0" w:after="0" w:afterAutospacing="0"/>
              <w:ind w:left="900" w:hanging="720"/>
              <w:jc w:val="center"/>
              <w:rPr>
                <w:color w:val="000000"/>
              </w:rPr>
            </w:pPr>
            <w:r w:rsidRPr="00DC3C90">
              <w:rPr>
                <w:color w:val="000000"/>
              </w:rPr>
              <w:t>5</w:t>
            </w:r>
            <w:r w:rsidR="00736514">
              <w:rPr>
                <w:color w:val="000000"/>
              </w:rPr>
              <w:t>,</w:t>
            </w:r>
            <w:r w:rsidRPr="00DC3C90">
              <w:rPr>
                <w:color w:val="000000"/>
              </w:rPr>
              <w:t>388.53</w:t>
            </w:r>
          </w:p>
        </w:tc>
        <w:tc>
          <w:tcPr>
            <w:tcW w:w="748" w:type="pct"/>
            <w:tcBorders>
              <w:bottom w:val="single" w:sz="4" w:space="0" w:color="auto"/>
            </w:tcBorders>
          </w:tcPr>
          <w:p w14:paraId="724BD128" w14:textId="38F7A2DB" w:rsidR="00BE4089" w:rsidRDefault="00483752" w:rsidP="00FC6581">
            <w:pPr>
              <w:pStyle w:val="NormalWeb"/>
              <w:tabs>
                <w:tab w:val="decimal" w:pos="851"/>
              </w:tabs>
              <w:spacing w:before="0" w:beforeAutospacing="0" w:after="0" w:afterAutospacing="0"/>
              <w:ind w:left="900" w:hanging="720"/>
              <w:jc w:val="center"/>
              <w:rPr>
                <w:color w:val="000000"/>
              </w:rPr>
            </w:pPr>
            <w:r w:rsidRPr="00483752">
              <w:rPr>
                <w:color w:val="000000"/>
              </w:rPr>
              <w:t>5</w:t>
            </w:r>
            <w:r w:rsidR="009C4380">
              <w:rPr>
                <w:color w:val="000000"/>
              </w:rPr>
              <w:t>,</w:t>
            </w:r>
            <w:r w:rsidRPr="00483752">
              <w:rPr>
                <w:color w:val="000000"/>
              </w:rPr>
              <w:t>410.51</w:t>
            </w:r>
          </w:p>
        </w:tc>
        <w:tc>
          <w:tcPr>
            <w:tcW w:w="748" w:type="pct"/>
            <w:tcBorders>
              <w:bottom w:val="single" w:sz="4" w:space="0" w:color="auto"/>
            </w:tcBorders>
          </w:tcPr>
          <w:p w14:paraId="48669832" w14:textId="64D29CA4" w:rsidR="00BE4089" w:rsidRDefault="0016120B" w:rsidP="00FC6581">
            <w:pPr>
              <w:pStyle w:val="NormalWeb"/>
              <w:tabs>
                <w:tab w:val="decimal" w:pos="851"/>
              </w:tabs>
              <w:spacing w:before="0" w:beforeAutospacing="0" w:after="0" w:afterAutospacing="0"/>
              <w:ind w:left="900" w:hanging="720"/>
              <w:jc w:val="center"/>
              <w:rPr>
                <w:color w:val="000000"/>
              </w:rPr>
            </w:pPr>
            <w:r w:rsidRPr="0016120B">
              <w:rPr>
                <w:color w:val="000000"/>
              </w:rPr>
              <w:t>6</w:t>
            </w:r>
            <w:r w:rsidR="009C4380">
              <w:rPr>
                <w:color w:val="000000"/>
              </w:rPr>
              <w:t>,</w:t>
            </w:r>
            <w:r w:rsidRPr="0016120B">
              <w:rPr>
                <w:color w:val="000000"/>
              </w:rPr>
              <w:t>369.87</w:t>
            </w:r>
          </w:p>
        </w:tc>
        <w:tc>
          <w:tcPr>
            <w:tcW w:w="750" w:type="pct"/>
            <w:tcBorders>
              <w:bottom w:val="single" w:sz="4" w:space="0" w:color="auto"/>
            </w:tcBorders>
          </w:tcPr>
          <w:p w14:paraId="23EE5B3D" w14:textId="154F0B5D" w:rsidR="00BE4089" w:rsidRDefault="00E508A1" w:rsidP="00FC6581">
            <w:pPr>
              <w:pStyle w:val="NormalWeb"/>
              <w:tabs>
                <w:tab w:val="decimal" w:pos="851"/>
              </w:tabs>
              <w:spacing w:before="0" w:beforeAutospacing="0" w:after="0" w:afterAutospacing="0"/>
              <w:ind w:left="900" w:hanging="720"/>
              <w:jc w:val="center"/>
              <w:rPr>
                <w:color w:val="000000"/>
              </w:rPr>
            </w:pPr>
            <w:r w:rsidRPr="00E508A1">
              <w:rPr>
                <w:color w:val="000000"/>
              </w:rPr>
              <w:t>5</w:t>
            </w:r>
            <w:r w:rsidR="009C4380">
              <w:rPr>
                <w:color w:val="000000"/>
              </w:rPr>
              <w:t>,</w:t>
            </w:r>
            <w:r w:rsidRPr="00E508A1">
              <w:rPr>
                <w:color w:val="000000"/>
              </w:rPr>
              <w:t>913.86</w:t>
            </w:r>
          </w:p>
        </w:tc>
      </w:tr>
    </w:tbl>
    <w:p w14:paraId="3A007173" w14:textId="01EFA85B" w:rsidR="002446FF" w:rsidRDefault="00EE41D7" w:rsidP="002B68D4">
      <w:r w:rsidRPr="000755EC">
        <w:rPr>
          <w:color w:val="000000"/>
          <w:sz w:val="21"/>
          <w:szCs w:val="21"/>
        </w:rPr>
        <w:t>Notes. * p &lt; .05, ** p &lt; .01, *** p &lt; .001; Values are unstandardized coefficients, with standard errors in parentheses.</w:t>
      </w:r>
      <w:r w:rsidR="001F6052">
        <w:rPr>
          <w:color w:val="000000"/>
          <w:sz w:val="21"/>
          <w:szCs w:val="21"/>
        </w:rPr>
        <w:t xml:space="preserve"> </w:t>
      </w:r>
      <w:r w:rsidR="001F6052" w:rsidRPr="001F6052">
        <w:rPr>
          <w:color w:val="000000"/>
          <w:sz w:val="21"/>
          <w:szCs w:val="21"/>
        </w:rPr>
        <w:t>The Google Trends indices are based on the following sets of keywords: main analysis (vegan, vegetarian, dairy free, animal testing, cruelty free, grass fed, free range, and cage free), without animal ingredients (vegan, vegetarian, and dairy free), not tested on animals (animal testing and cruelty free), from humanely treated animals (grass fed, free range, and cage free).</w:t>
      </w:r>
    </w:p>
    <w:p w14:paraId="04553C63" w14:textId="77777777" w:rsidR="002446FF" w:rsidRDefault="002446FF" w:rsidP="002B68D4"/>
    <w:p w14:paraId="542FD8A1" w14:textId="77777777" w:rsidR="00BE4089" w:rsidRDefault="00BE4089">
      <w:pPr>
        <w:sectPr w:rsidR="00BE4089" w:rsidSect="00BE4089">
          <w:pgSz w:w="15840" w:h="12240" w:orient="landscape"/>
          <w:pgMar w:top="1440" w:right="1440" w:bottom="1440" w:left="1440" w:header="708" w:footer="708" w:gutter="0"/>
          <w:cols w:space="708"/>
          <w:docGrid w:linePitch="360"/>
        </w:sectPr>
      </w:pPr>
    </w:p>
    <w:p w14:paraId="36194007" w14:textId="2E39D79D" w:rsidR="002B68D4" w:rsidRPr="005B7366" w:rsidRDefault="000E070D" w:rsidP="005B7366">
      <w:pPr>
        <w:pStyle w:val="NormalWeb"/>
        <w:spacing w:before="0" w:beforeAutospacing="0" w:after="0" w:afterAutospacing="0"/>
        <w:jc w:val="center"/>
        <w:rPr>
          <w:b/>
          <w:bCs/>
        </w:rPr>
      </w:pPr>
      <w:r w:rsidRPr="005B7366">
        <w:rPr>
          <w:b/>
          <w:bCs/>
        </w:rPr>
        <w:lastRenderedPageBreak/>
        <w:t>References</w:t>
      </w:r>
    </w:p>
    <w:p w14:paraId="424EFA23" w14:textId="77777777" w:rsidR="000E070D" w:rsidRDefault="000E070D" w:rsidP="002446FF">
      <w:pPr>
        <w:pStyle w:val="NormalWeb"/>
        <w:spacing w:before="0" w:beforeAutospacing="0" w:after="0" w:afterAutospacing="0"/>
      </w:pPr>
    </w:p>
    <w:p w14:paraId="3A4DD93E" w14:textId="2EDE9C82" w:rsidR="00EC480A" w:rsidRDefault="00EC480A" w:rsidP="002446FF">
      <w:pPr>
        <w:pStyle w:val="NormalWeb"/>
        <w:spacing w:before="0" w:beforeAutospacing="0" w:after="0" w:afterAutospacing="0"/>
      </w:pPr>
      <w:proofErr w:type="spellStart"/>
      <w:r w:rsidRPr="00EC480A">
        <w:t>Hamaker</w:t>
      </w:r>
      <w:proofErr w:type="spellEnd"/>
      <w:r w:rsidRPr="00EC480A">
        <w:t xml:space="preserve">, E. L. </w:t>
      </w:r>
      <w:r>
        <w:t>and B.</w:t>
      </w:r>
      <w:r w:rsidRPr="00EC480A">
        <w:t xml:space="preserve"> </w:t>
      </w:r>
      <w:proofErr w:type="spellStart"/>
      <w:r w:rsidRPr="00EC480A">
        <w:t>Muthén</w:t>
      </w:r>
      <w:proofErr w:type="spellEnd"/>
      <w:r w:rsidRPr="00EC480A">
        <w:t xml:space="preserve"> (2020)</w:t>
      </w:r>
      <w:r w:rsidR="009E5561">
        <w:t>,</w:t>
      </w:r>
      <w:r w:rsidRPr="00EC480A">
        <w:t xml:space="preserve"> </w:t>
      </w:r>
      <w:r w:rsidR="009E5561">
        <w:t>“</w:t>
      </w:r>
      <w:r w:rsidRPr="00EC480A">
        <w:t xml:space="preserve">The </w:t>
      </w:r>
      <w:r w:rsidR="009E5561">
        <w:t>F</w:t>
      </w:r>
      <w:r w:rsidRPr="00EC480A">
        <w:t xml:space="preserve">ixed </w:t>
      </w:r>
      <w:r w:rsidR="009E5561">
        <w:t>V</w:t>
      </w:r>
      <w:r w:rsidRPr="00EC480A">
        <w:t xml:space="preserve">ersus </w:t>
      </w:r>
      <w:r w:rsidR="009E5561">
        <w:t>R</w:t>
      </w:r>
      <w:r w:rsidRPr="00EC480A">
        <w:t xml:space="preserve">andom </w:t>
      </w:r>
      <w:r w:rsidR="009E5561">
        <w:t>E</w:t>
      </w:r>
      <w:r w:rsidRPr="00EC480A">
        <w:t xml:space="preserve">ffects </w:t>
      </w:r>
      <w:r w:rsidR="009E5561">
        <w:t>D</w:t>
      </w:r>
      <w:r w:rsidRPr="00EC480A">
        <w:t xml:space="preserve">ebate and </w:t>
      </w:r>
      <w:r w:rsidR="009E5561">
        <w:t>H</w:t>
      </w:r>
      <w:r w:rsidRPr="00EC480A">
        <w:t xml:space="preserve">ow </w:t>
      </w:r>
      <w:r w:rsidR="009E5561">
        <w:t>I</w:t>
      </w:r>
      <w:r w:rsidRPr="00EC480A">
        <w:t xml:space="preserve">t </w:t>
      </w:r>
      <w:r w:rsidR="009E5561">
        <w:t>R</w:t>
      </w:r>
      <w:r w:rsidRPr="00EC480A">
        <w:t xml:space="preserve">elates to </w:t>
      </w:r>
      <w:r w:rsidR="009E5561">
        <w:t>C</w:t>
      </w:r>
      <w:r w:rsidRPr="00EC480A">
        <w:t xml:space="preserve">entering in </w:t>
      </w:r>
      <w:r w:rsidR="009E5561">
        <w:t>M</w:t>
      </w:r>
      <w:r w:rsidRPr="00EC480A">
        <w:t xml:space="preserve">ultilevel </w:t>
      </w:r>
      <w:r w:rsidR="009E5561">
        <w:t>M</w:t>
      </w:r>
      <w:r w:rsidRPr="00EC480A">
        <w:t>odeling</w:t>
      </w:r>
      <w:r w:rsidR="009E5561">
        <w:t>,”</w:t>
      </w:r>
      <w:r w:rsidRPr="00EC480A">
        <w:t xml:space="preserve"> </w:t>
      </w:r>
      <w:r w:rsidRPr="009E5561">
        <w:rPr>
          <w:i/>
          <w:iCs/>
        </w:rPr>
        <w:t>Psychological Methods</w:t>
      </w:r>
      <w:r w:rsidRPr="00EC480A">
        <w:t>, 25</w:t>
      </w:r>
      <w:r w:rsidR="009E5561">
        <w:t xml:space="preserve"> </w:t>
      </w:r>
      <w:r w:rsidRPr="00EC480A">
        <w:t>(3), 365</w:t>
      </w:r>
      <w:r w:rsidR="009E5561">
        <w:t>-</w:t>
      </w:r>
      <w:r w:rsidRPr="00EC480A">
        <w:t>379.</w:t>
      </w:r>
    </w:p>
    <w:p w14:paraId="5F0C61E9" w14:textId="77777777" w:rsidR="00EC480A" w:rsidRDefault="00EC480A" w:rsidP="002446FF">
      <w:pPr>
        <w:pStyle w:val="NormalWeb"/>
        <w:spacing w:before="0" w:beforeAutospacing="0" w:after="0" w:afterAutospacing="0"/>
      </w:pPr>
    </w:p>
    <w:p w14:paraId="0682881F" w14:textId="5B9CE6A2" w:rsidR="000E070D" w:rsidRDefault="000E070D" w:rsidP="002446FF">
      <w:pPr>
        <w:pStyle w:val="NormalWeb"/>
        <w:spacing w:before="0" w:beforeAutospacing="0" w:after="0" w:afterAutospacing="0"/>
      </w:pPr>
      <w:r w:rsidRPr="000E070D">
        <w:t xml:space="preserve">James, L. R., </w:t>
      </w:r>
      <w:r w:rsidR="00EC480A">
        <w:t xml:space="preserve">R. G. </w:t>
      </w:r>
      <w:proofErr w:type="spellStart"/>
      <w:r w:rsidRPr="000E070D">
        <w:t>Demaree</w:t>
      </w:r>
      <w:proofErr w:type="spellEnd"/>
      <w:r w:rsidRPr="000E070D">
        <w:t xml:space="preserve">, </w:t>
      </w:r>
      <w:r w:rsidR="00EC480A">
        <w:t>and</w:t>
      </w:r>
      <w:r w:rsidRPr="000E070D">
        <w:t xml:space="preserve"> </w:t>
      </w:r>
      <w:r w:rsidR="00EC480A">
        <w:t xml:space="preserve">G. </w:t>
      </w:r>
      <w:r w:rsidRPr="000E070D">
        <w:t>Wolf (1984)</w:t>
      </w:r>
      <w:r>
        <w:t>,</w:t>
      </w:r>
      <w:r w:rsidRPr="000E070D">
        <w:t xml:space="preserve"> </w:t>
      </w:r>
      <w:r>
        <w:t>“</w:t>
      </w:r>
      <w:r w:rsidRPr="000E070D">
        <w:t xml:space="preserve">Estimating </w:t>
      </w:r>
      <w:r>
        <w:t>W</w:t>
      </w:r>
      <w:r w:rsidRPr="000E070D">
        <w:t>ithin-</w:t>
      </w:r>
      <w:r>
        <w:t>G</w:t>
      </w:r>
      <w:r w:rsidRPr="000E070D">
        <w:t xml:space="preserve">roup </w:t>
      </w:r>
      <w:r>
        <w:t>I</w:t>
      </w:r>
      <w:r w:rsidRPr="000E070D">
        <w:t xml:space="preserve">nterrater </w:t>
      </w:r>
      <w:r>
        <w:t>R</w:t>
      </w:r>
      <w:r w:rsidRPr="000E070D">
        <w:t xml:space="preserve">eliability </w:t>
      </w:r>
      <w:r w:rsidR="00A532F5">
        <w:t>with</w:t>
      </w:r>
      <w:r w:rsidRPr="000E070D">
        <w:t xml:space="preserve"> and </w:t>
      </w:r>
      <w:r w:rsidR="00A532F5">
        <w:t>w</w:t>
      </w:r>
      <w:r w:rsidRPr="000E070D">
        <w:t xml:space="preserve">ithout </w:t>
      </w:r>
      <w:r>
        <w:t>R</w:t>
      </w:r>
      <w:r w:rsidRPr="000E070D">
        <w:t xml:space="preserve">esponse </w:t>
      </w:r>
      <w:r>
        <w:t>B</w:t>
      </w:r>
      <w:r w:rsidRPr="000E070D">
        <w:t>ias</w:t>
      </w:r>
      <w:r>
        <w:t>,”</w:t>
      </w:r>
      <w:r w:rsidRPr="000E070D">
        <w:t xml:space="preserve"> </w:t>
      </w:r>
      <w:r w:rsidRPr="000E070D">
        <w:rPr>
          <w:i/>
          <w:iCs/>
        </w:rPr>
        <w:t>Journal of Applied Psychology</w:t>
      </w:r>
      <w:r w:rsidRPr="000E070D">
        <w:t>, 69</w:t>
      </w:r>
      <w:r>
        <w:t xml:space="preserve"> </w:t>
      </w:r>
      <w:r w:rsidRPr="000E070D">
        <w:t>(1), 85</w:t>
      </w:r>
      <w:r>
        <w:t>-</w:t>
      </w:r>
      <w:r w:rsidRPr="000E070D">
        <w:t>98.</w:t>
      </w:r>
    </w:p>
    <w:p w14:paraId="0D9C1404" w14:textId="77777777" w:rsidR="006030E6" w:rsidRDefault="006030E6" w:rsidP="002446FF">
      <w:pPr>
        <w:pStyle w:val="NormalWeb"/>
        <w:spacing w:before="0" w:beforeAutospacing="0" w:after="0" w:afterAutospacing="0"/>
      </w:pPr>
    </w:p>
    <w:p w14:paraId="3E9FAC01" w14:textId="04C9DA48" w:rsidR="006030E6" w:rsidRDefault="006030E6" w:rsidP="002446FF">
      <w:pPr>
        <w:pStyle w:val="NormalWeb"/>
        <w:spacing w:before="0" w:beforeAutospacing="0" w:after="0" w:afterAutospacing="0"/>
      </w:pPr>
      <w:r w:rsidRPr="006030E6">
        <w:t>Parry, J</w:t>
      </w:r>
      <w:r w:rsidR="002B2AB6">
        <w:t>.</w:t>
      </w:r>
      <w:r w:rsidRPr="006030E6">
        <w:t xml:space="preserve"> (2023)</w:t>
      </w:r>
      <w:r w:rsidR="009110C3">
        <w:t>,</w:t>
      </w:r>
      <w:r w:rsidRPr="006030E6">
        <w:t xml:space="preserve"> </w:t>
      </w:r>
      <w:r w:rsidR="009110C3">
        <w:t>“</w:t>
      </w:r>
      <w:proofErr w:type="spellStart"/>
      <w:r w:rsidR="009110C3">
        <w:t>trendyy</w:t>
      </w:r>
      <w:proofErr w:type="spellEnd"/>
      <w:r w:rsidR="009110C3">
        <w:t>,”</w:t>
      </w:r>
      <w:r w:rsidRPr="006030E6">
        <w:t xml:space="preserve"> </w:t>
      </w:r>
      <w:r w:rsidR="002B2AB6" w:rsidRPr="002B2AB6">
        <w:rPr>
          <w:i/>
          <w:iCs/>
        </w:rPr>
        <w:t>GitHub</w:t>
      </w:r>
      <w:r w:rsidR="002B2AB6">
        <w:t xml:space="preserve">, </w:t>
      </w:r>
      <w:r w:rsidR="009110C3">
        <w:t xml:space="preserve">available at: </w:t>
      </w:r>
      <w:r w:rsidRPr="006030E6">
        <w:t>https://github.com/JosiahParry/trendyy</w:t>
      </w:r>
      <w:r w:rsidR="009110C3">
        <w:t>.</w:t>
      </w:r>
    </w:p>
    <w:p w14:paraId="49469116" w14:textId="77777777" w:rsidR="000A1087" w:rsidRDefault="000A1087" w:rsidP="002446FF">
      <w:pPr>
        <w:pStyle w:val="NormalWeb"/>
        <w:spacing w:before="0" w:beforeAutospacing="0" w:after="0" w:afterAutospacing="0"/>
      </w:pPr>
    </w:p>
    <w:p w14:paraId="279AF46E" w14:textId="3E2D00D8" w:rsidR="000A1087" w:rsidRPr="002B68D4" w:rsidRDefault="00856285" w:rsidP="002446FF">
      <w:pPr>
        <w:pStyle w:val="NormalWeb"/>
        <w:spacing w:before="0" w:beforeAutospacing="0" w:after="0" w:afterAutospacing="0"/>
      </w:pPr>
      <w:r w:rsidRPr="00A43CE1">
        <w:rPr>
          <w:color w:val="000000"/>
        </w:rPr>
        <w:t>Stephens-Davidowitz</w:t>
      </w:r>
      <w:r>
        <w:t>, S</w:t>
      </w:r>
      <w:r w:rsidR="009E5561">
        <w:t>.</w:t>
      </w:r>
      <w:r>
        <w:t xml:space="preserve"> (2020), </w:t>
      </w:r>
      <w:r w:rsidR="00A532F5">
        <w:t>“</w:t>
      </w:r>
      <w:r w:rsidR="000A1087" w:rsidRPr="000A1087">
        <w:t>Google Searches Can Help Us Find Emerging Covid-19</w:t>
      </w:r>
      <w:r w:rsidR="000A1087">
        <w:t xml:space="preserve"> Outbreaks</w:t>
      </w:r>
      <w:r w:rsidR="00A532F5">
        <w:t xml:space="preserve">,” </w:t>
      </w:r>
      <w:r w:rsidR="00A532F5" w:rsidRPr="00FC6581">
        <w:rPr>
          <w:i/>
          <w:iCs/>
        </w:rPr>
        <w:t>NY Times</w:t>
      </w:r>
      <w:r w:rsidR="00A532F5">
        <w:t>,</w:t>
      </w:r>
      <w:r>
        <w:t xml:space="preserve"> available at: </w:t>
      </w:r>
      <w:r w:rsidRPr="00856285">
        <w:t>https://www.nytimes.com/2020/04/05/opinion/coronavirus-google-searches.html</w:t>
      </w:r>
      <w:r>
        <w:t>.</w:t>
      </w:r>
    </w:p>
    <w:sectPr w:rsidR="000A1087" w:rsidRPr="002B68D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AEA52" w14:textId="77777777" w:rsidR="00961B5E" w:rsidRDefault="00961B5E" w:rsidP="002B68D4">
      <w:r>
        <w:separator/>
      </w:r>
    </w:p>
  </w:endnote>
  <w:endnote w:type="continuationSeparator" w:id="0">
    <w:p w14:paraId="00BD9E23" w14:textId="77777777" w:rsidR="00961B5E" w:rsidRDefault="00961B5E" w:rsidP="002B6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9521625"/>
      <w:docPartObj>
        <w:docPartGallery w:val="Page Numbers (Bottom of Page)"/>
        <w:docPartUnique/>
      </w:docPartObj>
    </w:sdtPr>
    <w:sdtContent>
      <w:p w14:paraId="5592DA2F" w14:textId="4ABB2C26" w:rsidR="002B68D4" w:rsidRDefault="002B68D4" w:rsidP="008667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118E74" w14:textId="77777777" w:rsidR="002B68D4" w:rsidRDefault="002B68D4" w:rsidP="002B68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3849164"/>
      <w:docPartObj>
        <w:docPartGallery w:val="Page Numbers (Bottom of Page)"/>
        <w:docPartUnique/>
      </w:docPartObj>
    </w:sdtPr>
    <w:sdtContent>
      <w:p w14:paraId="2EC2A519" w14:textId="6ECDC896" w:rsidR="002B68D4" w:rsidRPr="002B68D4" w:rsidRDefault="002B68D4" w:rsidP="008667BF">
        <w:pPr>
          <w:pStyle w:val="Footer"/>
          <w:framePr w:wrap="none" w:vAnchor="text" w:hAnchor="margin" w:xAlign="right" w:y="1"/>
          <w:rPr>
            <w:rStyle w:val="PageNumber"/>
          </w:rPr>
        </w:pPr>
        <w:r w:rsidRPr="002B68D4">
          <w:rPr>
            <w:rStyle w:val="PageNumber"/>
          </w:rPr>
          <w:fldChar w:fldCharType="begin"/>
        </w:r>
        <w:r w:rsidRPr="002B68D4">
          <w:rPr>
            <w:rStyle w:val="PageNumber"/>
          </w:rPr>
          <w:instrText xml:space="preserve"> PAGE </w:instrText>
        </w:r>
        <w:r w:rsidRPr="002B68D4">
          <w:rPr>
            <w:rStyle w:val="PageNumber"/>
          </w:rPr>
          <w:fldChar w:fldCharType="separate"/>
        </w:r>
        <w:r w:rsidRPr="002B68D4">
          <w:rPr>
            <w:rStyle w:val="PageNumber"/>
            <w:noProof/>
          </w:rPr>
          <w:t>1</w:t>
        </w:r>
        <w:r w:rsidRPr="002B68D4">
          <w:rPr>
            <w:rStyle w:val="PageNumber"/>
          </w:rPr>
          <w:fldChar w:fldCharType="end"/>
        </w:r>
      </w:p>
    </w:sdtContent>
  </w:sdt>
  <w:p w14:paraId="153509B8" w14:textId="77777777" w:rsidR="002B68D4" w:rsidRDefault="002B68D4" w:rsidP="002B68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4D6F6" w14:textId="77777777" w:rsidR="00961B5E" w:rsidRDefault="00961B5E" w:rsidP="002B68D4">
      <w:r>
        <w:separator/>
      </w:r>
    </w:p>
  </w:footnote>
  <w:footnote w:type="continuationSeparator" w:id="0">
    <w:p w14:paraId="1D6DEEDD" w14:textId="77777777" w:rsidR="00961B5E" w:rsidRDefault="00961B5E" w:rsidP="002B6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658D"/>
    <w:multiLevelType w:val="multilevel"/>
    <w:tmpl w:val="5CC0B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663E3"/>
    <w:multiLevelType w:val="hybridMultilevel"/>
    <w:tmpl w:val="B554C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346593">
    <w:abstractNumId w:val="0"/>
  </w:num>
  <w:num w:numId="2" w16cid:durableId="42873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D4"/>
    <w:rsid w:val="000008D2"/>
    <w:rsid w:val="00007311"/>
    <w:rsid w:val="00013E1F"/>
    <w:rsid w:val="00015E17"/>
    <w:rsid w:val="00017C88"/>
    <w:rsid w:val="00026E9A"/>
    <w:rsid w:val="000330A2"/>
    <w:rsid w:val="00037F83"/>
    <w:rsid w:val="00040765"/>
    <w:rsid w:val="000412E9"/>
    <w:rsid w:val="00042189"/>
    <w:rsid w:val="000422D1"/>
    <w:rsid w:val="00061959"/>
    <w:rsid w:val="000701E1"/>
    <w:rsid w:val="00075562"/>
    <w:rsid w:val="000755EC"/>
    <w:rsid w:val="00075625"/>
    <w:rsid w:val="00075A9B"/>
    <w:rsid w:val="000928D1"/>
    <w:rsid w:val="00096440"/>
    <w:rsid w:val="000A06B9"/>
    <w:rsid w:val="000A0E1B"/>
    <w:rsid w:val="000A1087"/>
    <w:rsid w:val="000A360C"/>
    <w:rsid w:val="000B0DB2"/>
    <w:rsid w:val="000D056B"/>
    <w:rsid w:val="000D36FE"/>
    <w:rsid w:val="000D4F40"/>
    <w:rsid w:val="000E070D"/>
    <w:rsid w:val="00102679"/>
    <w:rsid w:val="00103047"/>
    <w:rsid w:val="00104911"/>
    <w:rsid w:val="00104C50"/>
    <w:rsid w:val="00106A9F"/>
    <w:rsid w:val="00106EBF"/>
    <w:rsid w:val="001345F9"/>
    <w:rsid w:val="00150D92"/>
    <w:rsid w:val="001541A6"/>
    <w:rsid w:val="0015749B"/>
    <w:rsid w:val="0016120B"/>
    <w:rsid w:val="001A7A36"/>
    <w:rsid w:val="001B376E"/>
    <w:rsid w:val="001B5404"/>
    <w:rsid w:val="001C0817"/>
    <w:rsid w:val="001C6B68"/>
    <w:rsid w:val="001C75E3"/>
    <w:rsid w:val="001D1AB1"/>
    <w:rsid w:val="001D70CD"/>
    <w:rsid w:val="001E2E62"/>
    <w:rsid w:val="001F6052"/>
    <w:rsid w:val="00213F16"/>
    <w:rsid w:val="0021709A"/>
    <w:rsid w:val="002349DA"/>
    <w:rsid w:val="00235BA3"/>
    <w:rsid w:val="002376D7"/>
    <w:rsid w:val="002446FF"/>
    <w:rsid w:val="00247F67"/>
    <w:rsid w:val="002523C1"/>
    <w:rsid w:val="00253A09"/>
    <w:rsid w:val="0025521A"/>
    <w:rsid w:val="0025624A"/>
    <w:rsid w:val="00274533"/>
    <w:rsid w:val="00286BAC"/>
    <w:rsid w:val="00287FA8"/>
    <w:rsid w:val="0029211E"/>
    <w:rsid w:val="0029285F"/>
    <w:rsid w:val="00292982"/>
    <w:rsid w:val="002937B0"/>
    <w:rsid w:val="002A458C"/>
    <w:rsid w:val="002B0115"/>
    <w:rsid w:val="002B2AB6"/>
    <w:rsid w:val="002B2F82"/>
    <w:rsid w:val="002B68D4"/>
    <w:rsid w:val="002B704A"/>
    <w:rsid w:val="002C3772"/>
    <w:rsid w:val="002C5C69"/>
    <w:rsid w:val="002D212F"/>
    <w:rsid w:val="002E4D17"/>
    <w:rsid w:val="002F4070"/>
    <w:rsid w:val="00302F16"/>
    <w:rsid w:val="00310500"/>
    <w:rsid w:val="00310C7E"/>
    <w:rsid w:val="00315647"/>
    <w:rsid w:val="00322223"/>
    <w:rsid w:val="00327722"/>
    <w:rsid w:val="00330B06"/>
    <w:rsid w:val="0033408C"/>
    <w:rsid w:val="0034359A"/>
    <w:rsid w:val="0034776C"/>
    <w:rsid w:val="00364F90"/>
    <w:rsid w:val="00372D88"/>
    <w:rsid w:val="003732DC"/>
    <w:rsid w:val="00380E3B"/>
    <w:rsid w:val="003821D3"/>
    <w:rsid w:val="00382692"/>
    <w:rsid w:val="003907BA"/>
    <w:rsid w:val="003A36A8"/>
    <w:rsid w:val="003B1FE8"/>
    <w:rsid w:val="003B4AFF"/>
    <w:rsid w:val="003B50D6"/>
    <w:rsid w:val="003B737E"/>
    <w:rsid w:val="003C2478"/>
    <w:rsid w:val="003C5448"/>
    <w:rsid w:val="003C6F2B"/>
    <w:rsid w:val="003D5385"/>
    <w:rsid w:val="003E0362"/>
    <w:rsid w:val="003E21E7"/>
    <w:rsid w:val="003F52EF"/>
    <w:rsid w:val="0041336B"/>
    <w:rsid w:val="00424BC8"/>
    <w:rsid w:val="00430D65"/>
    <w:rsid w:val="0043720B"/>
    <w:rsid w:val="0044130A"/>
    <w:rsid w:val="00441776"/>
    <w:rsid w:val="0044730D"/>
    <w:rsid w:val="00452DF0"/>
    <w:rsid w:val="004623E6"/>
    <w:rsid w:val="00475318"/>
    <w:rsid w:val="00481B82"/>
    <w:rsid w:val="00483752"/>
    <w:rsid w:val="004922FE"/>
    <w:rsid w:val="00494916"/>
    <w:rsid w:val="004A181C"/>
    <w:rsid w:val="004A2634"/>
    <w:rsid w:val="004A34B2"/>
    <w:rsid w:val="004A521A"/>
    <w:rsid w:val="004D0FAF"/>
    <w:rsid w:val="004D2F9C"/>
    <w:rsid w:val="004D6F78"/>
    <w:rsid w:val="004E22B8"/>
    <w:rsid w:val="004E4C9E"/>
    <w:rsid w:val="00500D1C"/>
    <w:rsid w:val="00505249"/>
    <w:rsid w:val="00507BDD"/>
    <w:rsid w:val="00511FC7"/>
    <w:rsid w:val="005218A6"/>
    <w:rsid w:val="005315F7"/>
    <w:rsid w:val="00536C78"/>
    <w:rsid w:val="00537341"/>
    <w:rsid w:val="0054085F"/>
    <w:rsid w:val="005444D0"/>
    <w:rsid w:val="00553E37"/>
    <w:rsid w:val="00554D17"/>
    <w:rsid w:val="005558D6"/>
    <w:rsid w:val="00557239"/>
    <w:rsid w:val="00577E9C"/>
    <w:rsid w:val="005860D6"/>
    <w:rsid w:val="00586E8E"/>
    <w:rsid w:val="005A4A6D"/>
    <w:rsid w:val="005A7CC7"/>
    <w:rsid w:val="005B7366"/>
    <w:rsid w:val="005C657C"/>
    <w:rsid w:val="005C66AA"/>
    <w:rsid w:val="005D1FE8"/>
    <w:rsid w:val="005D531D"/>
    <w:rsid w:val="006030E6"/>
    <w:rsid w:val="006065BC"/>
    <w:rsid w:val="00607A4E"/>
    <w:rsid w:val="00612D0B"/>
    <w:rsid w:val="0061547A"/>
    <w:rsid w:val="0061620E"/>
    <w:rsid w:val="0062747B"/>
    <w:rsid w:val="00642E26"/>
    <w:rsid w:val="006469BD"/>
    <w:rsid w:val="006515B3"/>
    <w:rsid w:val="0067076E"/>
    <w:rsid w:val="00670F66"/>
    <w:rsid w:val="006738BF"/>
    <w:rsid w:val="00673F57"/>
    <w:rsid w:val="0067448D"/>
    <w:rsid w:val="00682219"/>
    <w:rsid w:val="006847D2"/>
    <w:rsid w:val="006863DD"/>
    <w:rsid w:val="006874F4"/>
    <w:rsid w:val="00692B96"/>
    <w:rsid w:val="006A6BEB"/>
    <w:rsid w:val="006A7561"/>
    <w:rsid w:val="006B0001"/>
    <w:rsid w:val="006C6BD0"/>
    <w:rsid w:val="006E7116"/>
    <w:rsid w:val="006F7AAF"/>
    <w:rsid w:val="00724101"/>
    <w:rsid w:val="00736514"/>
    <w:rsid w:val="00741E1B"/>
    <w:rsid w:val="00744C11"/>
    <w:rsid w:val="00751408"/>
    <w:rsid w:val="0075621A"/>
    <w:rsid w:val="00761CC7"/>
    <w:rsid w:val="00762281"/>
    <w:rsid w:val="00763B99"/>
    <w:rsid w:val="007708C6"/>
    <w:rsid w:val="00785958"/>
    <w:rsid w:val="00791EF9"/>
    <w:rsid w:val="007A42F7"/>
    <w:rsid w:val="007A46FE"/>
    <w:rsid w:val="007A78AC"/>
    <w:rsid w:val="007B10E0"/>
    <w:rsid w:val="007C0D87"/>
    <w:rsid w:val="007C37FB"/>
    <w:rsid w:val="007C518F"/>
    <w:rsid w:val="007D2607"/>
    <w:rsid w:val="007D2750"/>
    <w:rsid w:val="007D693B"/>
    <w:rsid w:val="007E0874"/>
    <w:rsid w:val="007E1562"/>
    <w:rsid w:val="007E4DE1"/>
    <w:rsid w:val="007F7892"/>
    <w:rsid w:val="00801DB6"/>
    <w:rsid w:val="008059B1"/>
    <w:rsid w:val="00807CB3"/>
    <w:rsid w:val="00812CD0"/>
    <w:rsid w:val="00815BCC"/>
    <w:rsid w:val="00820A4A"/>
    <w:rsid w:val="008218DC"/>
    <w:rsid w:val="00834915"/>
    <w:rsid w:val="008365C0"/>
    <w:rsid w:val="0083754D"/>
    <w:rsid w:val="00850CC3"/>
    <w:rsid w:val="00856285"/>
    <w:rsid w:val="008569CA"/>
    <w:rsid w:val="00864760"/>
    <w:rsid w:val="008843A4"/>
    <w:rsid w:val="00884C22"/>
    <w:rsid w:val="00887581"/>
    <w:rsid w:val="00891204"/>
    <w:rsid w:val="008950CC"/>
    <w:rsid w:val="008B361C"/>
    <w:rsid w:val="008B5755"/>
    <w:rsid w:val="008C2707"/>
    <w:rsid w:val="008C62D0"/>
    <w:rsid w:val="008D5174"/>
    <w:rsid w:val="008E0709"/>
    <w:rsid w:val="008E3939"/>
    <w:rsid w:val="00902686"/>
    <w:rsid w:val="00904CAA"/>
    <w:rsid w:val="009110C3"/>
    <w:rsid w:val="009174B6"/>
    <w:rsid w:val="00925AB1"/>
    <w:rsid w:val="00930390"/>
    <w:rsid w:val="00947CFA"/>
    <w:rsid w:val="0095419A"/>
    <w:rsid w:val="00961B5E"/>
    <w:rsid w:val="00964394"/>
    <w:rsid w:val="009650D0"/>
    <w:rsid w:val="00975CE1"/>
    <w:rsid w:val="00980615"/>
    <w:rsid w:val="00996D80"/>
    <w:rsid w:val="00997C6D"/>
    <w:rsid w:val="009A1881"/>
    <w:rsid w:val="009A2A6B"/>
    <w:rsid w:val="009A45B7"/>
    <w:rsid w:val="009B5C35"/>
    <w:rsid w:val="009C0AAD"/>
    <w:rsid w:val="009C2920"/>
    <w:rsid w:val="009C3E14"/>
    <w:rsid w:val="009C4380"/>
    <w:rsid w:val="009D1982"/>
    <w:rsid w:val="009E0D61"/>
    <w:rsid w:val="009E4586"/>
    <w:rsid w:val="009E5561"/>
    <w:rsid w:val="009E6C82"/>
    <w:rsid w:val="009E7EC5"/>
    <w:rsid w:val="009F1C10"/>
    <w:rsid w:val="00A04C46"/>
    <w:rsid w:val="00A06D96"/>
    <w:rsid w:val="00A13681"/>
    <w:rsid w:val="00A22368"/>
    <w:rsid w:val="00A23764"/>
    <w:rsid w:val="00A43CE1"/>
    <w:rsid w:val="00A4658F"/>
    <w:rsid w:val="00A532F5"/>
    <w:rsid w:val="00A550E1"/>
    <w:rsid w:val="00A55C9B"/>
    <w:rsid w:val="00A56B09"/>
    <w:rsid w:val="00A65A68"/>
    <w:rsid w:val="00A65A75"/>
    <w:rsid w:val="00A81587"/>
    <w:rsid w:val="00A83F8D"/>
    <w:rsid w:val="00A844A9"/>
    <w:rsid w:val="00AA3B33"/>
    <w:rsid w:val="00AB1600"/>
    <w:rsid w:val="00AB3F12"/>
    <w:rsid w:val="00AD7279"/>
    <w:rsid w:val="00AE1278"/>
    <w:rsid w:val="00AE1810"/>
    <w:rsid w:val="00AE2752"/>
    <w:rsid w:val="00AE2A8B"/>
    <w:rsid w:val="00AE55DB"/>
    <w:rsid w:val="00AF119A"/>
    <w:rsid w:val="00AF4BE5"/>
    <w:rsid w:val="00AF6581"/>
    <w:rsid w:val="00B071E0"/>
    <w:rsid w:val="00B31AF2"/>
    <w:rsid w:val="00B42072"/>
    <w:rsid w:val="00B44463"/>
    <w:rsid w:val="00B519EC"/>
    <w:rsid w:val="00B57237"/>
    <w:rsid w:val="00B607FD"/>
    <w:rsid w:val="00B7374D"/>
    <w:rsid w:val="00B83866"/>
    <w:rsid w:val="00B86E0A"/>
    <w:rsid w:val="00B90F3D"/>
    <w:rsid w:val="00B920E7"/>
    <w:rsid w:val="00BB0AEF"/>
    <w:rsid w:val="00BB217D"/>
    <w:rsid w:val="00BB4572"/>
    <w:rsid w:val="00BC0BB6"/>
    <w:rsid w:val="00BE1711"/>
    <w:rsid w:val="00BE4089"/>
    <w:rsid w:val="00BE694D"/>
    <w:rsid w:val="00C005AE"/>
    <w:rsid w:val="00C135D8"/>
    <w:rsid w:val="00C37320"/>
    <w:rsid w:val="00C42001"/>
    <w:rsid w:val="00C55BFE"/>
    <w:rsid w:val="00C57156"/>
    <w:rsid w:val="00C57E05"/>
    <w:rsid w:val="00C648F6"/>
    <w:rsid w:val="00C6598F"/>
    <w:rsid w:val="00C66740"/>
    <w:rsid w:val="00C72F73"/>
    <w:rsid w:val="00C7602D"/>
    <w:rsid w:val="00CA16A8"/>
    <w:rsid w:val="00CA51CB"/>
    <w:rsid w:val="00CB7EE1"/>
    <w:rsid w:val="00CC7CA8"/>
    <w:rsid w:val="00CD3C8D"/>
    <w:rsid w:val="00CE248C"/>
    <w:rsid w:val="00CE59FA"/>
    <w:rsid w:val="00CF0FA4"/>
    <w:rsid w:val="00D32D20"/>
    <w:rsid w:val="00D37054"/>
    <w:rsid w:val="00D43D75"/>
    <w:rsid w:val="00D46B2F"/>
    <w:rsid w:val="00D515D4"/>
    <w:rsid w:val="00D553B3"/>
    <w:rsid w:val="00D56232"/>
    <w:rsid w:val="00D61DF3"/>
    <w:rsid w:val="00D7347E"/>
    <w:rsid w:val="00D80E57"/>
    <w:rsid w:val="00D9063A"/>
    <w:rsid w:val="00D91ED1"/>
    <w:rsid w:val="00D91ED4"/>
    <w:rsid w:val="00DA72E0"/>
    <w:rsid w:val="00DC3C90"/>
    <w:rsid w:val="00DC3E39"/>
    <w:rsid w:val="00DC50DC"/>
    <w:rsid w:val="00DD42EB"/>
    <w:rsid w:val="00DE4D31"/>
    <w:rsid w:val="00DE5C3E"/>
    <w:rsid w:val="00DF297E"/>
    <w:rsid w:val="00DF628D"/>
    <w:rsid w:val="00DF73B4"/>
    <w:rsid w:val="00E06258"/>
    <w:rsid w:val="00E302A4"/>
    <w:rsid w:val="00E34B04"/>
    <w:rsid w:val="00E35162"/>
    <w:rsid w:val="00E43671"/>
    <w:rsid w:val="00E43DE9"/>
    <w:rsid w:val="00E45701"/>
    <w:rsid w:val="00E476CF"/>
    <w:rsid w:val="00E508A1"/>
    <w:rsid w:val="00E55F93"/>
    <w:rsid w:val="00E63614"/>
    <w:rsid w:val="00E63FF2"/>
    <w:rsid w:val="00E65E87"/>
    <w:rsid w:val="00E7518E"/>
    <w:rsid w:val="00E75905"/>
    <w:rsid w:val="00E779BA"/>
    <w:rsid w:val="00E80183"/>
    <w:rsid w:val="00E84FCC"/>
    <w:rsid w:val="00EA3926"/>
    <w:rsid w:val="00EA57BA"/>
    <w:rsid w:val="00EB1236"/>
    <w:rsid w:val="00EC480A"/>
    <w:rsid w:val="00ED61EB"/>
    <w:rsid w:val="00EE37A6"/>
    <w:rsid w:val="00EE41D7"/>
    <w:rsid w:val="00EE47BD"/>
    <w:rsid w:val="00EE5E68"/>
    <w:rsid w:val="00F0483D"/>
    <w:rsid w:val="00F04C5C"/>
    <w:rsid w:val="00F2059F"/>
    <w:rsid w:val="00F2621D"/>
    <w:rsid w:val="00F36A03"/>
    <w:rsid w:val="00F61F34"/>
    <w:rsid w:val="00F71285"/>
    <w:rsid w:val="00F80975"/>
    <w:rsid w:val="00F91AE0"/>
    <w:rsid w:val="00FA5D2C"/>
    <w:rsid w:val="00FB0EAE"/>
    <w:rsid w:val="00FB1A45"/>
    <w:rsid w:val="00FB2671"/>
    <w:rsid w:val="00FC6581"/>
    <w:rsid w:val="00FD479A"/>
    <w:rsid w:val="00FE2F3D"/>
    <w:rsid w:val="00FF09D4"/>
    <w:rsid w:val="00FF1761"/>
    <w:rsid w:val="00FF7A2D"/>
    <w:rsid w:val="67B4B93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8004310"/>
  <w15:chartTrackingRefBased/>
  <w15:docId w15:val="{4E290F7D-A7D2-3D46-B067-E1692E03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FF"/>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68D4"/>
    <w:pPr>
      <w:tabs>
        <w:tab w:val="center" w:pos="4680"/>
        <w:tab w:val="right" w:pos="9360"/>
      </w:tabs>
    </w:pPr>
  </w:style>
  <w:style w:type="character" w:customStyle="1" w:styleId="FooterChar">
    <w:name w:val="Footer Char"/>
    <w:basedOn w:val="DefaultParagraphFont"/>
    <w:link w:val="Footer"/>
    <w:uiPriority w:val="99"/>
    <w:rsid w:val="002B68D4"/>
  </w:style>
  <w:style w:type="character" w:styleId="PageNumber">
    <w:name w:val="page number"/>
    <w:basedOn w:val="DefaultParagraphFont"/>
    <w:uiPriority w:val="99"/>
    <w:semiHidden/>
    <w:unhideWhenUsed/>
    <w:rsid w:val="002B68D4"/>
  </w:style>
  <w:style w:type="paragraph" w:styleId="Header">
    <w:name w:val="header"/>
    <w:basedOn w:val="Normal"/>
    <w:link w:val="HeaderChar"/>
    <w:uiPriority w:val="99"/>
    <w:unhideWhenUsed/>
    <w:rsid w:val="002B68D4"/>
    <w:pPr>
      <w:tabs>
        <w:tab w:val="center" w:pos="4680"/>
        <w:tab w:val="right" w:pos="9360"/>
      </w:tabs>
    </w:pPr>
  </w:style>
  <w:style w:type="character" w:customStyle="1" w:styleId="HeaderChar">
    <w:name w:val="Header Char"/>
    <w:basedOn w:val="DefaultParagraphFont"/>
    <w:link w:val="Header"/>
    <w:uiPriority w:val="99"/>
    <w:rsid w:val="002B68D4"/>
  </w:style>
  <w:style w:type="paragraph" w:styleId="NormalWeb">
    <w:name w:val="Normal (Web)"/>
    <w:basedOn w:val="Normal"/>
    <w:uiPriority w:val="99"/>
    <w:unhideWhenUsed/>
    <w:rsid w:val="002B68D4"/>
    <w:pPr>
      <w:spacing w:before="100" w:beforeAutospacing="1" w:after="100" w:afterAutospacing="1"/>
    </w:pPr>
  </w:style>
  <w:style w:type="table" w:styleId="TableGrid">
    <w:name w:val="Table Grid"/>
    <w:basedOn w:val="TableNormal"/>
    <w:uiPriority w:val="39"/>
    <w:rsid w:val="00A550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50E1"/>
    <w:rPr>
      <w:color w:val="808080"/>
    </w:rPr>
  </w:style>
  <w:style w:type="paragraph" w:styleId="FootnoteText">
    <w:name w:val="footnote text"/>
    <w:basedOn w:val="Normal"/>
    <w:link w:val="FootnoteTextChar"/>
    <w:uiPriority w:val="99"/>
    <w:semiHidden/>
    <w:unhideWhenUsed/>
    <w:rsid w:val="009D1982"/>
    <w:rPr>
      <w:sz w:val="20"/>
      <w:szCs w:val="20"/>
    </w:rPr>
  </w:style>
  <w:style w:type="character" w:customStyle="1" w:styleId="FootnoteTextChar">
    <w:name w:val="Footnote Text Char"/>
    <w:basedOn w:val="DefaultParagraphFont"/>
    <w:link w:val="FootnoteText"/>
    <w:uiPriority w:val="99"/>
    <w:semiHidden/>
    <w:rsid w:val="009D1982"/>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9D1982"/>
    <w:rPr>
      <w:vertAlign w:val="superscript"/>
    </w:rPr>
  </w:style>
  <w:style w:type="paragraph" w:styleId="ListParagraph">
    <w:name w:val="List Paragraph"/>
    <w:basedOn w:val="Normal"/>
    <w:uiPriority w:val="34"/>
    <w:qFormat/>
    <w:rsid w:val="008B5755"/>
    <w:pPr>
      <w:ind w:left="720"/>
      <w:contextualSpacing/>
    </w:pPr>
  </w:style>
  <w:style w:type="paragraph" w:styleId="Revision">
    <w:name w:val="Revision"/>
    <w:hidden/>
    <w:uiPriority w:val="99"/>
    <w:semiHidden/>
    <w:rsid w:val="00B7374D"/>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1C0817"/>
    <w:rPr>
      <w:sz w:val="16"/>
      <w:szCs w:val="16"/>
    </w:rPr>
  </w:style>
  <w:style w:type="paragraph" w:styleId="CommentText">
    <w:name w:val="annotation text"/>
    <w:basedOn w:val="Normal"/>
    <w:link w:val="CommentTextChar"/>
    <w:uiPriority w:val="99"/>
    <w:semiHidden/>
    <w:unhideWhenUsed/>
    <w:rsid w:val="001C0817"/>
    <w:rPr>
      <w:sz w:val="20"/>
      <w:szCs w:val="20"/>
    </w:rPr>
  </w:style>
  <w:style w:type="character" w:customStyle="1" w:styleId="CommentTextChar">
    <w:name w:val="Comment Text Char"/>
    <w:basedOn w:val="DefaultParagraphFont"/>
    <w:link w:val="CommentText"/>
    <w:uiPriority w:val="99"/>
    <w:semiHidden/>
    <w:rsid w:val="001C0817"/>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C0817"/>
    <w:rPr>
      <w:b/>
      <w:bCs/>
    </w:rPr>
  </w:style>
  <w:style w:type="character" w:customStyle="1" w:styleId="CommentSubjectChar">
    <w:name w:val="Comment Subject Char"/>
    <w:basedOn w:val="CommentTextChar"/>
    <w:link w:val="CommentSubject"/>
    <w:uiPriority w:val="99"/>
    <w:semiHidden/>
    <w:rsid w:val="001C0817"/>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1888">
      <w:bodyDiv w:val="1"/>
      <w:marLeft w:val="0"/>
      <w:marRight w:val="0"/>
      <w:marTop w:val="0"/>
      <w:marBottom w:val="0"/>
      <w:divBdr>
        <w:top w:val="none" w:sz="0" w:space="0" w:color="auto"/>
        <w:left w:val="none" w:sz="0" w:space="0" w:color="auto"/>
        <w:bottom w:val="none" w:sz="0" w:space="0" w:color="auto"/>
        <w:right w:val="none" w:sz="0" w:space="0" w:color="auto"/>
      </w:divBdr>
    </w:div>
    <w:div w:id="309137997">
      <w:bodyDiv w:val="1"/>
      <w:marLeft w:val="0"/>
      <w:marRight w:val="0"/>
      <w:marTop w:val="0"/>
      <w:marBottom w:val="0"/>
      <w:divBdr>
        <w:top w:val="none" w:sz="0" w:space="0" w:color="auto"/>
        <w:left w:val="none" w:sz="0" w:space="0" w:color="auto"/>
        <w:bottom w:val="none" w:sz="0" w:space="0" w:color="auto"/>
        <w:right w:val="none" w:sz="0" w:space="0" w:color="auto"/>
      </w:divBdr>
    </w:div>
    <w:div w:id="460348074">
      <w:bodyDiv w:val="1"/>
      <w:marLeft w:val="0"/>
      <w:marRight w:val="0"/>
      <w:marTop w:val="0"/>
      <w:marBottom w:val="0"/>
      <w:divBdr>
        <w:top w:val="none" w:sz="0" w:space="0" w:color="auto"/>
        <w:left w:val="none" w:sz="0" w:space="0" w:color="auto"/>
        <w:bottom w:val="none" w:sz="0" w:space="0" w:color="auto"/>
        <w:right w:val="none" w:sz="0" w:space="0" w:color="auto"/>
      </w:divBdr>
    </w:div>
    <w:div w:id="720860117">
      <w:bodyDiv w:val="1"/>
      <w:marLeft w:val="0"/>
      <w:marRight w:val="0"/>
      <w:marTop w:val="0"/>
      <w:marBottom w:val="0"/>
      <w:divBdr>
        <w:top w:val="none" w:sz="0" w:space="0" w:color="auto"/>
        <w:left w:val="none" w:sz="0" w:space="0" w:color="auto"/>
        <w:bottom w:val="none" w:sz="0" w:space="0" w:color="auto"/>
        <w:right w:val="none" w:sz="0" w:space="0" w:color="auto"/>
      </w:divBdr>
    </w:div>
    <w:div w:id="1031304297">
      <w:bodyDiv w:val="1"/>
      <w:marLeft w:val="0"/>
      <w:marRight w:val="0"/>
      <w:marTop w:val="0"/>
      <w:marBottom w:val="0"/>
      <w:divBdr>
        <w:top w:val="none" w:sz="0" w:space="0" w:color="auto"/>
        <w:left w:val="none" w:sz="0" w:space="0" w:color="auto"/>
        <w:bottom w:val="none" w:sz="0" w:space="0" w:color="auto"/>
        <w:right w:val="none" w:sz="0" w:space="0" w:color="auto"/>
      </w:divBdr>
    </w:div>
    <w:div w:id="1136414572">
      <w:bodyDiv w:val="1"/>
      <w:marLeft w:val="0"/>
      <w:marRight w:val="0"/>
      <w:marTop w:val="0"/>
      <w:marBottom w:val="0"/>
      <w:divBdr>
        <w:top w:val="none" w:sz="0" w:space="0" w:color="auto"/>
        <w:left w:val="none" w:sz="0" w:space="0" w:color="auto"/>
        <w:bottom w:val="none" w:sz="0" w:space="0" w:color="auto"/>
        <w:right w:val="none" w:sz="0" w:space="0" w:color="auto"/>
      </w:divBdr>
    </w:div>
    <w:div w:id="1202474445">
      <w:bodyDiv w:val="1"/>
      <w:marLeft w:val="0"/>
      <w:marRight w:val="0"/>
      <w:marTop w:val="0"/>
      <w:marBottom w:val="0"/>
      <w:divBdr>
        <w:top w:val="none" w:sz="0" w:space="0" w:color="auto"/>
        <w:left w:val="none" w:sz="0" w:space="0" w:color="auto"/>
        <w:bottom w:val="none" w:sz="0" w:space="0" w:color="auto"/>
        <w:right w:val="none" w:sz="0" w:space="0" w:color="auto"/>
      </w:divBdr>
    </w:div>
    <w:div w:id="1350453967">
      <w:bodyDiv w:val="1"/>
      <w:marLeft w:val="0"/>
      <w:marRight w:val="0"/>
      <w:marTop w:val="0"/>
      <w:marBottom w:val="0"/>
      <w:divBdr>
        <w:top w:val="none" w:sz="0" w:space="0" w:color="auto"/>
        <w:left w:val="none" w:sz="0" w:space="0" w:color="auto"/>
        <w:bottom w:val="none" w:sz="0" w:space="0" w:color="auto"/>
        <w:right w:val="none" w:sz="0" w:space="0" w:color="auto"/>
      </w:divBdr>
    </w:div>
    <w:div w:id="1476482810">
      <w:bodyDiv w:val="1"/>
      <w:marLeft w:val="0"/>
      <w:marRight w:val="0"/>
      <w:marTop w:val="0"/>
      <w:marBottom w:val="0"/>
      <w:divBdr>
        <w:top w:val="none" w:sz="0" w:space="0" w:color="auto"/>
        <w:left w:val="none" w:sz="0" w:space="0" w:color="auto"/>
        <w:bottom w:val="none" w:sz="0" w:space="0" w:color="auto"/>
        <w:right w:val="none" w:sz="0" w:space="0" w:color="auto"/>
      </w:divBdr>
    </w:div>
    <w:div w:id="1482575126">
      <w:bodyDiv w:val="1"/>
      <w:marLeft w:val="0"/>
      <w:marRight w:val="0"/>
      <w:marTop w:val="0"/>
      <w:marBottom w:val="0"/>
      <w:divBdr>
        <w:top w:val="none" w:sz="0" w:space="0" w:color="auto"/>
        <w:left w:val="none" w:sz="0" w:space="0" w:color="auto"/>
        <w:bottom w:val="none" w:sz="0" w:space="0" w:color="auto"/>
        <w:right w:val="none" w:sz="0" w:space="0" w:color="auto"/>
      </w:divBdr>
    </w:div>
    <w:div w:id="1518078512">
      <w:bodyDiv w:val="1"/>
      <w:marLeft w:val="0"/>
      <w:marRight w:val="0"/>
      <w:marTop w:val="0"/>
      <w:marBottom w:val="0"/>
      <w:divBdr>
        <w:top w:val="none" w:sz="0" w:space="0" w:color="auto"/>
        <w:left w:val="none" w:sz="0" w:space="0" w:color="auto"/>
        <w:bottom w:val="none" w:sz="0" w:space="0" w:color="auto"/>
        <w:right w:val="none" w:sz="0" w:space="0" w:color="auto"/>
      </w:divBdr>
    </w:div>
    <w:div w:id="1607153334">
      <w:bodyDiv w:val="1"/>
      <w:marLeft w:val="0"/>
      <w:marRight w:val="0"/>
      <w:marTop w:val="0"/>
      <w:marBottom w:val="0"/>
      <w:divBdr>
        <w:top w:val="none" w:sz="0" w:space="0" w:color="auto"/>
        <w:left w:val="none" w:sz="0" w:space="0" w:color="auto"/>
        <w:bottom w:val="none" w:sz="0" w:space="0" w:color="auto"/>
        <w:right w:val="none" w:sz="0" w:space="0" w:color="auto"/>
      </w:divBdr>
    </w:div>
    <w:div w:id="1639259970">
      <w:bodyDiv w:val="1"/>
      <w:marLeft w:val="0"/>
      <w:marRight w:val="0"/>
      <w:marTop w:val="0"/>
      <w:marBottom w:val="0"/>
      <w:divBdr>
        <w:top w:val="none" w:sz="0" w:space="0" w:color="auto"/>
        <w:left w:val="none" w:sz="0" w:space="0" w:color="auto"/>
        <w:bottom w:val="none" w:sz="0" w:space="0" w:color="auto"/>
        <w:right w:val="none" w:sz="0" w:space="0" w:color="auto"/>
      </w:divBdr>
    </w:div>
    <w:div w:id="1884058802">
      <w:bodyDiv w:val="1"/>
      <w:marLeft w:val="0"/>
      <w:marRight w:val="0"/>
      <w:marTop w:val="0"/>
      <w:marBottom w:val="0"/>
      <w:divBdr>
        <w:top w:val="none" w:sz="0" w:space="0" w:color="auto"/>
        <w:left w:val="none" w:sz="0" w:space="0" w:color="auto"/>
        <w:bottom w:val="none" w:sz="0" w:space="0" w:color="auto"/>
        <w:right w:val="none" w:sz="0" w:space="0" w:color="auto"/>
      </w:divBdr>
    </w:div>
    <w:div w:id="19495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56CE5-C05B-A14F-9496-DE471F72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2352</Words>
  <Characters>13407</Characters>
  <Application>Microsoft Office Word</Application>
  <DocSecurity>0</DocSecurity>
  <Lines>111</Lines>
  <Paragraphs>31</Paragraphs>
  <ScaleCrop>false</ScaleCrop>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Boichuk, Jeffrey</dc:creator>
  <cp:keywords/>
  <dc:description/>
  <cp:lastModifiedBy>Huang, Adil</cp:lastModifiedBy>
  <cp:revision>48</cp:revision>
  <dcterms:created xsi:type="dcterms:W3CDTF">2024-05-28T12:54:00Z</dcterms:created>
  <dcterms:modified xsi:type="dcterms:W3CDTF">2024-06-04T18:46:00Z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804de9-5306-4a8f-920e-16c68d5498ba_Enabled">
    <vt:lpwstr>true</vt:lpwstr>
  </property>
  <property fmtid="{D5CDD505-2E9C-101B-9397-08002B2CF9AE}" pid="3" name="MSIP_Label_9e804de9-5306-4a8f-920e-16c68d5498ba_SetDate">
    <vt:lpwstr>2024-05-01T11:02:13Z</vt:lpwstr>
  </property>
  <property fmtid="{D5CDD505-2E9C-101B-9397-08002B2CF9AE}" pid="4" name="MSIP_Label_9e804de9-5306-4a8f-920e-16c68d5498ba_Method">
    <vt:lpwstr>Standard</vt:lpwstr>
  </property>
  <property fmtid="{D5CDD505-2E9C-101B-9397-08002B2CF9AE}" pid="5" name="MSIP_Label_9e804de9-5306-4a8f-920e-16c68d5498ba_Name">
    <vt:lpwstr>Public</vt:lpwstr>
  </property>
  <property fmtid="{D5CDD505-2E9C-101B-9397-08002B2CF9AE}" pid="6" name="MSIP_Label_9e804de9-5306-4a8f-920e-16c68d5498ba_SiteId">
    <vt:lpwstr>547040db-1855-4320-9738-e6878f6271fc</vt:lpwstr>
  </property>
  <property fmtid="{D5CDD505-2E9C-101B-9397-08002B2CF9AE}" pid="7" name="MSIP_Label_9e804de9-5306-4a8f-920e-16c68d5498ba_ActionId">
    <vt:lpwstr>d34c100a-7a95-4bad-a974-e37db43fcef2</vt:lpwstr>
  </property>
  <property fmtid="{D5CDD505-2E9C-101B-9397-08002B2CF9AE}" pid="8" name="MSIP_Label_9e804de9-5306-4a8f-920e-16c68d5498ba_ContentBits">
    <vt:lpwstr>0</vt:lpwstr>
  </property>
</Properties>
</file>