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B2B2B"/>
          <w:sz w:val="30"/>
          <w:szCs w:val="30"/>
        </w:rPr>
        <w:t xml:space="preserve">КОММЕРЧЕСКОЕ ПРЕДЛОЖЕНИЕ</w:t>
      </w:r>
    </w:p>
    <w:p>
      <w:pPr>
        <w:spacing w:after="200"/>
        <w:jc w:val="center"/>
      </w:pPr>
      <w:r>
        <w:rPr>
          <w:color w:val="555555"/>
          <w:sz w:val="20"/>
          <w:szCs w:val="20"/>
        </w:rPr>
        <w:t xml:space="preserve">Разработка и запуск сайта hookahmarket.ps.me на домене заказчика — 3 этапа оплаты</w:t>
      </w:r>
    </w:p>
    <w:tbl>
      <w:tblPr>
        <w:tblW w:type="dxa" w:w="967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5"/>
        <w:gridCol w:w="3225"/>
        <w:gridCol w:w="3224"/>
      </w:tblGrid>
      <w:tr>
        <w:tc>
          <w:tcPr>
            <w:tcW w:type="dxa" w:w="32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Дата: 12.08.2026</w:t>
            </w:r>
          </w:p>
        </w:tc>
        <w:tc>
          <w:tcPr>
            <w:tcW w:type="dxa" w:w="32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Исполнитель: Адилхан М.</w:t>
            </w:r>
          </w:p>
        </w:tc>
        <w:tc>
          <w:tcPr>
            <w:tcW w:type="dxa" w:w="322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Для: Алуа, Hookah Market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8A6D3B"/>
          <w:sz w:val="26"/>
          <w:szCs w:val="26"/>
        </w:rPr>
        <w:t xml:space="preserve">Как договорились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Работаем по 3 этапам оплаты — так удобнее по бюджету и не нужно ждать готовности всего сайта разом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Доступ к CRM для технического аудита предоставляете вы — по нему зафиксируем точную стоимость остатков, кэшбэка в личном кабинете и способа приёма заказов</w:t>
      </w:r>
    </w:p>
    <w:p>
      <w:pPr>
        <w:pStyle w:val="Heading1"/>
        <w:spacing w:after="150" w:before="300"/>
      </w:pPr>
      <w:r>
        <w:rPr>
          <w:b/>
          <w:bCs/>
          <w:color w:val="8A6D3B"/>
          <w:sz w:val="26"/>
          <w:szCs w:val="26"/>
        </w:rPr>
        <w:t xml:space="preserve">Этап 1 — Дизайн и базовый сайт</w:t>
      </w:r>
    </w:p>
    <w:tbl>
      <w:tblPr>
        <w:tblW w:type="dxa" w:w="967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600"/>
        <w:gridCol w:w="1874"/>
      </w:tblGrid>
      <w:tr>
        <w:tc>
          <w:tcPr>
            <w:tcW w:type="dxa" w:w="3200"/>
            <w:shd w:fill="8A6D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делаем</w:t>
            </w:r>
          </w:p>
        </w:tc>
        <w:tc>
          <w:tcPr>
            <w:tcW w:type="dxa" w:w="4600"/>
            <w:shd w:fill="8A6D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Зачем это бизнесу</w:t>
            </w:r>
          </w:p>
        </w:tc>
        <w:tc>
          <w:tcPr>
            <w:tcW w:type="dxa" w:w="1874"/>
            <w:shd w:fill="8A6D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Стоимость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Визуальный макет 3 ключевых экранов в новом дизайне (главная, каталог, карточка товара) — первый результат, который вы увидите в течение 3-5 дней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 видите, как будет выглядеть сайт, до того как пойдёт основная разработка — это не тот же дизайн, что сейчас</w:t>
            </w:r>
          </w:p>
        </w:tc>
        <w:tc>
          <w:tcPr>
            <w:tcW w:type="dxa" w:w="187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включено в этап</w:t>
            </w:r>
          </w:p>
        </w:tc>
      </w:tr>
      <w:tr>
        <w:tc>
          <w:tcPr>
            <w:tcW w:type="dxa" w:w="3200"/>
            <w:shd w:fill="F2EE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Сайт с нуля на новом дизайне; интеграция с CRM: каталог, карточки товаров, складские остатки по филиалам с автоматическим скрытием товаров не в наличии</w:t>
            </w:r>
          </w:p>
        </w:tc>
        <w:tc>
          <w:tcPr>
            <w:tcW w:type="dxa" w:w="4600"/>
            <w:shd w:fill="F2EE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Клиент видит только то, что реально можно купить — меньше отказов и звонков «а это есть?»</w:t>
            </w:r>
          </w:p>
        </w:tc>
        <w:tc>
          <w:tcPr>
            <w:tcW w:type="dxa" w:w="1874"/>
            <w:shd w:fill="F2EE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включено в этап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Интеграция с Яндекс Доставкой; SEO-подготовка (адреса страниц, мета-теги, скорость загрузки, карта сайта); перенос сайта на ваш домен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Основа для выхода на 1 страницу поиска — ваш главный приоритет — плюс готовая доставка без ручной обработки</w:t>
            </w:r>
          </w:p>
        </w:tc>
        <w:tc>
          <w:tcPr>
            <w:tcW w:type="dxa" w:w="187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включено в этап</w:t>
            </w:r>
          </w:p>
        </w:tc>
      </w:tr>
    </w:tbl>
    <w:tbl>
      <w:tblPr>
        <w:tblW w:type="dxa" w:w="967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874"/>
      </w:tblGrid>
      <w:tr>
        <w:tc>
          <w:tcPr>
            <w:tcW w:type="dxa" w:w="7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Стоимость Этапа 1</w:t>
            </w:r>
          </w:p>
        </w:tc>
        <w:tc>
          <w:tcPr>
            <w:tcW w:type="dxa" w:w="187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720 000 ₸</w:t>
            </w:r>
          </w:p>
        </w:tc>
      </w:tr>
    </w:tbl>
    <w:p>
      <w:pPr>
        <w:spacing w:after="160"/>
      </w:pPr>
      <w:r>
        <w:rPr>
          <w:i/>
          <w:iCs/>
          <w:color w:val="555555"/>
          <w:sz w:val="19"/>
          <w:szCs w:val="19"/>
        </w:rPr>
        <w:t xml:space="preserve">Точная стоимость интеграции остатков подтверждается после аудита CRM в начале этапа. Способ приёма заказов — WhatsApp или напрямую в CRM — также фиксируем по итогам аудита и предложим рекомендацию.</w:t>
      </w:r>
    </w:p>
    <w:p>
      <w:pPr>
        <w:pStyle w:val="Heading1"/>
        <w:spacing w:after="150" w:before="300"/>
      </w:pPr>
      <w:r>
        <w:rPr>
          <w:b/>
          <w:bCs/>
          <w:color w:val="8A6D3B"/>
          <w:sz w:val="26"/>
          <w:szCs w:val="26"/>
        </w:rPr>
        <w:t xml:space="preserve">Этап 2 — Поиск и личный кабинет</w:t>
      </w:r>
    </w:p>
    <w:tbl>
      <w:tblPr>
        <w:tblW w:type="dxa" w:w="967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600"/>
        <w:gridCol w:w="1874"/>
      </w:tblGrid>
      <w:tr>
        <w:tc>
          <w:tcPr>
            <w:tcW w:type="dxa" w:w="3200"/>
            <w:shd w:fill="8A6D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делаем</w:t>
            </w:r>
          </w:p>
        </w:tc>
        <w:tc>
          <w:tcPr>
            <w:tcW w:type="dxa" w:w="4600"/>
            <w:shd w:fill="8A6D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Зачем это бизнесу</w:t>
            </w:r>
          </w:p>
        </w:tc>
        <w:tc>
          <w:tcPr>
            <w:tcW w:type="dxa" w:w="1874"/>
            <w:shd w:fill="8A6D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Стоимость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Фильтры каталога: по бренду, цене, крепости, вкусу, фасовке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При 3000+ товарах без фильтра клиент физически не находит нужный товар — прямая потеря заказов</w:t>
            </w:r>
          </w:p>
        </w:tc>
        <w:tc>
          <w:tcPr>
            <w:tcW w:type="dxa" w:w="187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от 150 000 ₸ *</w:t>
            </w:r>
          </w:p>
        </w:tc>
      </w:tr>
      <w:tr>
        <w:tc>
          <w:tcPr>
            <w:tcW w:type="dxa" w:w="3200"/>
            <w:shd w:fill="F2EE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Личный кабинет: история заказов и отображение кэшбэка по номеру телефона</w:t>
            </w:r>
          </w:p>
        </w:tc>
        <w:tc>
          <w:tcPr>
            <w:tcW w:type="dxa" w:w="4600"/>
            <w:shd w:fill="F2EE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Кэшбэк сейчас известен только продавцам — сделать его видимым клиенту, это бесплатный канал возврата клиентов</w:t>
            </w:r>
          </w:p>
        </w:tc>
        <w:tc>
          <w:tcPr>
            <w:tcW w:type="dxa" w:w="1874"/>
            <w:shd w:fill="F2EE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по итогам аудита CRM</w:t>
            </w:r>
          </w:p>
        </w:tc>
      </w:tr>
    </w:tbl>
    <w:p>
      <w:pPr>
        <w:spacing w:after="160"/>
      </w:pPr>
      <w:r>
        <w:rPr>
          <w:i/>
          <w:iCs/>
          <w:color w:val="555555"/>
          <w:sz w:val="19"/>
          <w:szCs w:val="19"/>
        </w:rPr>
        <w:t xml:space="preserve">* Точная стоимость фильтров — после проверки, структурированы ли атрибуты товаров в CRM отдельными полями.</w:t>
      </w:r>
    </w:p>
    <w:p>
      <w:pPr>
        <w:spacing w:after="160"/>
      </w:pPr>
      <w:r>
        <w:rPr>
          <w:i/>
          <w:iCs/>
          <w:color w:val="555555"/>
          <w:sz w:val="19"/>
          <w:szCs w:val="19"/>
        </w:rPr>
        <w:t xml:space="preserve">Личный кабинет также требует формы согласия на обработку персональных данных на сайте по закону РК «О персональных данных и их защите».</w:t>
      </w:r>
    </w:p>
    <w:p>
      <w:pPr>
        <w:pageBreakBefore/>
      </w:pPr>
    </w:p>
    <w:p>
      <w:pPr>
        <w:pStyle w:val="Heading1"/>
        <w:spacing w:after="150" w:before="300"/>
      </w:pPr>
      <w:r>
        <w:rPr>
          <w:b/>
          <w:bCs/>
          <w:color w:val="8A6D3B"/>
          <w:sz w:val="26"/>
          <w:szCs w:val="26"/>
        </w:rPr>
        <w:t xml:space="preserve">Этап 3 — Рост среднего чека</w:t>
      </w:r>
    </w:p>
    <w:tbl>
      <w:tblPr>
        <w:tblW w:type="dxa" w:w="967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600"/>
        <w:gridCol w:w="1874"/>
      </w:tblGrid>
      <w:tr>
        <w:tc>
          <w:tcPr>
            <w:tcW w:type="dxa" w:w="3200"/>
            <w:shd w:fill="8A6D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делаем</w:t>
            </w:r>
          </w:p>
        </w:tc>
        <w:tc>
          <w:tcPr>
            <w:tcW w:type="dxa" w:w="4600"/>
            <w:shd w:fill="8A6D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Зачем это бизнесу</w:t>
            </w:r>
          </w:p>
        </w:tc>
        <w:tc>
          <w:tcPr>
            <w:tcW w:type="dxa" w:w="1874"/>
            <w:shd w:fill="8A6D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Стоимость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Доп. товары к выбранному заказу (кросс-сейл): рекомендованные / сопутствующие товары в карточке заказа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Рост среднего чека без затрат на рекламу</w:t>
            </w:r>
          </w:p>
        </w:tc>
        <w:tc>
          <w:tcPr>
            <w:tcW w:type="dxa" w:w="187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оценка после уточнения логики подбора</w:t>
            </w:r>
          </w:p>
        </w:tc>
      </w:tr>
    </w:tbl>
    <w:p>
      <w:pPr>
        <w:spacing w:after="160"/>
      </w:pPr>
      <w:r>
        <w:rPr>
          <w:i/>
          <w:iCs/>
          <w:color w:val="555555"/>
          <w:sz w:val="19"/>
          <w:szCs w:val="19"/>
        </w:rPr>
        <w:t xml:space="preserve">Нужно определиться, как подбираются доп. товары: по категории, по бренду или вручную заданными связками — от этого зависит стоимость.</w:t>
      </w:r>
    </w:p>
    <w:p>
      <w:pPr>
        <w:pStyle w:val="Heading1"/>
        <w:spacing w:after="150" w:before="300"/>
      </w:pPr>
      <w:r>
        <w:rPr>
          <w:b/>
          <w:bCs/>
          <w:color w:val="8A6D3B"/>
          <w:sz w:val="26"/>
          <w:szCs w:val="26"/>
        </w:rPr>
        <w:t xml:space="preserve">В перспективе, не сейчас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Оптовый кабинет для крупных клиентов — оценивается отдельно, когда будет актуально</w:t>
      </w:r>
    </w:p>
    <w:p>
      <w:pPr>
        <w:pStyle w:val="Heading1"/>
        <w:spacing w:after="150" w:before="300"/>
      </w:pPr>
      <w:r>
        <w:rPr>
          <w:b/>
          <w:bCs/>
          <w:color w:val="8A6D3B"/>
          <w:sz w:val="26"/>
          <w:szCs w:val="26"/>
        </w:rPr>
        <w:t xml:space="preserve">Условия сотрудничества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Оплата по каждому из 3 этапов отдельно: 50% на старте этапа, остаток — по завершении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Срок Этапа 1: макет за 3-5 раб. дней, весь этап — 5-7 недель; Этапы 2-3 — сроки по факту оценки после аудита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Гарантийная поддержка после запуска: 1 год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Хостинг и домен — на стороне заказчика</w:t>
      </w:r>
    </w:p>
    <w:p>
      <w:pPr>
        <w:pBdr>
          <w:bottom w:val="single" w:color="CCCCCC" w:sz="6" w:space="1"/>
        </w:pBdr>
        <w:spacing w:after="200" w:before="100"/>
      </w:pPr>
    </w:p>
    <w:p>
      <w:pPr>
        <w:spacing w:after="120"/>
      </w:pPr>
      <w:r>
        <w:rPr>
          <w:b/>
          <w:bCs/>
        </w:rPr>
        <w:t xml:space="preserve">Адилхан МУСИН</w:t>
      </w:r>
    </w:p>
    <w:p>
      <w:pPr>
        <w:spacing w:after="120"/>
      </w:pPr>
      <w:r>
        <w:rPr>
          <w:color w:val="555555"/>
          <w:sz w:val="20"/>
          <w:szCs w:val="20"/>
        </w:rPr>
        <w:t xml:space="preserve">+7 776 85 85 955 — WA, TG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2026-08-12T11:03:58.548Z</dcterms:created>
  <dcterms:modified xsi:type="dcterms:W3CDTF">2026-08-12T11:03:58.548Z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