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DATA PROCESSING AGREEMENT</w:t>
      </w:r>
    </w:p>
    <w:p>
      <w:pPr>
        <w:spacing w:after="200"/>
        <w:jc w:val="center"/>
      </w:pPr>
      <w:r>
        <w:rPr>
          <w:sz w:val="28"/>
          <w:szCs w:val="28"/>
        </w:rPr>
        <w:t xml:space="preserve">Hiring Execution &amp; Talent Efficiency Audit</w:t>
      </w:r>
    </w:p>
    <w:p>
      <w:pPr>
        <w:spacing w:after="600"/>
        <w:jc w:val="center"/>
      </w:pPr>
      <w:r>
        <w:rPr>
          <w:i/>
          <w:iCs/>
          <w:sz w:val="22"/>
          <w:szCs w:val="22"/>
        </w:rPr>
        <w:t xml:space="preserve">Version Date: February 3, 2026</w:t>
      </w:r>
    </w:p>
    <w:p>
      <w:pPr>
        <w:pStyle w:val="Heading1"/>
      </w:pPr>
      <w:r>
        <w:t xml:space="preserve">1. Parties</w:t>
      </w:r>
    </w:p>
    <w:p>
      <w:pPr>
        <w:spacing w:after="200"/>
      </w:pPr>
      <w:r>
        <w:t xml:space="preserve">This Data Processing Agreement ("DPA") is entered into between:</w:t>
      </w:r>
    </w:p>
    <w:p>
      <w:pPr>
        <w:spacing w:after="100"/>
      </w:pPr>
      <w:r>
        <w:rPr>
          <w:b/>
          <w:bCs/>
        </w:rPr>
        <w:t xml:space="preserve">Data Controller: </w:t>
      </w:r>
      <w:r>
        <w:t xml:space="preserve">The Client organization that has contracted for the Service ("Controller" or "Client")</w:t>
      </w:r>
    </w:p>
    <w:p>
      <w:pPr>
        <w:spacing w:after="200"/>
      </w:pPr>
      <w:r>
        <w:rPr>
          <w:b/>
          <w:bCs/>
        </w:rPr>
        <w:t xml:space="preserve">Data Processor: </w:t>
      </w:r>
      <w:r>
        <w:t xml:space="preserve">[Company Name], the provider of the Hiring Execution &amp; Talent Efficiency Audit service ("Processor" or "Company")</w:t>
      </w:r>
    </w:p>
    <w:p>
      <w:pPr>
        <w:spacing w:after="200"/>
      </w:pPr>
      <w:r>
        <w:t xml:space="preserve">This DPA supplements and forms part of the Terms of Service ("Principal Agreement") between the parties and governs the processing of personal data by the Processor on behalf of the Controller.</w:t>
      </w:r>
    </w:p>
    <w:p>
      <w:pPr>
        <w:pStyle w:val="Heading1"/>
      </w:pPr>
      <w:r>
        <w:t xml:space="preserve">2. Definitions</w:t>
      </w:r>
    </w:p>
    <w:p>
      <w:pPr>
        <w:spacing w:after="100"/>
      </w:pPr>
      <w:r>
        <w:t xml:space="preserve">In this DPA:</w:t>
      </w:r>
    </w:p>
    <w:p>
      <w:pPr>
        <w:pStyle w:val="ListParagraph"/>
        <w:numPr>
          <w:ilvl w:val="0"/>
          <w:numId w:val="2"/>
        </w:numPr>
      </w:pPr>
      <w:r>
        <w:rPr>
          <w:b/>
          <w:bCs/>
        </w:rPr>
        <w:t xml:space="preserve">"Data Protection Laws" </w:t>
      </w:r>
      <w:r>
        <w:t xml:space="preserve">means the GDPR, UK GDPR, and any other applicable data protection legislation.</w:t>
      </w:r>
    </w:p>
    <w:p>
      <w:pPr>
        <w:pStyle w:val="ListParagraph"/>
        <w:numPr>
          <w:ilvl w:val="0"/>
          <w:numId w:val="2"/>
        </w:numPr>
      </w:pPr>
      <w:r>
        <w:rPr>
          <w:b/>
          <w:bCs/>
        </w:rPr>
        <w:t xml:space="preserve">"GDPR" </w:t>
      </w:r>
      <w:r>
        <w:t xml:space="preserve">means Regulation (EU) 2016/679 of the European Parliament and of the Council.</w:t>
      </w:r>
    </w:p>
    <w:p>
      <w:pPr>
        <w:pStyle w:val="ListParagraph"/>
        <w:numPr>
          <w:ilvl w:val="0"/>
          <w:numId w:val="2"/>
        </w:numPr>
      </w:pPr>
      <w:r>
        <w:rPr>
          <w:b/>
          <w:bCs/>
        </w:rPr>
        <w:t xml:space="preserve">"Personal Data" </w:t>
      </w:r>
      <w:r>
        <w:t xml:space="preserve">means any information relating to an identified or identifiable natural person processed under this DPA.</w:t>
      </w:r>
    </w:p>
    <w:p>
      <w:pPr>
        <w:pStyle w:val="ListParagraph"/>
        <w:numPr>
          <w:ilvl w:val="0"/>
          <w:numId w:val="2"/>
        </w:numPr>
      </w:pPr>
      <w:r>
        <w:rPr>
          <w:b/>
          <w:bCs/>
        </w:rPr>
        <w:t xml:space="preserve">"Processing" </w:t>
      </w:r>
      <w:r>
        <w:t xml:space="preserve">means any operation performed on Personal Data, as defined in Article 4(2) of the GDPR.</w:t>
      </w:r>
    </w:p>
    <w:p>
      <w:pPr>
        <w:pStyle w:val="ListParagraph"/>
        <w:numPr>
          <w:ilvl w:val="0"/>
          <w:numId w:val="2"/>
        </w:numPr>
      </w:pPr>
      <w:r>
        <w:rPr>
          <w:b/>
          <w:bCs/>
        </w:rPr>
        <w:t xml:space="preserve">"Sub-processor" </w:t>
      </w:r>
      <w:r>
        <w:t xml:space="preserve">means any third party engaged by the Processor to process Personal Data on behalf of the Controller.</w:t>
      </w:r>
    </w:p>
    <w:p>
      <w:pPr>
        <w:pStyle w:val="ListParagraph"/>
        <w:numPr>
          <w:ilvl w:val="0"/>
          <w:numId w:val="2"/>
        </w:numPr>
        <w:spacing w:after="200"/>
      </w:pPr>
      <w:r>
        <w:rPr>
          <w:b/>
          <w:bCs/>
        </w:rPr>
        <w:t xml:space="preserve">"Data Subject" </w:t>
      </w:r>
      <w:r>
        <w:t xml:space="preserve">means an identified or identifiable natural person whose Personal Data is processed.</w:t>
      </w:r>
    </w:p>
    <w:p>
      <w:pPr>
        <w:pStyle w:val="Heading1"/>
      </w:pPr>
      <w:r>
        <w:t xml:space="preserve">3. Subject Matter and Details of Processing</w:t>
      </w:r>
    </w:p>
    <w:p>
      <w:pPr>
        <w:pStyle w:val="Heading2"/>
      </w:pPr>
      <w:r>
        <w:t xml:space="preserve">3.1 Subject Matter</w:t>
      </w:r>
    </w:p>
    <w:p>
      <w:pPr>
        <w:spacing w:after="200"/>
      </w:pPr>
      <w:r>
        <w:t xml:space="preserve">The Processor will process Personal Data on behalf of the Controller for the purpose of providing the Hiring Execution &amp; Talent Efficiency Audit service, including collecting audit responses, calculating scores, generating reports, and delivering results.</w:t>
      </w:r>
    </w:p>
    <w:p>
      <w:pPr>
        <w:pStyle w:val="Heading2"/>
      </w:pPr>
      <w:r>
        <w:t xml:space="preserve">3.2 Duration</w:t>
      </w:r>
    </w:p>
    <w:p>
      <w:pPr>
        <w:spacing w:after="200"/>
      </w:pPr>
      <w:r>
        <w:t xml:space="preserve">Processing will continue for the duration of the Principal Agreement and for 90 days thereafter to allow for report delivery and support, unless a longer retention period is agreed or required by law.</w:t>
      </w:r>
    </w:p>
    <w:p>
      <w:pPr>
        <w:pStyle w:val="Heading2"/>
      </w:pPr>
      <w:r>
        <w:t xml:space="preserve">3.3 Nature and Purpose</w:t>
      </w:r>
    </w:p>
    <w:p>
      <w:pPr>
        <w:spacing w:after="200"/>
      </w:pPr>
      <w:r>
        <w:t xml:space="preserve">The nature of processing includes collection, storage, analysis, and reporting of audit questionnaire responses. The purpose is to provide diagnostic assessment of the Controller's hiring execution practices.</w:t>
      </w:r>
    </w:p>
    <w:p>
      <w:pPr>
        <w:pStyle w:val="Heading2"/>
      </w:pPr>
      <w:r>
        <w:t xml:space="preserve">3.4 Categories of Data Subjects</w:t>
      </w:r>
    </w:p>
    <w:p>
      <w:pPr>
        <w:pStyle w:val="ListParagraph"/>
        <w:numPr>
          <w:ilvl w:val="0"/>
          <w:numId w:val="2"/>
        </w:numPr>
      </w:pPr>
      <w:r>
        <w:t xml:space="preserve">Employees of the Controller designated as audit respondents</w:t>
      </w:r>
    </w:p>
    <w:p>
      <w:pPr>
        <w:pStyle w:val="ListParagraph"/>
        <w:numPr>
          <w:ilvl w:val="0"/>
          <w:numId w:val="2"/>
        </w:numPr>
      </w:pPr>
      <w:r>
        <w:t xml:space="preserve">Controller's representatives and contact persons</w:t>
      </w:r>
    </w:p>
    <w:p>
      <w:pPr>
        <w:pStyle w:val="ListParagraph"/>
        <w:numPr>
          <w:ilvl w:val="0"/>
          <w:numId w:val="2"/>
        </w:numPr>
        <w:spacing w:after="200"/>
      </w:pPr>
      <w:r>
        <w:t xml:space="preserve">Any other individuals whose data is provided by the Controller</w:t>
      </w:r>
    </w:p>
    <w:p>
      <w:pPr>
        <w:pStyle w:val="Heading2"/>
      </w:pPr>
      <w:r>
        <w:t xml:space="preserve">3.5 Types of Personal Data</w:t>
      </w:r>
    </w:p>
    <w:p>
      <w:pPr>
        <w:pStyle w:val="ListParagraph"/>
        <w:numPr>
          <w:ilvl w:val="0"/>
          <w:numId w:val="2"/>
        </w:numPr>
      </w:pPr>
      <w:r>
        <w:t xml:space="preserve">Name and professional contact details</w:t>
      </w:r>
    </w:p>
    <w:p>
      <w:pPr>
        <w:pStyle w:val="ListParagraph"/>
        <w:numPr>
          <w:ilvl w:val="0"/>
          <w:numId w:val="2"/>
        </w:numPr>
      </w:pPr>
      <w:r>
        <w:t xml:space="preserve">Job title and organizational role</w:t>
      </w:r>
    </w:p>
    <w:p>
      <w:pPr>
        <w:pStyle w:val="ListParagraph"/>
        <w:numPr>
          <w:ilvl w:val="0"/>
          <w:numId w:val="2"/>
        </w:numPr>
      </w:pPr>
      <w:r>
        <w:t xml:space="preserve">Audit questionnaire responses (opinions regarding organizational practices)</w:t>
      </w:r>
    </w:p>
    <w:p>
      <w:pPr>
        <w:pStyle w:val="ListParagraph"/>
        <w:numPr>
          <w:ilvl w:val="0"/>
          <w:numId w:val="2"/>
        </w:numPr>
      </w:pPr>
      <w:r>
        <w:t xml:space="preserve">IP address and technical access logs</w:t>
      </w:r>
    </w:p>
    <w:p>
      <w:pPr>
        <w:pStyle w:val="ListParagraph"/>
        <w:numPr>
          <w:ilvl w:val="0"/>
          <w:numId w:val="2"/>
        </w:numPr>
        <w:spacing w:after="200"/>
      </w:pPr>
      <w:r>
        <w:t xml:space="preserve">Timestamps of submissions</w:t>
      </w:r>
    </w:p>
    <w:p>
      <w:pPr>
        <w:pStyle w:val="Heading1"/>
      </w:pPr>
      <w:r>
        <w:t xml:space="preserve">4. Processor Obligations</w:t>
      </w:r>
    </w:p>
    <w:p>
      <w:pPr>
        <w:spacing w:after="100"/>
      </w:pPr>
      <w:r>
        <w:t xml:space="preserve">The Processor shall:</w:t>
      </w:r>
    </w:p>
    <w:p>
      <w:pPr>
        <w:pStyle w:val="ListParagraph"/>
        <w:numPr>
          <w:ilvl w:val="0"/>
          <w:numId w:val="2"/>
        </w:numPr>
      </w:pPr>
      <w:r>
        <w:t xml:space="preserve">Process Personal Data only on documented instructions from the Controller, unless required by applicable law</w:t>
      </w:r>
    </w:p>
    <w:p>
      <w:pPr>
        <w:pStyle w:val="ListParagraph"/>
        <w:numPr>
          <w:ilvl w:val="0"/>
          <w:numId w:val="2"/>
        </w:numPr>
      </w:pPr>
      <w:r>
        <w:t xml:space="preserve">Ensure that persons authorized to process Personal Data are subject to confidentiality obligations</w:t>
      </w:r>
    </w:p>
    <w:p>
      <w:pPr>
        <w:pStyle w:val="ListParagraph"/>
        <w:numPr>
          <w:ilvl w:val="0"/>
          <w:numId w:val="2"/>
        </w:numPr>
      </w:pPr>
      <w:r>
        <w:t xml:space="preserve">Implement appropriate technical and organizational security measures</w:t>
      </w:r>
    </w:p>
    <w:p>
      <w:pPr>
        <w:pStyle w:val="ListParagraph"/>
        <w:numPr>
          <w:ilvl w:val="0"/>
          <w:numId w:val="2"/>
        </w:numPr>
      </w:pPr>
      <w:r>
        <w:t xml:space="preserve">Engage Sub-processors only with prior authorization and under written contracts</w:t>
      </w:r>
    </w:p>
    <w:p>
      <w:pPr>
        <w:pStyle w:val="ListParagraph"/>
        <w:numPr>
          <w:ilvl w:val="0"/>
          <w:numId w:val="2"/>
        </w:numPr>
      </w:pPr>
      <w:r>
        <w:t xml:space="preserve">Assist the Controller in responding to Data Subject requests</w:t>
      </w:r>
    </w:p>
    <w:p>
      <w:pPr>
        <w:pStyle w:val="ListParagraph"/>
        <w:numPr>
          <w:ilvl w:val="0"/>
          <w:numId w:val="2"/>
        </w:numPr>
      </w:pPr>
      <w:r>
        <w:t xml:space="preserve">Assist the Controller in ensuring compliance with security, breach notification, and impact assessment obligations</w:t>
      </w:r>
    </w:p>
    <w:p>
      <w:pPr>
        <w:pStyle w:val="ListParagraph"/>
        <w:numPr>
          <w:ilvl w:val="0"/>
          <w:numId w:val="2"/>
        </w:numPr>
      </w:pPr>
      <w:r>
        <w:t xml:space="preserve">Delete or return Personal Data upon termination, at the Controller's choice</w:t>
      </w:r>
    </w:p>
    <w:p>
      <w:pPr>
        <w:pStyle w:val="ListParagraph"/>
        <w:numPr>
          <w:ilvl w:val="0"/>
          <w:numId w:val="2"/>
        </w:numPr>
        <w:spacing w:after="200"/>
      </w:pPr>
      <w:r>
        <w:t xml:space="preserve">Make available information necessary to demonstrate compliance and allow for audits</w:t>
      </w:r>
    </w:p>
    <w:p>
      <w:pPr>
        <w:pStyle w:val="Heading1"/>
      </w:pPr>
      <w:r>
        <w:t xml:space="preserve">5. Security Measures</w:t>
      </w:r>
    </w:p>
    <w:p>
      <w:pPr>
        <w:spacing w:after="100"/>
      </w:pPr>
      <w:r>
        <w:t xml:space="preserve">The Processor implements the following technical and organizational measures:</w:t>
      </w:r>
    </w:p>
    <w:p>
      <w:pPr>
        <w:pStyle w:val="Heading2"/>
      </w:pPr>
      <w:r>
        <w:t xml:space="preserve">5.1 Technical Measures</w:t>
      </w:r>
    </w:p>
    <w:p>
      <w:pPr>
        <w:pStyle w:val="ListParagraph"/>
        <w:numPr>
          <w:ilvl w:val="0"/>
          <w:numId w:val="2"/>
        </w:numPr>
      </w:pPr>
      <w:r>
        <w:t xml:space="preserve">Encryption of data in transit using TLS 1.2 or higher</w:t>
      </w:r>
    </w:p>
    <w:p>
      <w:pPr>
        <w:pStyle w:val="ListParagraph"/>
        <w:numPr>
          <w:ilvl w:val="0"/>
          <w:numId w:val="2"/>
        </w:numPr>
      </w:pPr>
      <w:r>
        <w:t xml:space="preserve">Encryption of data at rest using AES-256 or equivalent</w:t>
      </w:r>
    </w:p>
    <w:p>
      <w:pPr>
        <w:pStyle w:val="ListParagraph"/>
        <w:numPr>
          <w:ilvl w:val="0"/>
          <w:numId w:val="2"/>
        </w:numPr>
      </w:pPr>
      <w:r>
        <w:t xml:space="preserve">Multi-factor authentication for system access</w:t>
      </w:r>
    </w:p>
    <w:p>
      <w:pPr>
        <w:pStyle w:val="ListParagraph"/>
        <w:numPr>
          <w:ilvl w:val="0"/>
          <w:numId w:val="2"/>
        </w:numPr>
      </w:pPr>
      <w:r>
        <w:t xml:space="preserve">Regular security patching and updates</w:t>
      </w:r>
    </w:p>
    <w:p>
      <w:pPr>
        <w:pStyle w:val="ListParagraph"/>
        <w:numPr>
          <w:ilvl w:val="0"/>
          <w:numId w:val="2"/>
        </w:numPr>
      </w:pPr>
      <w:r>
        <w:t xml:space="preserve">Intrusion detection and monitoring systems</w:t>
      </w:r>
    </w:p>
    <w:p>
      <w:pPr>
        <w:pStyle w:val="ListParagraph"/>
        <w:numPr>
          <w:ilvl w:val="0"/>
          <w:numId w:val="2"/>
        </w:numPr>
        <w:spacing w:after="200"/>
      </w:pPr>
      <w:r>
        <w:t xml:space="preserve">Regular backup and disaster recovery procedures</w:t>
      </w:r>
    </w:p>
    <w:p>
      <w:pPr>
        <w:pStyle w:val="Heading2"/>
      </w:pPr>
      <w:r>
        <w:t xml:space="preserve">5.2 Organizational Measures</w:t>
      </w:r>
    </w:p>
    <w:p>
      <w:pPr>
        <w:pStyle w:val="ListParagraph"/>
        <w:numPr>
          <w:ilvl w:val="0"/>
          <w:numId w:val="2"/>
        </w:numPr>
      </w:pPr>
      <w:r>
        <w:t xml:space="preserve">Role-based access control with least privilege principle</w:t>
      </w:r>
    </w:p>
    <w:p>
      <w:pPr>
        <w:pStyle w:val="ListParagraph"/>
        <w:numPr>
          <w:ilvl w:val="0"/>
          <w:numId w:val="2"/>
        </w:numPr>
      </w:pPr>
      <w:r>
        <w:t xml:space="preserve">Staff training on data protection and security</w:t>
      </w:r>
    </w:p>
    <w:p>
      <w:pPr>
        <w:pStyle w:val="ListParagraph"/>
        <w:numPr>
          <w:ilvl w:val="0"/>
          <w:numId w:val="2"/>
        </w:numPr>
      </w:pPr>
      <w:r>
        <w:t xml:space="preserve">Confidentiality agreements with all personnel</w:t>
      </w:r>
    </w:p>
    <w:p>
      <w:pPr>
        <w:pStyle w:val="ListParagraph"/>
        <w:numPr>
          <w:ilvl w:val="0"/>
          <w:numId w:val="2"/>
        </w:numPr>
      </w:pPr>
      <w:r>
        <w:t xml:space="preserve">Documented security policies and procedures</w:t>
      </w:r>
    </w:p>
    <w:p>
      <w:pPr>
        <w:pStyle w:val="ListParagraph"/>
        <w:numPr>
          <w:ilvl w:val="0"/>
          <w:numId w:val="2"/>
        </w:numPr>
        <w:spacing w:after="200"/>
      </w:pPr>
      <w:r>
        <w:t xml:space="preserve">Incident response procedures</w:t>
      </w:r>
    </w:p>
    <w:p>
      <w:pPr>
        <w:pStyle w:val="Heading1"/>
      </w:pPr>
      <w:r>
        <w:t xml:space="preserve">6. Sub-processors</w:t>
      </w:r>
    </w:p>
    <w:p>
      <w:pPr>
        <w:pStyle w:val="Heading2"/>
      </w:pPr>
      <w:r>
        <w:t xml:space="preserve">6.1 Authorization</w:t>
      </w:r>
    </w:p>
    <w:p>
      <w:pPr>
        <w:spacing w:after="200"/>
      </w:pPr>
      <w:r>
        <w:t xml:space="preserve">The Controller provides general authorization for the Processor to engage Sub-processors. The Processor shall maintain a list of current Sub-processors available upon request.</w:t>
      </w:r>
    </w:p>
    <w:p>
      <w:pPr>
        <w:pStyle w:val="Heading2"/>
      </w:pPr>
      <w:r>
        <w:t xml:space="preserve">6.2 Current Sub-processors</w:t>
      </w:r>
    </w:p>
    <w:p>
      <w:pPr>
        <w:spacing w:after="100"/>
      </w:pPr>
      <w:r>
        <w:t xml:space="preserve">The following Sub-processors are authorized as of the date of this DPA: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000"/>
      </w:tblGrid>
      <w:tr>
        <w:tc>
          <w:tcPr>
            <w:tcBorders>
              <w:top w:val="single" w:color="CCCCCC" w:sz="1"/>
              <w:left w:val="single" w:color="CCCCCC" w:sz="1"/>
              <w:bottom w:val="single" w:color="CCCCCC" w:sz="1"/>
              <w:right w:val="single" w:color="CCCCCC" w:sz="1"/>
            </w:tcBorders>
            <w:shd w:fill="E8E8E8" w:val="clear"/>
          </w:tcPr>
          <w:p>
            <w:r>
              <w:rPr>
                <w:b/>
                <w:bCs/>
              </w:rPr>
              <w:t xml:space="preserve">Sub-processor</w:t>
            </w:r>
          </w:p>
        </w:tc>
        <w:tc>
          <w:tcPr>
            <w:tcBorders>
              <w:top w:val="single" w:color="CCCCCC" w:sz="1"/>
              <w:left w:val="single" w:color="CCCCCC" w:sz="1"/>
              <w:bottom w:val="single" w:color="CCCCCC" w:sz="1"/>
              <w:right w:val="single" w:color="CCCCCC" w:sz="1"/>
            </w:tcBorders>
            <w:shd w:fill="E8E8E8" w:val="clear"/>
          </w:tcPr>
          <w:p>
            <w:r>
              <w:rPr>
                <w:b/>
                <w:bCs/>
              </w:rPr>
              <w:t xml:space="preserve">Purpose</w:t>
            </w:r>
          </w:p>
        </w:tc>
        <w:tc>
          <w:tcPr>
            <w:tcBorders>
              <w:top w:val="single" w:color="CCCCCC" w:sz="1"/>
              <w:left w:val="single" w:color="CCCCCC" w:sz="1"/>
              <w:bottom w:val="single" w:color="CCCCCC" w:sz="1"/>
              <w:right w:val="single" w:color="CCCCCC" w:sz="1"/>
            </w:tcBorders>
            <w:shd w:fill="E8E8E8" w:val="clear"/>
          </w:tcPr>
          <w:p>
            <w:r>
              <w:rPr>
                <w:b/>
                <w:bCs/>
              </w:rPr>
              <w:t xml:space="preserve">Location</w:t>
            </w:r>
          </w:p>
        </w:tc>
        <w:tc>
          <w:tcPr>
            <w:tcBorders>
              <w:top w:val="single" w:color="CCCCCC" w:sz="1"/>
              <w:left w:val="single" w:color="CCCCCC" w:sz="1"/>
              <w:bottom w:val="single" w:color="CCCCCC" w:sz="1"/>
              <w:right w:val="single" w:color="CCCCCC" w:sz="1"/>
            </w:tcBorders>
            <w:shd w:fill="E8E8E8" w:val="clear"/>
          </w:tcPr>
          <w:p>
            <w:r>
              <w:rPr>
                <w:b/>
                <w:bCs/>
              </w:rPr>
              <w:t xml:space="preserve">Safeguards</w:t>
            </w:r>
          </w:p>
        </w:tc>
      </w:tr>
      <w:tr>
        <w:tc>
          <w:tcPr>
            <w:tcBorders>
              <w:top w:val="single" w:color="CCCCCC" w:sz="1"/>
              <w:left w:val="single" w:color="CCCCCC" w:sz="1"/>
              <w:bottom w:val="single" w:color="CCCCCC" w:sz="1"/>
              <w:right w:val="single" w:color="CCCCCC" w:sz="1"/>
            </w:tcBorders>
          </w:tcPr>
          <w:p>
            <w:r>
              <w:t xml:space="preserve">[Cloud Provider]</w:t>
            </w:r>
          </w:p>
        </w:tc>
        <w:tc>
          <w:tcPr>
            <w:tcBorders>
              <w:top w:val="single" w:color="CCCCCC" w:sz="1"/>
              <w:left w:val="single" w:color="CCCCCC" w:sz="1"/>
              <w:bottom w:val="single" w:color="CCCCCC" w:sz="1"/>
              <w:right w:val="single" w:color="CCCCCC" w:sz="1"/>
            </w:tcBorders>
          </w:tcPr>
          <w:p>
            <w:r>
              <w:t xml:space="preserve">Infrastructure hosting</w:t>
            </w:r>
          </w:p>
        </w:tc>
        <w:tc>
          <w:tcPr>
            <w:tcBorders>
              <w:top w:val="single" w:color="CCCCCC" w:sz="1"/>
              <w:left w:val="single" w:color="CCCCCC" w:sz="1"/>
              <w:bottom w:val="single" w:color="CCCCCC" w:sz="1"/>
              <w:right w:val="single" w:color="CCCCCC" w:sz="1"/>
            </w:tcBorders>
          </w:tcPr>
          <w:p>
            <w:r>
              <w:t xml:space="preserve">[Location]</w:t>
            </w:r>
          </w:p>
        </w:tc>
        <w:tc>
          <w:tcPr>
            <w:tcBorders>
              <w:top w:val="single" w:color="CCCCCC" w:sz="1"/>
              <w:left w:val="single" w:color="CCCCCC" w:sz="1"/>
              <w:bottom w:val="single" w:color="CCCCCC" w:sz="1"/>
              <w:right w:val="single" w:color="CCCCCC" w:sz="1"/>
            </w:tcBorders>
          </w:tcPr>
          <w:p>
            <w:r>
              <w:t xml:space="preserve">SCCs / DPF</w:t>
            </w:r>
          </w:p>
        </w:tc>
      </w:tr>
      <w:tr>
        <w:tc>
          <w:tcPr>
            <w:tcBorders>
              <w:top w:val="single" w:color="CCCCCC" w:sz="1"/>
              <w:left w:val="single" w:color="CCCCCC" w:sz="1"/>
              <w:bottom w:val="single" w:color="CCCCCC" w:sz="1"/>
              <w:right w:val="single" w:color="CCCCCC" w:sz="1"/>
            </w:tcBorders>
          </w:tcPr>
          <w:p>
            <w:r>
              <w:t xml:space="preserve">Stripe, Inc.</w:t>
            </w:r>
          </w:p>
        </w:tc>
        <w:tc>
          <w:tcPr>
            <w:tcBorders>
              <w:top w:val="single" w:color="CCCCCC" w:sz="1"/>
              <w:left w:val="single" w:color="CCCCCC" w:sz="1"/>
              <w:bottom w:val="single" w:color="CCCCCC" w:sz="1"/>
              <w:right w:val="single" w:color="CCCCCC" w:sz="1"/>
            </w:tcBorders>
          </w:tcPr>
          <w:p>
            <w:r>
              <w:t xml:space="preserve">Payment processing</w:t>
            </w:r>
          </w:p>
        </w:tc>
        <w:tc>
          <w:tcPr>
            <w:tcBorders>
              <w:top w:val="single" w:color="CCCCCC" w:sz="1"/>
              <w:left w:val="single" w:color="CCCCCC" w:sz="1"/>
              <w:bottom w:val="single" w:color="CCCCCC" w:sz="1"/>
              <w:right w:val="single" w:color="CCCCCC" w:sz="1"/>
            </w:tcBorders>
          </w:tcPr>
          <w:p>
            <w:r>
              <w:t xml:space="preserve">USA</w:t>
            </w:r>
          </w:p>
        </w:tc>
        <w:tc>
          <w:tcPr>
            <w:tcBorders>
              <w:top w:val="single" w:color="CCCCCC" w:sz="1"/>
              <w:left w:val="single" w:color="CCCCCC" w:sz="1"/>
              <w:bottom w:val="single" w:color="CCCCCC" w:sz="1"/>
              <w:right w:val="single" w:color="CCCCCC" w:sz="1"/>
            </w:tcBorders>
          </w:tcPr>
          <w:p>
            <w:r>
              <w:t xml:space="preserve">DPF certified</w:t>
            </w:r>
          </w:p>
        </w:tc>
      </w:tr>
      <w:tr>
        <w:tc>
          <w:tcPr>
            <w:tcBorders>
              <w:top w:val="single" w:color="CCCCCC" w:sz="1"/>
              <w:left w:val="single" w:color="CCCCCC" w:sz="1"/>
              <w:bottom w:val="single" w:color="CCCCCC" w:sz="1"/>
              <w:right w:val="single" w:color="CCCCCC" w:sz="1"/>
            </w:tcBorders>
          </w:tcPr>
          <w:p>
            <w:r>
              <w:t xml:space="preserve">[Email Provider]</w:t>
            </w:r>
          </w:p>
        </w:tc>
        <w:tc>
          <w:tcPr>
            <w:tcBorders>
              <w:top w:val="single" w:color="CCCCCC" w:sz="1"/>
              <w:left w:val="single" w:color="CCCCCC" w:sz="1"/>
              <w:bottom w:val="single" w:color="CCCCCC" w:sz="1"/>
              <w:right w:val="single" w:color="CCCCCC" w:sz="1"/>
            </w:tcBorders>
          </w:tcPr>
          <w:p>
            <w:r>
              <w:t xml:space="preserve">Email delivery</w:t>
            </w:r>
          </w:p>
        </w:tc>
        <w:tc>
          <w:tcPr>
            <w:tcBorders>
              <w:top w:val="single" w:color="CCCCCC" w:sz="1"/>
              <w:left w:val="single" w:color="CCCCCC" w:sz="1"/>
              <w:bottom w:val="single" w:color="CCCCCC" w:sz="1"/>
              <w:right w:val="single" w:color="CCCCCC" w:sz="1"/>
            </w:tcBorders>
          </w:tcPr>
          <w:p>
            <w:r>
              <w:t xml:space="preserve">[Location]</w:t>
            </w:r>
          </w:p>
        </w:tc>
        <w:tc>
          <w:tcPr>
            <w:tcBorders>
              <w:top w:val="single" w:color="CCCCCC" w:sz="1"/>
              <w:left w:val="single" w:color="CCCCCC" w:sz="1"/>
              <w:bottom w:val="single" w:color="CCCCCC" w:sz="1"/>
              <w:right w:val="single" w:color="CCCCCC" w:sz="1"/>
            </w:tcBorders>
          </w:tcPr>
          <w:p>
            <w:r>
              <w:t xml:space="preserve">SCCs</w:t>
            </w:r>
          </w:p>
        </w:tc>
      </w:tr>
    </w:tbl>
    <w:p>
      <w:pPr>
        <w:spacing w:before="200" w:after="200"/>
      </w:pPr>
    </w:p>
    <w:p>
      <w:pPr>
        <w:pStyle w:val="Heading2"/>
      </w:pPr>
      <w:r>
        <w:t xml:space="preserve">6.3 Changes to Sub-processors</w:t>
      </w:r>
    </w:p>
    <w:p>
      <w:pPr>
        <w:spacing w:after="200"/>
      </w:pPr>
      <w:r>
        <w:t xml:space="preserve">The Processor shall notify the Controller of any intended changes to Sub-processors at least 30 days in advance. The Controller may object to such changes on reasonable grounds related to data protection.</w:t>
      </w:r>
    </w:p>
    <w:p>
      <w:pPr>
        <w:pStyle w:val="Heading1"/>
      </w:pPr>
      <w:r>
        <w:t xml:space="preserve">7. International Transfers</w:t>
      </w:r>
    </w:p>
    <w:p>
      <w:pPr>
        <w:spacing w:after="200"/>
      </w:pPr>
      <w:r>
        <w:t xml:space="preserve">The Processor shall not transfer Personal Data outside the EEA unless appropriate safeguards are in place as required by Chapter V of the GDPR, including:</w:t>
      </w:r>
    </w:p>
    <w:p>
      <w:pPr>
        <w:pStyle w:val="ListParagraph"/>
        <w:numPr>
          <w:ilvl w:val="0"/>
          <w:numId w:val="2"/>
        </w:numPr>
      </w:pPr>
      <w:r>
        <w:t xml:space="preserve">European Commission adequacy decisions</w:t>
      </w:r>
    </w:p>
    <w:p>
      <w:pPr>
        <w:pStyle w:val="ListParagraph"/>
        <w:numPr>
          <w:ilvl w:val="0"/>
          <w:numId w:val="2"/>
        </w:numPr>
      </w:pPr>
      <w:r>
        <w:t xml:space="preserve">Standard Contractual Clauses (SCCs) approved by the European Commission</w:t>
      </w:r>
    </w:p>
    <w:p>
      <w:pPr>
        <w:pStyle w:val="ListParagraph"/>
        <w:numPr>
          <w:ilvl w:val="0"/>
          <w:numId w:val="2"/>
        </w:numPr>
      </w:pPr>
      <w:r>
        <w:t xml:space="preserve">EU-U.S. Data Privacy Framework certification</w:t>
      </w:r>
    </w:p>
    <w:p>
      <w:pPr>
        <w:pStyle w:val="ListParagraph"/>
        <w:numPr>
          <w:ilvl w:val="0"/>
          <w:numId w:val="2"/>
        </w:numPr>
        <w:spacing w:after="200"/>
      </w:pPr>
      <w:r>
        <w:t xml:space="preserve">Binding Corporate Rules where applicable</w:t>
      </w:r>
    </w:p>
    <w:p>
      <w:pPr>
        <w:pStyle w:val="Heading1"/>
      </w:pPr>
      <w:r>
        <w:t xml:space="preserve">8. Data Breach Notification</w:t>
      </w:r>
    </w:p>
    <w:p>
      <w:pPr>
        <w:spacing w:after="200"/>
      </w:pPr>
      <w:r>
        <w:t xml:space="preserve">The Processor shall notify the Controller without undue delay, and in any event within 48 hours, after becoming aware of a Personal Data breach. The notification shall include:</w:t>
      </w:r>
    </w:p>
    <w:p>
      <w:pPr>
        <w:pStyle w:val="ListParagraph"/>
        <w:numPr>
          <w:ilvl w:val="0"/>
          <w:numId w:val="2"/>
        </w:numPr>
      </w:pPr>
      <w:r>
        <w:t xml:space="preserve">Description of the nature of the breach</w:t>
      </w:r>
    </w:p>
    <w:p>
      <w:pPr>
        <w:pStyle w:val="ListParagraph"/>
        <w:numPr>
          <w:ilvl w:val="0"/>
          <w:numId w:val="2"/>
        </w:numPr>
      </w:pPr>
      <w:r>
        <w:t xml:space="preserve">Categories and approximate number of Data Subjects affected</w:t>
      </w:r>
    </w:p>
    <w:p>
      <w:pPr>
        <w:pStyle w:val="ListParagraph"/>
        <w:numPr>
          <w:ilvl w:val="0"/>
          <w:numId w:val="2"/>
        </w:numPr>
      </w:pPr>
      <w:r>
        <w:t xml:space="preserve">Categories and approximate number of Personal Data records affected</w:t>
      </w:r>
    </w:p>
    <w:p>
      <w:pPr>
        <w:pStyle w:val="ListParagraph"/>
        <w:numPr>
          <w:ilvl w:val="0"/>
          <w:numId w:val="2"/>
        </w:numPr>
      </w:pPr>
      <w:r>
        <w:t xml:space="preserve">Likely consequences of the breach</w:t>
      </w:r>
    </w:p>
    <w:p>
      <w:pPr>
        <w:pStyle w:val="ListParagraph"/>
        <w:numPr>
          <w:ilvl w:val="0"/>
          <w:numId w:val="2"/>
        </w:numPr>
        <w:spacing w:after="200"/>
      </w:pPr>
      <w:r>
        <w:t xml:space="preserve">Measures taken or proposed to address the breach</w:t>
      </w:r>
    </w:p>
    <w:p>
      <w:pPr>
        <w:pStyle w:val="Heading1"/>
      </w:pPr>
      <w:r>
        <w:t xml:space="preserve">9. Data Subject Rights</w:t>
      </w:r>
    </w:p>
    <w:p>
      <w:pPr>
        <w:spacing w:after="200"/>
      </w:pPr>
      <w:r>
        <w:t xml:space="preserve">The Processor shall assist the Controller in fulfilling its obligations to respond to Data Subject requests to exercise their rights under Data Protection Laws, including access, rectification, erasure, restriction, portability, and objection. The Processor shall promptly notify the Controller of any request received directly from a Data Subject.</w:t>
      </w:r>
    </w:p>
    <w:p>
      <w:pPr>
        <w:pStyle w:val="Heading1"/>
      </w:pPr>
      <w:r>
        <w:t xml:space="preserve">10. Audit Rights</w:t>
      </w:r>
    </w:p>
    <w:p>
      <w:pPr>
        <w:spacing w:after="200"/>
      </w:pPr>
      <w:r>
        <w:t xml:space="preserve">The Processor shall make available to the Controller all information necessary to demonstrate compliance with this DPA and allow for audits by the Controller or an auditor mandated by the Controller. Such audits shall be conducted with reasonable notice, during normal business hours, and shall not unreasonably disrupt the Processor's operations.</w:t>
      </w:r>
    </w:p>
    <w:p>
      <w:pPr>
        <w:pStyle w:val="Heading1"/>
      </w:pPr>
      <w:r>
        <w:t xml:space="preserve">11. Termination and Data Return</w:t>
      </w:r>
    </w:p>
    <w:p>
      <w:pPr>
        <w:spacing w:after="200"/>
      </w:pPr>
      <w:r>
        <w:t xml:space="preserve">Upon termination of the Principal Agreement, the Processor shall, at the Controller's choice, delete or return all Personal Data and delete existing copies, unless applicable law requires storage. The Controller must make this choice within 30 days of termination; if no instruction is received, data will be deleted after the standard retention period.</w:t>
      </w:r>
    </w:p>
    <w:p>
      <w:pPr>
        <w:pStyle w:val="Heading1"/>
      </w:pPr>
      <w:r>
        <w:t xml:space="preserve">12. Liability</w:t>
      </w:r>
    </w:p>
    <w:p>
      <w:pPr>
        <w:spacing w:after="200"/>
      </w:pPr>
      <w:r>
        <w:t xml:space="preserve">Each party's liability under this DPA shall be subject to the limitations and exclusions set forth in the Principal Agreement, except that neither party's liability for breaches of Data Protection Laws shall be limited.</w:t>
      </w:r>
    </w:p>
    <w:p>
      <w:pPr>
        <w:pStyle w:val="Heading1"/>
      </w:pPr>
      <w:r>
        <w:t xml:space="preserve">13. General Provisions</w:t>
      </w:r>
    </w:p>
    <w:p>
      <w:pPr>
        <w:pStyle w:val="ListParagraph"/>
        <w:numPr>
          <w:ilvl w:val="0"/>
          <w:numId w:val="2"/>
        </w:numPr>
      </w:pPr>
      <w:r>
        <w:rPr>
          <w:b/>
          <w:bCs/>
        </w:rPr>
        <w:t xml:space="preserve">Precedence: </w:t>
      </w:r>
      <w:r>
        <w:t xml:space="preserve">In case of conflict between this DPA and the Principal Agreement regarding data protection matters, this DPA shall prevail.</w:t>
      </w:r>
    </w:p>
    <w:p>
      <w:pPr>
        <w:pStyle w:val="ListParagraph"/>
        <w:numPr>
          <w:ilvl w:val="0"/>
          <w:numId w:val="2"/>
        </w:numPr>
      </w:pPr>
      <w:r>
        <w:rPr>
          <w:b/>
          <w:bCs/>
        </w:rPr>
        <w:t xml:space="preserve">Governing Law: </w:t>
      </w:r>
      <w:r>
        <w:t xml:space="preserve">This DPA shall be governed by the same law as the Principal Agreement.</w:t>
      </w:r>
    </w:p>
    <w:p>
      <w:pPr>
        <w:pStyle w:val="ListParagraph"/>
        <w:numPr>
          <w:ilvl w:val="0"/>
          <w:numId w:val="2"/>
        </w:numPr>
      </w:pPr>
      <w:r>
        <w:rPr>
          <w:b/>
          <w:bCs/>
        </w:rPr>
        <w:t xml:space="preserve">Amendments: </w:t>
      </w:r>
      <w:r>
        <w:t xml:space="preserve">This DPA may be amended by the Processor to comply with changes in Data Protection Laws, with notice to the Controller.</w:t>
      </w:r>
    </w:p>
    <w:p>
      <w:pPr>
        <w:pStyle w:val="ListParagraph"/>
        <w:numPr>
          <w:ilvl w:val="0"/>
          <w:numId w:val="2"/>
        </w:numPr>
        <w:spacing w:after="200"/>
      </w:pPr>
      <w:r>
        <w:rPr>
          <w:b/>
          <w:bCs/>
        </w:rPr>
        <w:t xml:space="preserve">Severability: </w:t>
      </w:r>
      <w:r>
        <w:t xml:space="preserve">If any provision is found invalid, the remaining provisions shall remain in effect.</w:t>
      </w:r>
    </w:p>
    <w:p>
      <w:pPr>
        <w:pStyle w:val="Heading1"/>
      </w:pPr>
      <w:r>
        <w:t xml:space="preserve">14. Signatures</w:t>
      </w:r>
    </w:p>
    <w:p>
      <w:pPr>
        <w:spacing w:after="200"/>
      </w:pPr>
      <w:r>
        <w:t xml:space="preserve">By using the Service, the Controller agrees to this DPA. This DPA is effective as of the date the Controller first accesses the Service.</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tcPr>
          <w:p>
            <w:r>
              <w:rPr>
                <w:b/>
                <w:bCs/>
              </w:rPr>
              <w:t xml:space="preserve">DATA CONTROLLER</w:t>
            </w:r>
          </w:p>
          <w:p>
            <w:pPr>
              <w:spacing w:before="200"/>
            </w:pPr>
            <w:r>
              <w:t xml:space="preserve">Company: _______________________</w:t>
            </w:r>
          </w:p>
          <w:p>
            <w:pPr>
              <w:spacing w:before="100"/>
            </w:pPr>
            <w:r>
              <w:t xml:space="preserve">Name: _______________________</w:t>
            </w:r>
          </w:p>
          <w:p>
            <w:pPr>
              <w:spacing w:before="100"/>
            </w:pPr>
            <w:r>
              <w:t xml:space="preserve">Title: _______________________</w:t>
            </w:r>
          </w:p>
          <w:p>
            <w:pPr>
              <w:spacing w:before="100"/>
            </w:pPr>
            <w:r>
              <w:t xml:space="preserve">Date: _______________________</w:t>
            </w:r>
          </w:p>
          <w:p>
            <w:pPr>
              <w:spacing w:before="100" w:after="100"/>
            </w:pPr>
            <w:r>
              <w:t xml:space="preserve">Signature: _______________________</w:t>
            </w:r>
          </w:p>
        </w:tc>
        <w:tc>
          <w:tcPr>
            <w:tcBorders>
              <w:top w:val="single" w:color="CCCCCC" w:sz="1"/>
              <w:left w:val="single" w:color="CCCCCC" w:sz="1"/>
              <w:bottom w:val="single" w:color="CCCCCC" w:sz="1"/>
              <w:right w:val="single" w:color="CCCCCC" w:sz="1"/>
            </w:tcBorders>
          </w:tcPr>
          <w:p>
            <w:r>
              <w:rPr>
                <w:b/>
                <w:bCs/>
              </w:rPr>
              <w:t xml:space="preserve">DATA PROCESSOR</w:t>
            </w:r>
          </w:p>
          <w:p>
            <w:pPr>
              <w:spacing w:before="200"/>
            </w:pPr>
            <w:r>
              <w:t xml:space="preserve">Company: [Company Name]</w:t>
            </w:r>
          </w:p>
          <w:p>
            <w:pPr>
              <w:spacing w:before="100"/>
            </w:pPr>
            <w:r>
              <w:t xml:space="preserve">Name: _______________________</w:t>
            </w:r>
          </w:p>
          <w:p>
            <w:pPr>
              <w:spacing w:before="100"/>
            </w:pPr>
            <w:r>
              <w:t xml:space="preserve">Title: _______________________</w:t>
            </w:r>
          </w:p>
          <w:p>
            <w:pPr>
              <w:spacing w:before="100"/>
            </w:pPr>
            <w:r>
              <w:t xml:space="preserve">Date: _______________________</w:t>
            </w:r>
          </w:p>
          <w:p>
            <w:pPr>
              <w:spacing w:before="100" w:after="100"/>
            </w:pPr>
            <w:r>
              <w:t xml:space="preserve">Signature: _______________________</w:t>
            </w:r>
          </w:p>
        </w:tc>
      </w:tr>
    </w:tbl>
    <w:p>
      <w:pPr>
        <w:spacing w:before="400"/>
        <w:jc w:val="center"/>
      </w:pPr>
      <w:r>
        <w:rPr>
          <w:i/>
          <w:iCs/>
          <w:sz w:val="20"/>
          <w:szCs w:val="20"/>
        </w:rPr>
        <w:t xml:space="preserve">— End of Data Processing Agreement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Data Processing Agreement — Hiring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2026-02-03T11:36:25.259Z</dcterms:created>
  <dcterms:modified xsi:type="dcterms:W3CDTF">2026-02-03T11:36:25.259Z</dcterms:modified>
</cp:coreProperties>
</file>

<file path=docProps/custom.xml><?xml version="1.0" encoding="utf-8"?>
<Properties xmlns="http://schemas.openxmlformats.org/officeDocument/2006/custom-properties" xmlns:vt="http://schemas.openxmlformats.org/officeDocument/2006/docPropsVTypes"/>
</file>