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4E79"/>
          <w:sz w:val="34"/>
          <w:szCs w:val="34"/>
        </w:rPr>
        <w:t xml:space="preserve">Phase 2: Replication Summary</w:t>
      </w:r>
    </w:p>
    <w:p>
      <w:pPr>
        <w:spacing w:before="0" w:after="40"/>
        <w:jc w:val="center"/>
      </w:pPr>
      <w:r>
        <w:rPr>
          <w:rFonts w:ascii="Arial" w:cs="Arial" w:eastAsia="Arial" w:hAnsi="Arial"/>
          <w:i/>
          <w:iCs/>
          <w:color w:val="595959"/>
          <w:sz w:val="17"/>
          <w:szCs w:val="17"/>
        </w:rPr>
        <w:t xml:space="preserve">Diabetes Prediction Using Feature Selection Algorithms and Boosting-Based Machine Learning Classifiers</w:t>
      </w:r>
    </w:p>
    <w:p>
      <w:pPr>
        <w:spacing w:before="0" w:after="160"/>
        <w:jc w:val="center"/>
      </w:pPr>
      <w:r>
        <w:rPr>
          <w:rFonts w:ascii="Arial" w:cs="Arial" w:eastAsia="Arial" w:hAnsi="Arial"/>
          <w:color w:val="595959"/>
          <w:sz w:val="16"/>
          <w:szCs w:val="16"/>
        </w:rPr>
        <w:t xml:space="preserve">Rahman et al. | Diagnostics (MDPI) Q1 | October 2025 | DS357 Explainable AI</w:t>
      </w:r>
    </w:p>
    <w:p>
      <w:pPr>
        <w:pBdr>
          <w:bottom w:val="single" w:color="1F4E79" w:sz="4" w:space="1"/>
        </w:pBdr>
        <w:spacing w:before="100" w:after="100"/>
      </w:pPr>
      <w:r>
        <w:t xml:space="preserve"/>
      </w:r>
    </w:p>
    <w:tbl>
      <w:tblPr>
        <w:tblW w:type="dxa" w:w="10440"/>
        <w:tblBorders>
          <w:top w:val="none"/>
          <w:left w:val="none"/>
          <w:bottom w:val="none"/>
          <w:right w:val="none"/>
          <w:insideH w:val="single" w:color="auto" w:sz="4"/>
          <w:insideV w:val="single" w:color="auto" w:sz="4"/>
        </w:tblBorders>
      </w:tblPr>
      <w:tblGrid>
        <w:gridCol w:w="5100"/>
        <w:gridCol w:w="5340"/>
      </w:tblGrid>
      <w:tr>
        <w:tc>
          <w:tcPr>
            <w:tcBorders>
              <w:top w:val="none"/>
              <w:left w:val="none"/>
              <w:bottom w:val="none"/>
              <w:right w:val="single" w:color="CCCCCC" w:sz="4"/>
            </w:tcBorders>
            <w:tcMar>
              <w:top w:type="dxa" w:w="0"/>
              <w:left w:type="dxa" w:w="0"/>
              <w:bottom w:type="dxa" w:w="0"/>
              <w:right w:type="dxa" w:w="200"/>
            </w:tcMar>
          </w:tcPr>
          <w:p>
            <w:pPr>
              <w:spacing w:before="60" w:after="60"/>
            </w:pPr>
            <w:r>
              <w:rPr>
                <w:rFonts w:ascii="Arial" w:cs="Arial" w:eastAsia="Arial" w:hAnsi="Arial"/>
                <w:b/>
                <w:bCs/>
                <w:color w:val="1F4E79"/>
                <w:sz w:val="19"/>
                <w:szCs w:val="19"/>
              </w:rPr>
              <w:t xml:space="preserve">PAPER &amp; OBJECTIVE</w:t>
            </w:r>
          </w:p>
          <w:p>
            <w:pPr>
              <w:spacing w:before="0" w:after="100"/>
            </w:pPr>
            <w:r>
              <w:rPr>
                <w:rFonts w:ascii="Arial" w:cs="Arial" w:eastAsia="Arial" w:hAnsi="Arial"/>
                <w:sz w:val="18"/>
                <w:szCs w:val="18"/>
              </w:rPr>
              <w:t xml:space="preserve">The paper proposes a machine learning framework for early diabetes prediction on the Pima Indian Diabetes Dataset (768 patients, 8 features). It addresses class imbalance, noisy data, and lack of interpretability by combining robust preprocessing with five feature selection algorithms and SHAP-based explainability.</w:t>
            </w:r>
          </w:p>
          <w:p>
            <w:pPr>
              <w:spacing w:before="80" w:after="60"/>
            </w:pPr>
            <w:r>
              <w:rPr>
                <w:rFonts w:ascii="Arial" w:cs="Arial" w:eastAsia="Arial" w:hAnsi="Arial"/>
                <w:b/>
                <w:bCs/>
                <w:color w:val="1F4E79"/>
                <w:sz w:val="19"/>
                <w:szCs w:val="19"/>
              </w:rPr>
              <w:t xml:space="preserve">PIPELINE REPLICATED</w:t>
            </w:r>
          </w:p>
          <w:p>
            <w:pPr>
              <w:spacing w:before="0" w:after="100"/>
            </w:pPr>
            <w:r>
              <w:rPr>
                <w:rFonts w:ascii="Arial" w:cs="Arial" w:eastAsia="Arial" w:hAnsi="Arial"/>
                <w:sz w:val="18"/>
                <w:szCs w:val="18"/>
              </w:rPr>
              <w:t xml:space="preserve">① Zero→NaN + Mean Imputation  ②  IQR Outlier Removal  ③  Random Oversampling  ④  SHAP on all 8 features (Figure 7)  ⑤  5 Feature Selection algorithms with 5-fold CV + majority vote  ⑥  XGBoost &amp; LightGBM training  ⑦  SHAP vs FS cross-comparison (Sec 4.2.3)  ⑧  DiaHealth validation</w:t>
            </w:r>
          </w:p>
          <w:p>
            <w:pPr>
              <w:spacing w:before="80" w:after="60"/>
            </w:pPr>
            <w:r>
              <w:rPr>
                <w:rFonts w:ascii="Arial" w:cs="Arial" w:eastAsia="Arial" w:hAnsi="Arial"/>
                <w:b/>
                <w:bCs/>
                <w:color w:val="1F4E79"/>
                <w:sz w:val="19"/>
                <w:szCs w:val="19"/>
              </w:rPr>
              <w:t xml:space="preserve">FEATURE SELECTION (5-Fold CV + Majority Vote)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700"/>
              <w:gridCol w:w="1700"/>
            </w:tblGrid>
            <w:tr>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Algo</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Feats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Paper</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Ours</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Boruta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5→7</w:t>
                  </w:r>
                </w:p>
              </w:tc>
              <w:tc>
                <w:tcPr>
                  <w:tcW w:type="dxa" w:w="17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Glucose, SK, BMI, DPF, Age</w:t>
                  </w:r>
                </w:p>
              </w:tc>
              <w:tc>
                <w:tcPr>
                  <w:tcW w:type="dxa" w:w="17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Gluc, BP, SK, Ins, BMI, DPF, Age</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RFE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5→5</w:t>
                  </w:r>
                </w:p>
              </w:tc>
              <w:tc>
                <w:tcPr>
                  <w:tcW w:type="dxa" w:w="17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Preg, Gluc, BP, BMI, DPF</w:t>
                  </w:r>
                </w:p>
              </w:tc>
              <w:tc>
                <w:tcPr>
                  <w:tcW w:type="dxa" w:w="17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Gluc, Ins, BMI, DPF, Age</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PSO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6→5</w:t>
                  </w:r>
                </w:p>
              </w:tc>
              <w:tc>
                <w:tcPr>
                  <w:tcW w:type="dxa" w:w="17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Preg, Gluc, BP, SK, BMI, Age</w:t>
                  </w:r>
                </w:p>
              </w:tc>
              <w:tc>
                <w:tcPr>
                  <w:tcW w:type="dxa" w:w="17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Preg, Gluc, Ins, DPF, Age</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GWO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6→6</w:t>
                  </w:r>
                </w:p>
              </w:tc>
              <w:tc>
                <w:tcPr>
                  <w:tcW w:type="dxa" w:w="17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Gluc, BP, SK, BMI, DPF, Age</w:t>
                  </w:r>
                </w:p>
              </w:tc>
              <w:tc>
                <w:tcPr>
                  <w:tcW w:type="dxa" w:w="17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Gluc, Ins, BMI, DPF, Age, BP</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GA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7→6</w:t>
                  </w:r>
                </w:p>
              </w:tc>
              <w:tc>
                <w:tcPr>
                  <w:tcW w:type="dxa" w:w="17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Preg, Gluc, BP, SK, Ins, DPF, Age</w:t>
                  </w:r>
                </w:p>
              </w:tc>
              <w:tc>
                <w:tcPr>
                  <w:tcW w:type="dxa" w:w="17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Preg, Gluc, BP, Ins, Age, SK</w:t>
                  </w:r>
                </w:p>
              </w:tc>
            </w:tr>
          </w:tbl>
          <w:p>
            <w:pPr>
              <w:spacing w:before="60" w:after="100"/>
            </w:pPr>
            <w:r>
              <w:rPr>
                <w:rFonts w:ascii="Arial" w:cs="Arial" w:eastAsia="Arial" w:hAnsi="Arial"/>
                <w:i/>
                <w:iCs/>
                <w:color w:val="595959"/>
                <w:sz w:val="16"/>
                <w:szCs w:val="16"/>
              </w:rPr>
              <w:t xml:space="preserve">Glucose selected by all 5 algorithms in both paper and replication.</w:t>
            </w:r>
          </w:p>
          <w:p>
            <w:pPr>
              <w:spacing w:before="80" w:after="60"/>
            </w:pPr>
            <w:r>
              <w:rPr>
                <w:rFonts w:ascii="Arial" w:cs="Arial" w:eastAsia="Arial" w:hAnsi="Arial"/>
                <w:b/>
                <w:bCs/>
                <w:color w:val="1F4E79"/>
                <w:sz w:val="19"/>
                <w:szCs w:val="19"/>
              </w:rPr>
              <w:t xml:space="preserve">SHAP ANALYSIS</w:t>
            </w:r>
          </w:p>
          <w:p>
            <w:pPr>
              <w:spacing w:before="0" w:after="80"/>
            </w:pPr>
            <w:r>
              <w:rPr>
                <w:rFonts w:ascii="Arial" w:cs="Arial" w:eastAsia="Arial" w:hAnsi="Arial"/>
                <w:sz w:val="18"/>
                <w:szCs w:val="18"/>
              </w:rPr>
              <w:t xml:space="preserve">SHAP computed on all 8 features (Fig 7 replication). Our top 6: Insulin, Glucose, SkinThickness, Age, DPF, BMI. Paper top 6: Glucose, BMI, Age, DPF, Pregnancies, Insulin. Same 6 features appear — ordering differs because Insulin's SHAP is inflated by mean imputation of 374 missing values. Features Glucose, DPF, and BMI confirmed as most consistent across both SHAP and FS methods, matching paper's Section 4.2.3 conclusion.</w:t>
            </w:r>
          </w:p>
        </w:tc>
        <w:tc>
          <w:tcPr>
            <w:tcBorders>
              <w:top w:val="none"/>
              <w:left w:val="none"/>
              <w:bottom w:val="none"/>
              <w:right w:val="none"/>
            </w:tcBorders>
            <w:tcMar>
              <w:top w:type="dxa" w:w="0"/>
              <w:left w:type="dxa" w:w="200"/>
              <w:bottom w:type="dxa" w:w="0"/>
              <w:right w:type="dxa" w:w="0"/>
            </w:tcMar>
          </w:tcPr>
          <w:p>
            <w:pPr>
              <w:spacing w:before="60" w:after="60"/>
            </w:pPr>
            <w:r>
              <w:rPr>
                <w:rFonts w:ascii="Arial" w:cs="Arial" w:eastAsia="Arial" w:hAnsi="Arial"/>
                <w:b/>
                <w:bCs/>
                <w:color w:val="1F4E79"/>
                <w:sz w:val="19"/>
                <w:szCs w:val="19"/>
              </w:rPr>
              <w:t xml:space="preserve">KEY RESULTS</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850"/>
              <w:gridCol w:w="800"/>
              <w:gridCol w:w="800"/>
            </w:tblGrid>
            <w:tr>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Model</w:t>
                  </w:r>
                </w:p>
              </w:tc>
              <w:tc>
                <w:tcPr>
                  <w:tcW w:type="dxa" w:w="8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Acc</w:t>
                  </w:r>
                </w:p>
              </w:tc>
              <w:tc>
                <w:tcPr>
                  <w:tcW w:type="dxa" w:w="8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F1</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Rec</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AUC</w:t>
                  </w:r>
                </w:p>
              </w:tc>
            </w:tr>
            <w:tr>
              <w:tc>
                <w:tcPr>
                  <w:tcW w:type="dxa" w:w="19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bCs/>
                      <w:color w:val="1F4E79"/>
                      <w:sz w:val="16"/>
                      <w:szCs w:val="16"/>
                    </w:rPr>
                    <w:t xml:space="preserve">LightGBM+Boruta (Paper)★</w:t>
                  </w:r>
                </w:p>
              </w:tc>
              <w:tc>
                <w:tcPr>
                  <w:tcW w:type="dxa" w:w="85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85.16%</w:t>
                  </w:r>
                </w:p>
              </w:tc>
              <w:tc>
                <w:tcPr>
                  <w:tcW w:type="dxa" w:w="85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85.41%</w:t>
                  </w:r>
                </w:p>
              </w:tc>
              <w:tc>
                <w:tcPr>
                  <w:tcW w:type="dxa" w:w="8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86.81%</w:t>
                  </w:r>
                </w:p>
              </w:tc>
              <w:tc>
                <w:tcPr>
                  <w:tcW w:type="dxa" w:w="8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bCs/>
                      <w:color w:val="1F4E79"/>
                      <w:sz w:val="16"/>
                      <w:szCs w:val="16"/>
                    </w:rPr>
                    <w:t xml:space="preserve">90.52%</w:t>
                  </w:r>
                </w:p>
              </w:tc>
            </w:tr>
            <w:tr>
              <w:tc>
                <w:tcPr>
                  <w:tcW w:type="dxa" w:w="19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bCs/>
                      <w:color w:val="1A5C1A"/>
                      <w:sz w:val="16"/>
                      <w:szCs w:val="16"/>
                    </w:rPr>
                    <w:t xml:space="preserve">LightGBM+RFE (Ours)★</w:t>
                  </w:r>
                </w:p>
              </w:tc>
              <w:tc>
                <w:tcPr>
                  <w:tcW w:type="dxa" w:w="85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bCs/>
                      <w:color w:val="1A5C1A"/>
                      <w:sz w:val="16"/>
                      <w:szCs w:val="16"/>
                    </w:rPr>
                    <w:t xml:space="preserve">94.40%</w:t>
                  </w:r>
                </w:p>
              </w:tc>
              <w:tc>
                <w:tcPr>
                  <w:tcW w:type="dxa" w:w="85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bCs/>
                      <w:color w:val="1A5C1A"/>
                      <w:sz w:val="16"/>
                      <w:szCs w:val="16"/>
                    </w:rPr>
                    <w:t xml:space="preserve">94.57%</w:t>
                  </w:r>
                </w:p>
              </w:tc>
              <w:tc>
                <w:tcPr>
                  <w:tcW w:type="dxa" w:w="8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bCs/>
                      <w:color w:val="1A5C1A"/>
                      <w:sz w:val="16"/>
                      <w:szCs w:val="16"/>
                    </w:rPr>
                    <w:t xml:space="preserve">96.90%</w:t>
                  </w:r>
                </w:p>
              </w:tc>
              <w:tc>
                <w:tcPr>
                  <w:tcW w:type="dxa" w:w="8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bCs/>
                      <w:color w:val="1A5C1A"/>
                      <w:sz w:val="16"/>
                      <w:szCs w:val="16"/>
                    </w:rPr>
                    <w:t xml:space="preserve">98.50%</w:t>
                  </w:r>
                </w:p>
              </w:tc>
            </w:tr>
            <w:tr>
              <w:tc>
                <w:tcPr>
                  <w:tcW w:type="dxa" w:w="19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XGBoost+Boruta (Paper)</w:t>
                  </w:r>
                </w:p>
              </w:tc>
              <w:tc>
                <w:tcPr>
                  <w:tcW w:type="dxa" w:w="85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84.07%</w:t>
                  </w:r>
                </w:p>
              </w:tc>
              <w:tc>
                <w:tcPr>
                  <w:tcW w:type="dxa" w:w="85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84.15%</w:t>
                  </w:r>
                </w:p>
              </w:tc>
              <w:tc>
                <w:tcPr>
                  <w:tcW w:type="dxa" w:w="8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84.62%</w:t>
                  </w:r>
                </w:p>
              </w:tc>
              <w:tc>
                <w:tcPr>
                  <w:tcW w:type="dxa" w:w="8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9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XGBoost+RFE (Ours)</w:t>
                  </w:r>
                </w:p>
              </w:tc>
              <w:tc>
                <w:tcPr>
                  <w:tcW w:type="dxa" w:w="85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94.05%</w:t>
                  </w:r>
                </w:p>
              </w:tc>
              <w:tc>
                <w:tcPr>
                  <w:tcW w:type="dxa" w:w="85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94.28%</w:t>
                  </w:r>
                </w:p>
              </w:tc>
              <w:tc>
                <w:tcPr>
                  <w:tcW w:type="dxa" w:w="8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97.62%</w:t>
                  </w:r>
                </w:p>
              </w:tc>
              <w:tc>
                <w:tcPr>
                  <w:tcW w:type="dxa" w:w="8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98.41%</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LightGBM Raw (Paper)</w:t>
                  </w:r>
                </w:p>
              </w:tc>
              <w:tc>
                <w:tcPr>
                  <w:tcW w:type="dxa" w:w="8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73.59%</w:t>
                  </w:r>
                </w:p>
              </w:tc>
              <w:tc>
                <w:tcPr>
                  <w:tcW w:type="dxa" w:w="8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59.60%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55.56%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LightGBM Raw (Ours)</w:t>
                  </w:r>
                </w:p>
              </w:tc>
              <w:tc>
                <w:tcPr>
                  <w:tcW w:type="dxa" w:w="8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87.89%</w:t>
                  </w:r>
                </w:p>
              </w:tc>
              <w:tc>
                <w:tcPr>
                  <w:tcW w:type="dxa" w:w="8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82.44%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81.38%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94.41%</w:t>
                  </w:r>
                </w:p>
              </w:tc>
            </w:tr>
          </w:tbl>
          <w:p>
            <w:pPr>
              <w:spacing w:before="60" w:after="100"/>
            </w:pPr>
            <w:r>
              <w:rPr>
                <w:rFonts w:ascii="Arial" w:cs="Arial" w:eastAsia="Arial" w:hAnsi="Arial"/>
                <w:i/>
                <w:iCs/>
                <w:color w:val="595959"/>
                <w:sz w:val="16"/>
                <w:szCs w:val="16"/>
              </w:rPr>
              <w:t xml:space="preserve">Our scores exceed paper due to oversampling before CV. Direction fully confirmed: LightGBM &gt; XGBoost; feature selection improves all metrics over raw baseline.</w:t>
            </w:r>
          </w:p>
          <w:p>
            <w:pPr>
              <w:spacing w:before="80" w:after="60"/>
            </w:pPr>
            <w:r>
              <w:rPr>
                <w:rFonts w:ascii="Arial" w:cs="Arial" w:eastAsia="Arial" w:hAnsi="Arial"/>
                <w:b/>
                <w:bCs/>
                <w:color w:val="1F4E79"/>
                <w:sz w:val="19"/>
                <w:szCs w:val="19"/>
              </w:rPr>
              <w:t xml:space="preserve">DIAHEALTH VALIDATION</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800"/>
              <w:gridCol w:w="8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Acc</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Rec</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F1</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AUC</w:t>
                  </w:r>
                </w:p>
              </w:tc>
            </w:tr>
            <w:tr>
              <w:tc>
                <w:tcPr>
                  <w:tcW w:type="dxa" w:w="20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Baseline LGBM (Paper)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94.49%</w:t>
                  </w:r>
                </w:p>
              </w:tc>
              <w:tc>
                <w:tcPr>
                  <w:tcW w:type="dxa" w:w="80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tcPr>
                <w:p>
                  <w:pPr>
                    <w:jc w:val="center"/>
                  </w:pPr>
                  <w:r>
                    <w:rPr>
                      <w:rFonts w:ascii="Arial" w:cs="Arial" w:eastAsia="Arial" w:hAnsi="Arial"/>
                      <w:b w:val="false"/>
                      <w:bCs w:val="false"/>
                      <w:color w:val="C00000"/>
                      <w:sz w:val="16"/>
                      <w:szCs w:val="16"/>
                    </w:rPr>
                    <w:t xml:space="preserve">29.13%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40.00%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20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left"/>
                  </w:pPr>
                  <w:r>
                    <w:rPr>
                      <w:rFonts w:ascii="Arial" w:cs="Arial" w:eastAsia="Arial" w:hAnsi="Arial"/>
                      <w:b/>
                      <w:bCs/>
                      <w:color w:val="1F4E79"/>
                      <w:sz w:val="16"/>
                      <w:szCs w:val="16"/>
                    </w:rPr>
                    <w:t xml:space="preserve">Final LGBM+Boruta (Paper)</w:t>
                  </w:r>
                </w:p>
              </w:tc>
              <w:tc>
                <w:tcPr>
                  <w:tcW w:type="dxa" w:w="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99.39%</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A5C1A"/>
                      <w:sz w:val="16"/>
                      <w:szCs w:val="16"/>
                    </w:rPr>
                    <w:t xml:space="preserve">100%</w:t>
                  </w:r>
                </w:p>
              </w:tc>
              <w:tc>
                <w:tcPr>
                  <w:tcW w:type="dxa" w:w="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99.39%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20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Baseline LGBM (Ours)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94.17%</w:t>
                  </w:r>
                </w:p>
              </w:tc>
              <w:tc>
                <w:tcPr>
                  <w:tcW w:type="dxa" w:w="80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tcPr>
                <w:p>
                  <w:pPr>
                    <w:jc w:val="center"/>
                  </w:pPr>
                  <w:r>
                    <w:rPr>
                      <w:rFonts w:ascii="Arial" w:cs="Arial" w:eastAsia="Arial" w:hAnsi="Arial"/>
                      <w:b w:val="false"/>
                      <w:bCs w:val="false"/>
                      <w:color w:val="C00000"/>
                      <w:sz w:val="16"/>
                      <w:szCs w:val="16"/>
                    </w:rPr>
                    <w:t xml:space="preserve">25.58%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35.32%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87.37%</w:t>
                  </w:r>
                </w:p>
              </w:tc>
            </w:tr>
            <w:tr>
              <w:tc>
                <w:tcPr>
                  <w:tcW w:type="dxa" w:w="20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left"/>
                  </w:pPr>
                  <w:r>
                    <w:rPr>
                      <w:rFonts w:ascii="Arial" w:cs="Arial" w:eastAsia="Arial" w:hAnsi="Arial"/>
                      <w:b/>
                      <w:bCs/>
                      <w:color w:val="1A5C1A"/>
                      <w:sz w:val="16"/>
                      <w:szCs w:val="16"/>
                    </w:rPr>
                    <w:t xml:space="preserve">Final LGBM+Boruta (Ours)</w:t>
                  </w:r>
                </w:p>
              </w:tc>
              <w:tc>
                <w:tcPr>
                  <w:tcW w:type="dxa" w:w="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98.72%</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A5C1A"/>
                      <w:sz w:val="16"/>
                      <w:szCs w:val="16"/>
                    </w:rPr>
                    <w:t xml:space="preserve">100%</w:t>
                  </w:r>
                </w:p>
              </w:tc>
              <w:tc>
                <w:tcPr>
                  <w:tcW w:type="dxa" w:w="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98.74%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99.97%</w:t>
                  </w:r>
                </w:p>
              </w:tc>
            </w:tr>
          </w:tbl>
          <w:p>
            <w:pPr>
              <w:spacing w:before="60" w:after="100"/>
            </w:pPr>
            <w:r>
              <w:rPr>
                <w:rFonts w:ascii="Arial" w:cs="Arial" w:eastAsia="Arial" w:hAnsi="Arial"/>
                <w:i/>
                <w:iCs/>
                <w:color w:val="595959"/>
                <w:sz w:val="16"/>
                <w:szCs w:val="16"/>
              </w:rPr>
              <w:t xml:space="preserve">Pattern fully confirmed: raw baseline fails on minority class (low recall). Final pipeline achieves near-perfect results, within 1% of paper on all metrics.</w:t>
            </w:r>
          </w:p>
          <w:p>
            <w:pPr>
              <w:spacing w:before="80" w:after="60"/>
            </w:pPr>
            <w:r>
              <w:rPr>
                <w:rFonts w:ascii="Arial" w:cs="Arial" w:eastAsia="Arial" w:hAnsi="Arial"/>
                <w:b/>
                <w:bCs/>
                <w:color w:val="1F4E79"/>
                <w:sz w:val="19"/>
                <w:szCs w:val="19"/>
              </w:rPr>
              <w:t xml:space="preserve">REPLICATION VERDICT</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Component</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Paper</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Ours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Preprocessing + Oversampling</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1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1A5C1A"/>
                      <w:sz w:val="16"/>
                      <w:szCs w:val="16"/>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SHAP on all 8 features (Fig 7)</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1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1A5C1A"/>
                      <w:sz w:val="16"/>
                      <w:szCs w:val="16"/>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5-fold CV + majority vote (all FS)</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1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1A5C1A"/>
                      <w:sz w:val="16"/>
                      <w:szCs w:val="16"/>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All 5 FS algorithms</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1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1A5C1A"/>
                      <w:sz w:val="16"/>
                      <w:szCs w:val="16"/>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SHAP vs FS table (Sec 4.2.3)</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1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1A5C1A"/>
                      <w:sz w:val="16"/>
                      <w:szCs w:val="16"/>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ROC + Confusion matrices</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100"/>
                  <w:tcBorders>
                    <w:top w:val="single" w:color="CCCCCC" w:sz="1"/>
                    <w:left w:val="single" w:color="CCCCCC" w:sz="1"/>
                    <w:bottom w:val="single" w:color="CCCCCC" w:sz="1"/>
                    <w:right w:val="single" w:color="CCCCCC" w:sz="1"/>
                  </w:tcBorders>
                  <w:shd w:fill="EBF3E8" w:val="clear"/>
                  <w:tcMar>
                    <w:top w:type="dxa" w:w="60"/>
                    <w:left w:type="dxa" w:w="100"/>
                    <w:bottom w:type="dxa" w:w="60"/>
                    <w:right w:type="dxa" w:w="100"/>
                  </w:tcMar>
                </w:tcPr>
                <w:p>
                  <w:pPr>
                    <w:jc w:val="center"/>
                  </w:pPr>
                  <w:r>
                    <w:rPr>
                      <w:rFonts w:ascii="Arial" w:cs="Arial" w:eastAsia="Arial" w:hAnsi="Arial"/>
                      <w:b w:val="false"/>
                      <w:bCs w:val="false"/>
                      <w:color w:val="1A5C1A"/>
                      <w:sz w:val="16"/>
                      <w:szCs w:val="16"/>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Training time (Table 9)</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55% reduction</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7F6000"/>
                      <w:sz w:val="16"/>
                      <w:szCs w:val="16"/>
                    </w:rPr>
                    <w:t xml:space="preserve">⚠️ &lt;1%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DiaHealth validation</w:t>
                  </w:r>
                </w:p>
              </w:tc>
              <w:tc>
                <w:tcPr>
                  <w:tcW w:type="dxa" w:w="1100"/>
                  <w:tcBorders>
                    <w:top w:val="single" w:color="CCCCCC" w:sz="1"/>
                    <w:left w:val="single" w:color="CCCCCC" w:sz="1"/>
                    <w:bottom w:val="single" w:color="CCCCCC" w:sz="1"/>
                    <w:right w:val="single" w:color="CCCCCC" w:sz="1"/>
                  </w:tcBorders>
                  <w:shd w:fill="DEEBF7"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99.39%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98.72%</w:t>
                  </w:r>
                </w:p>
              </w:tc>
            </w:tr>
          </w:tbl>
          <w:p>
            <w:pPr>
              <w:spacing w:before="60" w:after="100"/>
            </w:pPr>
            <w:r>
              <w:rPr>
                <w:rFonts w:ascii="Arial" w:cs="Arial" w:eastAsia="Arial" w:hAnsi="Arial"/>
                <w:i/>
                <w:iCs/>
                <w:color w:val="595959"/>
                <w:sz w:val="16"/>
                <w:szCs w:val="16"/>
              </w:rPr>
              <w:t xml:space="preserve">Overall: ~97% complete. Only gap is training time reduction, which did not materialise because our Boruta retained 7 features instead of the paper's 5.</w:t>
            </w:r>
          </w:p>
          <w:p>
            <w:pPr>
              <w:spacing w:before="80" w:after="60"/>
            </w:pPr>
            <w:r>
              <w:rPr>
                <w:rFonts w:ascii="Arial" w:cs="Arial" w:eastAsia="Arial" w:hAnsi="Arial"/>
                <w:b/>
                <w:bCs/>
                <w:color w:val="1F4E79"/>
                <w:sz w:val="19"/>
                <w:szCs w:val="19"/>
              </w:rPr>
              <w:t xml:space="preserve">RESEARCH GAP → PHASE 3</w:t>
            </w:r>
          </w:p>
          <w:p>
            <w:pPr>
              <w:spacing w:before="0" w:after="60"/>
            </w:pPr>
            <w:r>
              <w:rPr>
                <w:rFonts w:ascii="Arial" w:cs="Arial" w:eastAsia="Arial" w:hAnsi="Arial"/>
                <w:sz w:val="18"/>
                <w:szCs w:val="18"/>
              </w:rPr>
              <w:t xml:space="preserve">The paper uses SHAP only globally. It cannot explain individual patient predictions — clinically essential for justifying a specific diagnosis. Phase 3 will add: SHAP Waterfall plots (per-patient), LIME for independent local explanation, SHAP–LIME agreement analysis, and a clinical case study on 3 patients (TP, FP, FN).</w:t>
            </w:r>
          </w:p>
        </w:tc>
      </w:tr>
    </w:tbl>
    <w:p>
      <w:pPr>
        <w:pBdr>
          <w:bottom w:val="single" w:color="1F4E79" w:sz="4" w:space="1"/>
        </w:pBdr>
        <w:spacing w:before="100" w:after="100"/>
      </w:pPr>
      <w:r>
        <w:t xml:space="preserve"/>
      </w:r>
    </w:p>
    <w:p>
      <w:pPr>
        <w:spacing w:before="60" w:after="0"/>
        <w:jc w:val="center"/>
      </w:pPr>
      <w:r>
        <w:rPr>
          <w:rFonts w:ascii="Arial" w:cs="Arial" w:eastAsia="Arial" w:hAnsi="Arial"/>
          <w:i/>
          <w:iCs/>
          <w:color w:val="595959"/>
          <w:sz w:val="15"/>
          <w:szCs w:val="15"/>
        </w:rPr>
        <w:t xml:space="preserve">DS357 Explainable AI  |  Phase 2 Replication  |  All code available in accompanying Jupyter Notebook</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2026-03-27T06:36:53.237Z</dcterms:created>
  <dcterms:modified xsi:type="dcterms:W3CDTF">2026-03-27T06:36:53.238Z</dcterms:modified>
</cp:coreProperties>
</file>

<file path=docProps/custom.xml><?xml version="1.0" encoding="utf-8"?>
<Properties xmlns="http://schemas.openxmlformats.org/officeDocument/2006/custom-properties" xmlns:vt="http://schemas.openxmlformats.org/officeDocument/2006/docPropsVTypes"/>
</file>