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System Design Document</w:t>
      </w:r>
    </w:p>
    <w:p>
      <w:pPr>
        <w:spacing w:after="100"/>
        <w:jc w:val="center"/>
      </w:pPr>
      <w:r>
        <w:t xml:space="preserve">PlacementAgent — Personal Offline Placement Preparation System</w:t>
      </w:r>
    </w:p>
    <w:p>
      <w:pPr>
        <w:spacing w:after="400"/>
        <w:jc w:val="center"/>
      </w:pPr>
      <w:r>
        <w:t xml:space="preserve">Version 1.0  |  16 July 2026</w:t>
      </w:r>
    </w:p>
    <w:p>
      <w:pPr>
        <w:pStyle w:val="Heading1"/>
        <w:spacing w:after="150" w:before="300"/>
      </w:pPr>
      <w:r>
        <w:t xml:space="preserve">1. Introduction</w:t>
      </w:r>
    </w:p>
    <w:p>
      <w:pPr>
        <w:spacing w:after="120"/>
      </w:pPr>
      <w:r>
        <w:t xml:space="preserve">This System Design Document (SDD) describes how PlacementAgent is structured internally to satisfy the requirements laid out in the companion SRS. It covers architecture, data design, module responsibilities, and key process flows. Like the SRS, it is written as a lightweight, practical reference for a personal project rather than a formal enterprise design spec.</w:t>
      </w:r>
    </w:p>
    <w:p>
      <w:pPr>
        <w:pStyle w:val="Heading1"/>
        <w:spacing w:after="150" w:before="300"/>
      </w:pPr>
      <w:r>
        <w:t xml:space="preserve">2. Design Goals</w:t>
      </w:r>
    </w:p>
    <w:p>
      <w:pPr>
        <w:pStyle w:val="ListParagraph"/>
        <w:numPr>
          <w:ilvl w:val="0"/>
          <w:numId w:val="1"/>
        </w:numPr>
        <w:spacing w:after="60"/>
      </w:pPr>
      <w:r>
        <w:t xml:space="preserve">Offline-first: every feature must work with zero network access except the local Ollama process.</w:t>
      </w:r>
    </w:p>
    <w:p>
      <w:pPr>
        <w:pStyle w:val="ListParagraph"/>
        <w:numPr>
          <w:ilvl w:val="0"/>
          <w:numId w:val="1"/>
        </w:numPr>
        <w:spacing w:after="60"/>
      </w:pPr>
      <w:r>
        <w:t xml:space="preserve">Modular: each concern (data, assessment, scheduling, presentation) lives in its own file with a narrow interface.</w:t>
      </w:r>
    </w:p>
    <w:p>
      <w:pPr>
        <w:pStyle w:val="ListParagraph"/>
        <w:numPr>
          <w:ilvl w:val="0"/>
          <w:numId w:val="1"/>
        </w:numPr>
        <w:spacing w:after="60"/>
      </w:pPr>
      <w:r>
        <w:t xml:space="preserve">Minimal dependencies: prefer the standard library and a handful of well-known packages (sqlite3, streamlit, plyer, an ollama client).</w:t>
      </w:r>
    </w:p>
    <w:p>
      <w:pPr>
        <w:pStyle w:val="ListParagraph"/>
        <w:numPr>
          <w:ilvl w:val="0"/>
          <w:numId w:val="1"/>
        </w:numPr>
        <w:spacing w:after="60"/>
      </w:pPr>
      <w:r>
        <w:t xml:space="preserve">Extensible: adding a new company, subject, or topic should mean adding a folder/row, not changing code.</w:t>
      </w:r>
    </w:p>
    <w:p>
      <w:pPr>
        <w:pStyle w:val="Heading1"/>
        <w:spacing w:after="150" w:before="300"/>
      </w:pPr>
      <w:r>
        <w:t xml:space="preserve">3. System Architecture</w:t>
      </w:r>
    </w:p>
    <w:p>
      <w:pPr>
        <w:spacing w:after="120"/>
      </w:pPr>
      <w:r>
        <w:t xml:space="preserve">PlacementAgent is a single-process-family desktop application: a CLI agent, an optional Streamlit dashboard, and a lightweight scheduled notifier, all sharing one SQLite database and one knowledge_vault/ folder tree.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500"/>
      </w:tblGrid>
      <w:tr>
        <w:trPr>
          <w:tblHeader/>
        </w:trPr>
        <w:tc>
          <w:tcPr>
            <w:tcW w:type="dxa" w:w="2400"/>
            <w:shd w:fill="1F4E79" w:val="clear"/>
            <w:tcMar>
              <w:top w:type="dxa" w:w="80"/>
              <w:left w:type="dxa" w:w="100"/>
              <w:bottom w:type="dxa" w:w="80"/>
              <w:right w:type="dxa" w:w="100"/>
            </w:tcMar>
          </w:tcPr>
          <w:p>
            <w:r>
              <w:rPr>
                <w:b/>
                <w:bCs/>
                <w:color w:val="FFFFFF"/>
              </w:rPr>
              <w:t xml:space="preserve">Component</w:t>
            </w:r>
          </w:p>
        </w:tc>
        <w:tc>
          <w:tcPr>
            <w:tcW w:type="dxa" w:w="2600"/>
            <w:shd w:fill="1F4E79" w:val="clear"/>
            <w:tcMar>
              <w:top w:type="dxa" w:w="80"/>
              <w:left w:type="dxa" w:w="100"/>
              <w:bottom w:type="dxa" w:w="80"/>
              <w:right w:type="dxa" w:w="100"/>
            </w:tcMar>
          </w:tcPr>
          <w:p>
            <w:r>
              <w:rPr>
                <w:b/>
                <w:bCs/>
                <w:color w:val="FFFFFF"/>
              </w:rPr>
              <w:t xml:space="preserve">File</w:t>
            </w:r>
          </w:p>
        </w:tc>
        <w:tc>
          <w:tcPr>
            <w:tcW w:type="dxa" w:w="4500"/>
            <w:shd w:fill="1F4E79" w:val="clear"/>
            <w:tcMar>
              <w:top w:type="dxa" w:w="80"/>
              <w:left w:type="dxa" w:w="100"/>
              <w:bottom w:type="dxa" w:w="80"/>
              <w:right w:type="dxa" w:w="100"/>
            </w:tcMar>
          </w:tcPr>
          <w:p>
            <w:r>
              <w:rPr>
                <w:b/>
                <w:bCs/>
                <w:color w:val="FFFFFF"/>
              </w:rPr>
              <w:t xml:space="preserve">Responsibility</w:t>
            </w:r>
          </w:p>
        </w:tc>
      </w:tr>
      <w:tr>
        <w:tc>
          <w:tcPr>
            <w:tcW w:type="dxa" w:w="2400"/>
            <w:tcMar>
              <w:top w:type="dxa" w:w="80"/>
              <w:left w:type="dxa" w:w="100"/>
              <w:bottom w:type="dxa" w:w="80"/>
              <w:right w:type="dxa" w:w="100"/>
            </w:tcMar>
          </w:tcPr>
          <w:p>
            <w:r>
              <w:t xml:space="preserve">Agent Core</w:t>
            </w:r>
          </w:p>
        </w:tc>
        <w:tc>
          <w:tcPr>
            <w:tcW w:type="dxa" w:w="2600"/>
            <w:tcMar>
              <w:top w:type="dxa" w:w="80"/>
              <w:left w:type="dxa" w:w="100"/>
              <w:bottom w:type="dxa" w:w="80"/>
              <w:right w:type="dxa" w:w="100"/>
            </w:tcMar>
          </w:tcPr>
          <w:p>
            <w:r>
              <w:t xml:space="preserve">agent.py</w:t>
            </w:r>
          </w:p>
        </w:tc>
        <w:tc>
          <w:tcPr>
            <w:tcW w:type="dxa" w:w="4500"/>
            <w:tcMar>
              <w:top w:type="dxa" w:w="80"/>
              <w:left w:type="dxa" w:w="100"/>
              <w:bottom w:type="dxa" w:w="80"/>
              <w:right w:type="dxa" w:w="100"/>
            </w:tcMar>
          </w:tcPr>
          <w:p>
            <w:r>
              <w:t xml:space="preserve">Main CLI loop; loads profile, routes queries to Ollama, calls into db.py and assess.py.</w:t>
            </w:r>
          </w:p>
        </w:tc>
      </w:tr>
      <w:tr>
        <w:tc>
          <w:tcPr>
            <w:tcW w:type="dxa" w:w="2400"/>
            <w:shd w:fill="F2F2F2" w:val="clear"/>
            <w:tcMar>
              <w:top w:type="dxa" w:w="80"/>
              <w:left w:type="dxa" w:w="100"/>
              <w:bottom w:type="dxa" w:w="80"/>
              <w:right w:type="dxa" w:w="100"/>
            </w:tcMar>
          </w:tcPr>
          <w:p>
            <w:r>
              <w:t xml:space="preserve">Data Layer</w:t>
            </w:r>
          </w:p>
        </w:tc>
        <w:tc>
          <w:tcPr>
            <w:tcW w:type="dxa" w:w="2600"/>
            <w:shd w:fill="F2F2F2" w:val="clear"/>
            <w:tcMar>
              <w:top w:type="dxa" w:w="80"/>
              <w:left w:type="dxa" w:w="100"/>
              <w:bottom w:type="dxa" w:w="80"/>
              <w:right w:type="dxa" w:w="100"/>
            </w:tcMar>
          </w:tcPr>
          <w:p>
            <w:r>
              <w:t xml:space="preserve">db.py</w:t>
            </w:r>
          </w:p>
        </w:tc>
        <w:tc>
          <w:tcPr>
            <w:tcW w:type="dxa" w:w="4500"/>
            <w:shd w:fill="F2F2F2" w:val="clear"/>
            <w:tcMar>
              <w:top w:type="dxa" w:w="80"/>
              <w:left w:type="dxa" w:w="100"/>
              <w:bottom w:type="dxa" w:w="80"/>
              <w:right w:type="dxa" w:w="100"/>
            </w:tcMar>
          </w:tcPr>
          <w:p>
            <w:r>
              <w:t xml:space="preserve">Owns the SQLite connection and schema (init, migrations); CRUD helpers for companies, deadlines, and skill_levels.</w:t>
            </w:r>
          </w:p>
        </w:tc>
      </w:tr>
      <w:tr>
        <w:tc>
          <w:tcPr>
            <w:tcW w:type="dxa" w:w="2400"/>
            <w:tcMar>
              <w:top w:type="dxa" w:w="80"/>
              <w:left w:type="dxa" w:w="100"/>
              <w:bottom w:type="dxa" w:w="80"/>
              <w:right w:type="dxa" w:w="100"/>
            </w:tcMar>
          </w:tcPr>
          <w:p>
            <w:r>
              <w:t xml:space="preserve">Assessment Engine</w:t>
            </w:r>
          </w:p>
        </w:tc>
        <w:tc>
          <w:tcPr>
            <w:tcW w:type="dxa" w:w="2600"/>
            <w:tcMar>
              <w:top w:type="dxa" w:w="80"/>
              <w:left w:type="dxa" w:w="100"/>
              <w:bottom w:type="dxa" w:w="80"/>
              <w:right w:type="dxa" w:w="100"/>
            </w:tcMar>
          </w:tcPr>
          <w:p>
            <w:r>
              <w:t xml:space="preserve">assess.py</w:t>
            </w:r>
          </w:p>
        </w:tc>
        <w:tc>
          <w:tcPr>
            <w:tcW w:type="dxa" w:w="4500"/>
            <w:tcMar>
              <w:top w:type="dxa" w:w="80"/>
              <w:left w:type="dxa" w:w="100"/>
              <w:bottom w:type="dxa" w:w="80"/>
              <w:right w:type="dxa" w:w="100"/>
            </w:tcMar>
          </w:tcPr>
          <w:p>
            <w:r>
              <w:t xml:space="preserve">Baseline test, daily diagnostic question generation, proficiency calibration logic.</w:t>
            </w:r>
          </w:p>
        </w:tc>
      </w:tr>
      <w:tr>
        <w:tc>
          <w:tcPr>
            <w:tcW w:type="dxa" w:w="2400"/>
            <w:shd w:fill="F2F2F2" w:val="clear"/>
            <w:tcMar>
              <w:top w:type="dxa" w:w="80"/>
              <w:left w:type="dxa" w:w="100"/>
              <w:bottom w:type="dxa" w:w="80"/>
              <w:right w:type="dxa" w:w="100"/>
            </w:tcMar>
          </w:tcPr>
          <w:p>
            <w:r>
              <w:t xml:space="preserve">Knowledge Vault</w:t>
            </w:r>
          </w:p>
        </w:tc>
        <w:tc>
          <w:tcPr>
            <w:tcW w:type="dxa" w:w="2600"/>
            <w:shd w:fill="F2F2F2" w:val="clear"/>
            <w:tcMar>
              <w:top w:type="dxa" w:w="80"/>
              <w:left w:type="dxa" w:w="100"/>
              <w:bottom w:type="dxa" w:w="80"/>
              <w:right w:type="dxa" w:w="100"/>
            </w:tcMar>
          </w:tcPr>
          <w:p>
            <w:r>
              <w:t xml:space="preserve">knowledge_vault/ (filesystem)</w:t>
            </w:r>
          </w:p>
        </w:tc>
        <w:tc>
          <w:tcPr>
            <w:tcW w:type="dxa" w:w="4500"/>
            <w:shd w:fill="F2F2F2" w:val="clear"/>
            <w:tcMar>
              <w:top w:type="dxa" w:w="80"/>
              <w:left w:type="dxa" w:w="100"/>
              <w:bottom w:type="dxa" w:w="80"/>
              <w:right w:type="dxa" w:w="100"/>
            </w:tcMar>
          </w:tcPr>
          <w:p>
            <w:r>
              <w:t xml:space="preserve">Structured store of static reference material read by the agent for context.</w:t>
            </w:r>
          </w:p>
        </w:tc>
      </w:tr>
      <w:tr>
        <w:tc>
          <w:tcPr>
            <w:tcW w:type="dxa" w:w="2400"/>
            <w:tcMar>
              <w:top w:type="dxa" w:w="80"/>
              <w:left w:type="dxa" w:w="100"/>
              <w:bottom w:type="dxa" w:w="80"/>
              <w:right w:type="dxa" w:w="100"/>
            </w:tcMar>
          </w:tcPr>
          <w:p>
            <w:r>
              <w:t xml:space="preserve">Scheduler / Notifier</w:t>
            </w:r>
          </w:p>
        </w:tc>
        <w:tc>
          <w:tcPr>
            <w:tcW w:type="dxa" w:w="2600"/>
            <w:tcMar>
              <w:top w:type="dxa" w:w="80"/>
              <w:left w:type="dxa" w:w="100"/>
              <w:bottom w:type="dxa" w:w="80"/>
              <w:right w:type="dxa" w:w="100"/>
            </w:tcMar>
          </w:tcPr>
          <w:p>
            <w:r>
              <w:t xml:space="preserve">notifier.py</w:t>
            </w:r>
          </w:p>
        </w:tc>
        <w:tc>
          <w:tcPr>
            <w:tcW w:type="dxa" w:w="4500"/>
            <w:tcMar>
              <w:top w:type="dxa" w:w="80"/>
              <w:left w:type="dxa" w:w="100"/>
              <w:bottom w:type="dxa" w:w="80"/>
              <w:right w:type="dxa" w:w="100"/>
            </w:tcMar>
          </w:tcPr>
          <w:p>
            <w:r>
              <w:t xml:space="preserve">Polls upcoming deadlines and fires OS notifications via plyer at the right lead time.</w:t>
            </w:r>
          </w:p>
        </w:tc>
      </w:tr>
      <w:tr>
        <w:tc>
          <w:tcPr>
            <w:tcW w:type="dxa" w:w="2400"/>
            <w:shd w:fill="F2F2F2" w:val="clear"/>
            <w:tcMar>
              <w:top w:type="dxa" w:w="80"/>
              <w:left w:type="dxa" w:w="100"/>
              <w:bottom w:type="dxa" w:w="80"/>
              <w:right w:type="dxa" w:w="100"/>
            </w:tcMar>
          </w:tcPr>
          <w:p>
            <w:r>
              <w:t xml:space="preserve">Dashboard</w:t>
            </w:r>
          </w:p>
        </w:tc>
        <w:tc>
          <w:tcPr>
            <w:tcW w:type="dxa" w:w="2600"/>
            <w:shd w:fill="F2F2F2" w:val="clear"/>
            <w:tcMar>
              <w:top w:type="dxa" w:w="80"/>
              <w:left w:type="dxa" w:w="100"/>
              <w:bottom w:type="dxa" w:w="80"/>
              <w:right w:type="dxa" w:w="100"/>
            </w:tcMar>
          </w:tcPr>
          <w:p>
            <w:r>
              <w:t xml:space="preserve">dashboard.py</w:t>
            </w:r>
          </w:p>
        </w:tc>
        <w:tc>
          <w:tcPr>
            <w:tcW w:type="dxa" w:w="4500"/>
            <w:shd w:fill="F2F2F2" w:val="clear"/>
            <w:tcMar>
              <w:top w:type="dxa" w:w="80"/>
              <w:left w:type="dxa" w:w="100"/>
              <w:bottom w:type="dxa" w:w="80"/>
              <w:right w:type="dxa" w:w="100"/>
            </w:tcMar>
          </w:tcPr>
          <w:p>
            <w:r>
              <w:t xml:space="preserve">Streamlit app; visualizes deadlines (calendar/agenda) and proficiency-by-topic.</w:t>
            </w:r>
          </w:p>
        </w:tc>
      </w:tr>
      <w:tr>
        <w:tc>
          <w:tcPr>
            <w:tcW w:type="dxa" w:w="2400"/>
            <w:tcMar>
              <w:top w:type="dxa" w:w="80"/>
              <w:left w:type="dxa" w:w="100"/>
              <w:bottom w:type="dxa" w:w="80"/>
              <w:right w:type="dxa" w:w="100"/>
            </w:tcMar>
          </w:tcPr>
          <w:p>
            <w:r>
              <w:t xml:space="preserve">LLM Backend</w:t>
            </w:r>
          </w:p>
        </w:tc>
        <w:tc>
          <w:tcPr>
            <w:tcW w:type="dxa" w:w="2600"/>
            <w:tcMar>
              <w:top w:type="dxa" w:w="80"/>
              <w:left w:type="dxa" w:w="100"/>
              <w:bottom w:type="dxa" w:w="80"/>
              <w:right w:type="dxa" w:w="100"/>
            </w:tcMar>
          </w:tcPr>
          <w:p>
            <w:r>
              <w:t xml:space="preserve">Ollama (external process)</w:t>
            </w:r>
          </w:p>
        </w:tc>
        <w:tc>
          <w:tcPr>
            <w:tcW w:type="dxa" w:w="4500"/>
            <w:tcMar>
              <w:top w:type="dxa" w:w="80"/>
              <w:left w:type="dxa" w:w="100"/>
              <w:bottom w:type="dxa" w:w="80"/>
              <w:right w:type="dxa" w:w="100"/>
            </w:tcMar>
          </w:tcPr>
          <w:p>
            <w:r>
              <w:t xml:space="preserve">Serves chat completions and question generation to agent.py and assess.py.</w:t>
            </w:r>
          </w:p>
        </w:tc>
      </w:tr>
    </w:tbl>
    <w:p>
      <w:pPr>
        <w:spacing w:after="120"/>
      </w:pPr>
      <w:r>
        <w:rPr>
          <w:b/>
          <w:bCs/>
        </w:rPr>
        <w:t xml:space="preserve">Layered view, top to bottom:</w:t>
      </w:r>
    </w:p>
    <w:p>
      <w:pPr>
        <w:pStyle w:val="ListParagraph"/>
        <w:numPr>
          <w:ilvl w:val="0"/>
          <w:numId w:val="1"/>
        </w:numPr>
        <w:spacing w:after="60"/>
      </w:pPr>
      <w:r>
        <w:t xml:space="preserve">Presentation layer — CLI (agent.py) and Streamlit dashboard (dashboard.py).</w:t>
      </w:r>
    </w:p>
    <w:p>
      <w:pPr>
        <w:pStyle w:val="ListParagraph"/>
        <w:numPr>
          <w:ilvl w:val="0"/>
          <w:numId w:val="1"/>
        </w:numPr>
        <w:spacing w:after="60"/>
      </w:pPr>
      <w:r>
        <w:t xml:space="preserve">Logic layer — assess.py (calibration) and notifier.py (scheduling).</w:t>
      </w:r>
    </w:p>
    <w:p>
      <w:pPr>
        <w:pStyle w:val="ListParagraph"/>
        <w:numPr>
          <w:ilvl w:val="0"/>
          <w:numId w:val="1"/>
        </w:numPr>
        <w:spacing w:after="60"/>
      </w:pPr>
      <w:r>
        <w:t xml:space="preserve">Data layer — db.py over SQLite, and the knowledge_vault/ file tree.</w:t>
      </w:r>
    </w:p>
    <w:p>
      <w:pPr>
        <w:pStyle w:val="ListParagraph"/>
        <w:numPr>
          <w:ilvl w:val="0"/>
          <w:numId w:val="1"/>
        </w:numPr>
        <w:spacing w:after="60"/>
      </w:pPr>
      <w:r>
        <w:t xml:space="preserve">External layer — the local Ollama model server.</w:t>
      </w:r>
    </w:p>
    <w:p>
      <w:pPr>
        <w:pStyle w:val="Heading1"/>
        <w:spacing w:after="150" w:before="300"/>
      </w:pPr>
      <w:r>
        <w:t xml:space="preserve">4. Data Design</w:t>
      </w:r>
    </w:p>
    <w:p>
      <w:pPr>
        <w:pStyle w:val="Heading2"/>
        <w:spacing w:after="120" w:before="240"/>
      </w:pPr>
      <w:r>
        <w:t xml:space="preserve">4.1 Vault Directory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4E79" w:val="clear"/>
            <w:tcMar>
              <w:top w:type="dxa" w:w="80"/>
              <w:left w:type="dxa" w:w="100"/>
              <w:bottom w:type="dxa" w:w="80"/>
              <w:right w:type="dxa" w:w="100"/>
            </w:tcMar>
          </w:tcPr>
          <w:p>
            <w:r>
              <w:rPr>
                <w:b/>
                <w:bCs/>
                <w:color w:val="FFFFFF"/>
              </w:rPr>
              <w:t xml:space="preserve">Path</w:t>
            </w:r>
          </w:p>
        </w:tc>
        <w:tc>
          <w:tcPr>
            <w:tcW w:type="dxa" w:w="5900"/>
            <w:shd w:fill="1F4E79" w:val="clear"/>
            <w:tcMar>
              <w:top w:type="dxa" w:w="80"/>
              <w:left w:type="dxa" w:w="100"/>
              <w:bottom w:type="dxa" w:w="80"/>
              <w:right w:type="dxa" w:w="100"/>
            </w:tcMar>
          </w:tcPr>
          <w:p>
            <w:r>
              <w:rPr>
                <w:b/>
                <w:bCs/>
                <w:color w:val="FFFFFF"/>
              </w:rPr>
              <w:t xml:space="preserve">Purpose</w:t>
            </w:r>
          </w:p>
        </w:tc>
      </w:tr>
      <w:tr>
        <w:tc>
          <w:tcPr>
            <w:tcW w:type="dxa" w:w="3600"/>
            <w:tcMar>
              <w:top w:type="dxa" w:w="80"/>
              <w:left w:type="dxa" w:w="100"/>
              <w:bottom w:type="dxa" w:w="80"/>
              <w:right w:type="dxa" w:w="100"/>
            </w:tcMar>
          </w:tcPr>
          <w:p>
            <w:r>
              <w:t xml:space="preserve">knowledge_vault/Personal/</w:t>
            </w:r>
          </w:p>
        </w:tc>
        <w:tc>
          <w:tcPr>
            <w:tcW w:type="dxa" w:w="5900"/>
            <w:tcMar>
              <w:top w:type="dxa" w:w="80"/>
              <w:left w:type="dxa" w:w="100"/>
              <w:bottom w:type="dxa" w:w="80"/>
              <w:right w:type="dxa" w:w="100"/>
            </w:tcMar>
          </w:tcPr>
          <w:p>
            <w:r>
              <w:t xml:space="preserve">Resume, LinkedIn/GitHub links, certificates, profile.md (self-summary read at launch).</w:t>
            </w:r>
          </w:p>
        </w:tc>
      </w:tr>
      <w:tr>
        <w:tc>
          <w:tcPr>
            <w:tcW w:type="dxa" w:w="3600"/>
            <w:shd w:fill="F2F2F2" w:val="clear"/>
            <w:tcMar>
              <w:top w:type="dxa" w:w="80"/>
              <w:left w:type="dxa" w:w="100"/>
              <w:bottom w:type="dxa" w:w="80"/>
              <w:right w:type="dxa" w:w="100"/>
            </w:tcMar>
          </w:tcPr>
          <w:p>
            <w:r>
              <w:t xml:space="preserve">knowledge_vault/Communication/</w:t>
            </w:r>
          </w:p>
        </w:tc>
        <w:tc>
          <w:tcPr>
            <w:tcW w:type="dxa" w:w="5900"/>
            <w:shd w:fill="F2F2F2" w:val="clear"/>
            <w:tcMar>
              <w:top w:type="dxa" w:w="80"/>
              <w:left w:type="dxa" w:w="100"/>
              <w:bottom w:type="dxa" w:w="80"/>
              <w:right w:type="dxa" w:w="100"/>
            </w:tcMar>
          </w:tcPr>
          <w:p>
            <w:r>
              <w:t xml:space="preserve">Group discussion notes, interview transcripts.</w:t>
            </w:r>
          </w:p>
        </w:tc>
      </w:tr>
      <w:tr>
        <w:tc>
          <w:tcPr>
            <w:tcW w:type="dxa" w:w="3600"/>
            <w:tcMar>
              <w:top w:type="dxa" w:w="80"/>
              <w:left w:type="dxa" w:w="100"/>
              <w:bottom w:type="dxa" w:w="80"/>
              <w:right w:type="dxa" w:w="100"/>
            </w:tcMar>
          </w:tcPr>
          <w:p>
            <w:r>
              <w:t xml:space="preserve">knowledge_vault/Aptitude/</w:t>
            </w:r>
          </w:p>
        </w:tc>
        <w:tc>
          <w:tcPr>
            <w:tcW w:type="dxa" w:w="5900"/>
            <w:tcMar>
              <w:top w:type="dxa" w:w="80"/>
              <w:left w:type="dxa" w:w="100"/>
              <w:bottom w:type="dxa" w:w="80"/>
              <w:right w:type="dxa" w:w="100"/>
            </w:tcMar>
          </w:tcPr>
          <w:p>
            <w:r>
              <w:t xml:space="preserve">Formulae sheets, puzzle collections.</w:t>
            </w:r>
          </w:p>
        </w:tc>
      </w:tr>
      <w:tr>
        <w:tc>
          <w:tcPr>
            <w:tcW w:type="dxa" w:w="3600"/>
            <w:shd w:fill="F2F2F2" w:val="clear"/>
            <w:tcMar>
              <w:top w:type="dxa" w:w="80"/>
              <w:left w:type="dxa" w:w="100"/>
              <w:bottom w:type="dxa" w:w="80"/>
              <w:right w:type="dxa" w:w="100"/>
            </w:tcMar>
          </w:tcPr>
          <w:p>
            <w:r>
              <w:t xml:space="preserve">knowledge_vault/Subjects/</w:t>
            </w:r>
          </w:p>
        </w:tc>
        <w:tc>
          <w:tcPr>
            <w:tcW w:type="dxa" w:w="5900"/>
            <w:shd w:fill="F2F2F2" w:val="clear"/>
            <w:tcMar>
              <w:top w:type="dxa" w:w="80"/>
              <w:left w:type="dxa" w:w="100"/>
              <w:bottom w:type="dxa" w:w="80"/>
              <w:right w:type="dxa" w:w="100"/>
            </w:tcMar>
          </w:tcPr>
          <w:p>
            <w:r>
              <w:t xml:space="preserve">Per-subject notes: Python, AI, OS, DBMS, etc. — these topic names double as the keys used in skill_levels.</w:t>
            </w:r>
          </w:p>
        </w:tc>
      </w:tr>
      <w:tr>
        <w:tc>
          <w:tcPr>
            <w:tcW w:type="dxa" w:w="3600"/>
            <w:tcMar>
              <w:top w:type="dxa" w:w="80"/>
              <w:left w:type="dxa" w:w="100"/>
              <w:bottom w:type="dxa" w:w="80"/>
              <w:right w:type="dxa" w:w="100"/>
            </w:tcMar>
          </w:tcPr>
          <w:p>
            <w:r>
              <w:t xml:space="preserve">knowledge_vault/Companies/{Company_Name}/</w:t>
            </w:r>
          </w:p>
        </w:tc>
        <w:tc>
          <w:tcPr>
            <w:tcW w:type="dxa" w:w="5900"/>
            <w:tcMar>
              <w:top w:type="dxa" w:w="80"/>
              <w:left w:type="dxa" w:w="100"/>
              <w:bottom w:type="dxa" w:w="80"/>
              <w:right w:type="dxa" w:w="100"/>
            </w:tcMar>
          </w:tcPr>
          <w:p>
            <w:r>
              <w:t xml:space="preserve">One folder per target company: JD, interview process notes, and a generated prep roadmap.</w:t>
            </w:r>
          </w:p>
        </w:tc>
      </w:tr>
    </w:tbl>
    <w:p>
      <w:pPr>
        <w:pStyle w:val="Heading2"/>
        <w:spacing w:after="120" w:before="240"/>
      </w:pPr>
      <w:r>
        <w:t xml:space="preserve">4.2 Database Schema (SQLite)</w:t>
      </w:r>
    </w:p>
    <w:p>
      <w:pPr>
        <w:spacing w:after="120"/>
      </w:pPr>
      <w:r>
        <w:rPr>
          <w:i/>
          <w:iCs/>
        </w:rPr>
        <w:t xml:space="preserve">skill_levels is specified explicitly in the request and is treated as confirmed. The other tables below (companies, deadlines) are inferred from context — e.g. the mention of "next_deadline data" implies some deadlines table — and should be reconciled with whatever db.py already contains.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rPr>
          <w:tblHeader/>
        </w:trPr>
        <w:tc>
          <w:tcPr>
            <w:tcW w:type="dxa" w:w="2400"/>
            <w:shd w:fill="1F4E79" w:val="clear"/>
            <w:tcMar>
              <w:top w:type="dxa" w:w="80"/>
              <w:left w:type="dxa" w:w="100"/>
              <w:bottom w:type="dxa" w:w="80"/>
              <w:right w:type="dxa" w:w="100"/>
            </w:tcMar>
          </w:tcPr>
          <w:p>
            <w:r>
              <w:rPr>
                <w:b/>
                <w:bCs/>
                <w:color w:val="FFFFFF"/>
              </w:rPr>
              <w:t xml:space="preserve">Table</w:t>
            </w:r>
          </w:p>
        </w:tc>
        <w:tc>
          <w:tcPr>
            <w:tcW w:type="dxa" w:w="3600"/>
            <w:shd w:fill="1F4E79" w:val="clear"/>
            <w:tcMar>
              <w:top w:type="dxa" w:w="80"/>
              <w:left w:type="dxa" w:w="100"/>
              <w:bottom w:type="dxa" w:w="80"/>
              <w:right w:type="dxa" w:w="100"/>
            </w:tcMar>
          </w:tcPr>
          <w:p>
            <w:r>
              <w:rPr>
                <w:b/>
                <w:bCs/>
                <w:color w:val="FFFFFF"/>
              </w:rPr>
              <w:t xml:space="preserve">Columns</w:t>
            </w:r>
          </w:p>
        </w:tc>
        <w:tc>
          <w:tcPr>
            <w:tcW w:type="dxa" w:w="3500"/>
            <w:shd w:fill="1F4E79" w:val="clear"/>
            <w:tcMar>
              <w:top w:type="dxa" w:w="80"/>
              <w:left w:type="dxa" w:w="100"/>
              <w:bottom w:type="dxa" w:w="80"/>
              <w:right w:type="dxa" w:w="100"/>
            </w:tcMar>
          </w:tcPr>
          <w:p>
            <w:r>
              <w:rPr>
                <w:b/>
                <w:bCs/>
                <w:color w:val="FFFFFF"/>
              </w:rPr>
              <w:t xml:space="preserve">Notes</w:t>
            </w:r>
          </w:p>
        </w:tc>
      </w:tr>
      <w:tr>
        <w:tc>
          <w:tcPr>
            <w:tcW w:type="dxa" w:w="2400"/>
            <w:tcMar>
              <w:top w:type="dxa" w:w="80"/>
              <w:left w:type="dxa" w:w="100"/>
              <w:bottom w:type="dxa" w:w="80"/>
              <w:right w:type="dxa" w:w="100"/>
            </w:tcMar>
          </w:tcPr>
          <w:p>
            <w:r>
              <w:t xml:space="preserve">skill_levels
(confirmed)</w:t>
            </w:r>
          </w:p>
        </w:tc>
        <w:tc>
          <w:tcPr>
            <w:tcW w:type="dxa" w:w="3600"/>
            <w:tcMar>
              <w:top w:type="dxa" w:w="80"/>
              <w:left w:type="dxa" w:w="100"/>
              <w:bottom w:type="dxa" w:w="80"/>
              <w:right w:type="dxa" w:w="100"/>
            </w:tcMar>
          </w:tcPr>
          <w:p>
            <w:r>
              <w:t xml:space="preserve">topic TEXT PRIMARY KEY
proficiency INTEGER DEFAULT 1
last_tested TEXT</w:t>
            </w:r>
          </w:p>
        </w:tc>
        <w:tc>
          <w:tcPr>
            <w:tcW w:type="dxa" w:w="3500"/>
            <w:tcMar>
              <w:top w:type="dxa" w:w="80"/>
              <w:left w:type="dxa" w:w="100"/>
              <w:bottom w:type="dxa" w:w="80"/>
              <w:right w:type="dxa" w:w="100"/>
            </w:tcMar>
          </w:tcPr>
          <w:p>
            <w:r>
              <w:t xml:space="preserve">One row per Subjects/ topic. proficiency is 1–5. Updated by assess.py after every test.</w:t>
            </w:r>
          </w:p>
        </w:tc>
      </w:tr>
      <w:tr>
        <w:tc>
          <w:tcPr>
            <w:tcW w:type="dxa" w:w="2400"/>
            <w:shd w:fill="F2F2F2" w:val="clear"/>
            <w:tcMar>
              <w:top w:type="dxa" w:w="80"/>
              <w:left w:type="dxa" w:w="100"/>
              <w:bottom w:type="dxa" w:w="80"/>
              <w:right w:type="dxa" w:w="100"/>
            </w:tcMar>
          </w:tcPr>
          <w:p>
            <w:r>
              <w:t xml:space="preserve">companies
(assumed existing)</w:t>
            </w:r>
          </w:p>
        </w:tc>
        <w:tc>
          <w:tcPr>
            <w:tcW w:type="dxa" w:w="3600"/>
            <w:shd w:fill="F2F2F2" w:val="clear"/>
            <w:tcMar>
              <w:top w:type="dxa" w:w="80"/>
              <w:left w:type="dxa" w:w="100"/>
              <w:bottom w:type="dxa" w:w="80"/>
              <w:right w:type="dxa" w:w="100"/>
            </w:tcMar>
          </w:tcPr>
          <w:p>
            <w:r>
              <w:t xml:space="preserve">name TEXT PRIMARY KEY
jd_path TEXT
roadmap_path TEXT
status TEXT</w:t>
            </w:r>
          </w:p>
        </w:tc>
        <w:tc>
          <w:tcPr>
            <w:tcW w:type="dxa" w:w="3500"/>
            <w:shd w:fill="F2F2F2" w:val="clear"/>
            <w:tcMar>
              <w:top w:type="dxa" w:w="80"/>
              <w:left w:type="dxa" w:w="100"/>
              <w:bottom w:type="dxa" w:w="80"/>
              <w:right w:type="dxa" w:w="100"/>
            </w:tcMar>
          </w:tcPr>
          <w:p>
            <w:r>
              <w:t xml:space="preserve">Mirrors a Companies/{Company_Name}/ folder; status could be e.g. researching/applied/interviewing.</w:t>
            </w:r>
          </w:p>
        </w:tc>
      </w:tr>
      <w:tr>
        <w:tc>
          <w:tcPr>
            <w:tcW w:type="dxa" w:w="2400"/>
            <w:tcMar>
              <w:top w:type="dxa" w:w="80"/>
              <w:left w:type="dxa" w:w="100"/>
              <w:bottom w:type="dxa" w:w="80"/>
              <w:right w:type="dxa" w:w="100"/>
            </w:tcMar>
          </w:tcPr>
          <w:p>
            <w:r>
              <w:t xml:space="preserve">deadlines
(assumed existing, holds next_deadline)</w:t>
            </w:r>
          </w:p>
        </w:tc>
        <w:tc>
          <w:tcPr>
            <w:tcW w:type="dxa" w:w="3600"/>
            <w:tcMar>
              <w:top w:type="dxa" w:w="80"/>
              <w:left w:type="dxa" w:w="100"/>
              <w:bottom w:type="dxa" w:w="80"/>
              <w:right w:type="dxa" w:w="100"/>
            </w:tcMar>
          </w:tcPr>
          <w:p>
            <w:r>
              <w:t xml:space="preserve">id INTEGER PRIMARY KEY
company TEXT
title TEXT
due_at TEXT
notified INTEGER DEFAULT 0</w:t>
            </w:r>
          </w:p>
        </w:tc>
        <w:tc>
          <w:tcPr>
            <w:tcW w:type="dxa" w:w="3500"/>
            <w:tcMar>
              <w:top w:type="dxa" w:w="80"/>
              <w:left w:type="dxa" w:w="100"/>
              <w:bottom w:type="dxa" w:w="80"/>
              <w:right w:type="dxa" w:w="100"/>
            </w:tcMar>
          </w:tcPr>
          <w:p>
            <w:r>
              <w:t xml:space="preserve">due_at is an ISO timestamp; notified flags whether the notifier has already fired for this row.</w:t>
            </w:r>
          </w:p>
        </w:tc>
      </w:tr>
    </w:tbl>
    <w:p>
      <w:pPr>
        <w:pStyle w:val="Heading1"/>
        <w:spacing w:after="150" w:before="300"/>
      </w:pPr>
      <w:r>
        <w:t xml:space="preserve">5. Module Design</w:t>
      </w:r>
    </w:p>
    <w:p>
      <w:pPr>
        <w:pStyle w:val="Heading2"/>
        <w:spacing w:after="120" w:before="240"/>
      </w:pPr>
      <w:r>
        <w:t xml:space="preserve">5.1 db.py</w:t>
      </w:r>
    </w:p>
    <w:p>
      <w:pPr>
        <w:pStyle w:val="ListParagraph"/>
        <w:numPr>
          <w:ilvl w:val="0"/>
          <w:numId w:val="1"/>
        </w:numPr>
        <w:spacing w:after="60"/>
      </w:pPr>
      <w:r>
        <w:t xml:space="preserve">init(conn) — creates all tables (including skill_levels) if not present; safe to call on every startup.</w:t>
      </w:r>
    </w:p>
    <w:p>
      <w:pPr>
        <w:pStyle w:val="ListParagraph"/>
        <w:numPr>
          <w:ilvl w:val="0"/>
          <w:numId w:val="1"/>
        </w:numPr>
        <w:spacing w:after="60"/>
      </w:pPr>
      <w:r>
        <w:t xml:space="preserve">get_connection() — returns a single shared sqlite3 connection for the process.</w:t>
      </w:r>
    </w:p>
    <w:p>
      <w:pPr>
        <w:pStyle w:val="ListParagraph"/>
        <w:numPr>
          <w:ilvl w:val="0"/>
          <w:numId w:val="1"/>
        </w:numPr>
        <w:spacing w:after="60"/>
      </w:pPr>
      <w:r>
        <w:t xml:space="preserve">update_skill(topic, correct: bool) — adjusts proficiency up/down within the 1–5 bound and stamps last_tested.</w:t>
      </w:r>
    </w:p>
    <w:p>
      <w:pPr>
        <w:pStyle w:val="ListParagraph"/>
        <w:numPr>
          <w:ilvl w:val="0"/>
          <w:numId w:val="1"/>
        </w:numPr>
        <w:spacing w:after="60"/>
      </w:pPr>
      <w:r>
        <w:t xml:space="preserve">upsert_deadline(company, title, due_at) / get_upcoming_deadlines(window) — CRUD used by the dashboard and notifier.</w:t>
      </w:r>
    </w:p>
    <w:p>
      <w:pPr>
        <w:pStyle w:val="Heading2"/>
        <w:spacing w:after="120" w:before="240"/>
      </w:pPr>
      <w:r>
        <w:t xml:space="preserve">5.2 assess.py</w:t>
      </w:r>
    </w:p>
    <w:p>
      <w:pPr>
        <w:pStyle w:val="ListParagraph"/>
        <w:numPr>
          <w:ilvl w:val="0"/>
          <w:numId w:val="1"/>
        </w:numPr>
        <w:spacing w:after="60"/>
      </w:pPr>
      <w:r>
        <w:t xml:space="preserve">run_baseline_test() — asks 10 questions across topics on first run and seeds skill_levels.</w:t>
      </w:r>
    </w:p>
    <w:p>
      <w:pPr>
        <w:pStyle w:val="ListParagraph"/>
        <w:numPr>
          <w:ilvl w:val="0"/>
          <w:numId w:val="1"/>
        </w:numPr>
        <w:spacing w:after="60"/>
      </w:pPr>
      <w:r>
        <w:t xml:space="preserve">get_daily_diagnostic(topic) — builds a proficiency-aware prompt and sends it to Ollama for a single question.</w:t>
      </w:r>
    </w:p>
    <w:p>
      <w:pPr>
        <w:pStyle w:val="ListParagraph"/>
        <w:numPr>
          <w:ilvl w:val="0"/>
          <w:numId w:val="1"/>
        </w:numPr>
        <w:spacing w:after="60"/>
      </w:pPr>
      <w:r>
        <w:t xml:space="preserve">calibrate(topic, correct) — thin wrapper around db.update_skill(), called after every answered question.</w:t>
      </w:r>
    </w:p>
    <w:p>
      <w:pPr>
        <w:pStyle w:val="ListParagraph"/>
        <w:numPr>
          <w:ilvl w:val="0"/>
          <w:numId w:val="1"/>
        </w:numPr>
        <w:spacing w:after="60"/>
      </w:pPr>
      <w:r>
        <w:t xml:space="preserve">pick_next_topic() — chooses which topic to quiz next; default strategy is lowest-proficiency-first.</w:t>
      </w:r>
    </w:p>
    <w:p>
      <w:pPr>
        <w:pStyle w:val="ListParagraph"/>
        <w:numPr>
          <w:ilvl w:val="0"/>
          <w:numId w:val="1"/>
        </w:numPr>
        <w:spacing w:after="60"/>
      </w:pPr>
      <w:r>
        <w:t xml:space="preserve">refresh_roadmap(company) — regenerates that company's roadmap file when a relevant proficiency score changes (FR-9).</w:t>
      </w:r>
    </w:p>
    <w:p>
      <w:pPr>
        <w:pStyle w:val="Heading2"/>
        <w:spacing w:after="120" w:before="240"/>
      </w:pPr>
      <w:r>
        <w:t xml:space="preserve">5.3 agent.py</w:t>
      </w:r>
    </w:p>
    <w:p>
      <w:pPr>
        <w:pStyle w:val="ListParagraph"/>
        <w:numPr>
          <w:ilvl w:val="0"/>
          <w:numId w:val="1"/>
        </w:numPr>
        <w:spacing w:after="60"/>
      </w:pPr>
      <w:r>
        <w:t xml:space="preserve">main() — CLI loop: load Personal/profile.md, greet, dispatch user input either to free-form chat (Ollama) or to assess.py/db.py commands.</w:t>
      </w:r>
    </w:p>
    <w:p>
      <w:pPr>
        <w:pStyle w:val="ListParagraph"/>
        <w:numPr>
          <w:ilvl w:val="0"/>
          <w:numId w:val="1"/>
        </w:numPr>
        <w:spacing w:after="60"/>
      </w:pPr>
      <w:r>
        <w:t xml:space="preserve">load_profile() — reads and summarizes Personal/profile.md as system context for the LLM.</w:t>
      </w:r>
    </w:p>
    <w:p>
      <w:pPr>
        <w:pStyle w:val="Heading2"/>
        <w:spacing w:after="120" w:before="240"/>
      </w:pPr>
      <w:r>
        <w:t xml:space="preserve">5.4 dashboard.py (Streamlit)</w:t>
      </w:r>
    </w:p>
    <w:p>
      <w:pPr>
        <w:pStyle w:val="ListParagraph"/>
        <w:numPr>
          <w:ilvl w:val="0"/>
          <w:numId w:val="1"/>
        </w:numPr>
        <w:spacing w:after="60"/>
      </w:pPr>
      <w:r>
        <w:t xml:space="preserve">Reads deadlines and skill_levels via db.py and renders a calendar/agenda view plus a proficiency-by-topic chart.</w:t>
      </w:r>
    </w:p>
    <w:p>
      <w:pPr>
        <w:pStyle w:val="ListParagraph"/>
        <w:numPr>
          <w:ilvl w:val="0"/>
          <w:numId w:val="1"/>
        </w:numPr>
        <w:spacing w:after="60"/>
      </w:pPr>
      <w:r>
        <w:t xml:space="preserve">Read-only by design — all writes still go through agent.py/assess.py to keep a single write path.</w:t>
      </w:r>
    </w:p>
    <w:p>
      <w:pPr>
        <w:pStyle w:val="Heading2"/>
        <w:spacing w:after="120" w:before="240"/>
      </w:pPr>
      <w:r>
        <w:t xml:space="preserve">5.5 notifier.py</w:t>
      </w:r>
    </w:p>
    <w:p>
      <w:pPr>
        <w:pStyle w:val="ListParagraph"/>
        <w:numPr>
          <w:ilvl w:val="0"/>
          <w:numId w:val="1"/>
        </w:numPr>
        <w:spacing w:after="60"/>
      </w:pPr>
      <w:r>
        <w:t xml:space="preserve">On each run, queries db.get_upcoming_deadlines(window) and calls plyer.notification.notify() for any row inside the configured lead time that hasn't already fired.</w:t>
      </w:r>
    </w:p>
    <w:p>
      <w:pPr>
        <w:pStyle w:val="ListParagraph"/>
        <w:numPr>
          <w:ilvl w:val="0"/>
          <w:numId w:val="1"/>
        </w:numPr>
        <w:spacing w:after="60"/>
      </w:pPr>
      <w:r>
        <w:t xml:space="preserve">Design gap: plyer only displays a notification when called — it does not itself schedule anything. Something has to invoke notifier.py at the right cadence. Two practical options: (a) a Windows Task Scheduler entry running notifier.py every few minutes, or (b) an in-process scheduler such as APScheduler running inside a long-lived background thread. Either is consistent with the offline/local-only constraint; this SDD recommends (a) for simplicity in a personal project.</w:t>
      </w:r>
    </w:p>
    <w:p>
      <w:pPr>
        <w:pStyle w:val="Heading1"/>
        <w:spacing w:after="150" w:before="300"/>
      </w:pPr>
      <w:r>
        <w:t xml:space="preserve">6. Key Process Flows</w:t>
      </w:r>
    </w:p>
    <w:p>
      <w:pPr>
        <w:pStyle w:val="Heading2"/>
        <w:spacing w:after="120" w:before="240"/>
      </w:pPr>
      <w:r>
        <w:t xml:space="preserve">6.1 First-Run Baseline Test</w:t>
      </w:r>
    </w:p>
    <w:p>
      <w:pPr>
        <w:pStyle w:val="ListParagraph"/>
        <w:numPr>
          <w:ilvl w:val="0"/>
          <w:numId w:val="2"/>
        </w:numPr>
        <w:spacing w:after="60"/>
      </w:pPr>
      <w:r>
        <w:t xml:space="preserve">agent.py detects skill_levels is empty and calls assess.run_baseline_test().</w:t>
      </w:r>
    </w:p>
    <w:p>
      <w:pPr>
        <w:pStyle w:val="ListParagraph"/>
        <w:numPr>
          <w:ilvl w:val="0"/>
          <w:numId w:val="2"/>
        </w:numPr>
        <w:spacing w:after="60"/>
      </w:pPr>
      <w:r>
        <w:t xml:space="preserve">assess.py asks 10 questions spanning Subjects/ topics via Ollama.</w:t>
      </w:r>
    </w:p>
    <w:p>
      <w:pPr>
        <w:pStyle w:val="ListParagraph"/>
        <w:numPr>
          <w:ilvl w:val="0"/>
          <w:numId w:val="2"/>
        </w:numPr>
        <w:spacing w:after="60"/>
      </w:pPr>
      <w:r>
        <w:t xml:space="preserve">Each answer is scored and passed to db.update_skill().</w:t>
      </w:r>
    </w:p>
    <w:p>
      <w:pPr>
        <w:pStyle w:val="ListParagraph"/>
        <w:numPr>
          <w:ilvl w:val="0"/>
          <w:numId w:val="2"/>
        </w:numPr>
        <w:spacing w:after="60"/>
      </w:pPr>
      <w:r>
        <w:t xml:space="preserve">skill_levels is now seeded; assess.refresh_roadmap() runs for any active company.</w:t>
      </w:r>
    </w:p>
    <w:p>
      <w:pPr>
        <w:pStyle w:val="Heading2"/>
        <w:spacing w:after="120" w:before="240"/>
      </w:pPr>
      <w:r>
        <w:t xml:space="preserve">6.2 Daily Diagnostic</w:t>
      </w:r>
    </w:p>
    <w:p>
      <w:pPr>
        <w:pStyle w:val="ListParagraph"/>
        <w:numPr>
          <w:ilvl w:val="0"/>
          <w:numId w:val="2"/>
        </w:numPr>
        <w:spacing w:after="60"/>
      </w:pPr>
      <w:r>
        <w:t xml:space="preserve">agent.py (or a scheduled trigger) calls assess.pick_next_topic().</w:t>
      </w:r>
    </w:p>
    <w:p>
      <w:pPr>
        <w:pStyle w:val="ListParagraph"/>
        <w:numPr>
          <w:ilvl w:val="0"/>
          <w:numId w:val="2"/>
        </w:numPr>
        <w:spacing w:after="60"/>
      </w:pPr>
      <w:r>
        <w:t xml:space="preserve">assess.get_daily_diagnostic(topic) builds a proficiency-aware prompt and queries Ollama for one question.</w:t>
      </w:r>
    </w:p>
    <w:p>
      <w:pPr>
        <w:pStyle w:val="ListParagraph"/>
        <w:numPr>
          <w:ilvl w:val="0"/>
          <w:numId w:val="2"/>
        </w:numPr>
        <w:spacing w:after="60"/>
      </w:pPr>
      <w:r>
        <w:t xml:space="preserve">The user answers; assess.calibrate(topic, correct) updates skill_levels.</w:t>
      </w:r>
    </w:p>
    <w:p>
      <w:pPr>
        <w:pStyle w:val="ListParagraph"/>
        <w:numPr>
          <w:ilvl w:val="0"/>
          <w:numId w:val="2"/>
        </w:numPr>
        <w:spacing w:after="60"/>
      </w:pPr>
      <w:r>
        <w:t xml:space="preserve">If proficiency changed, assess.refresh_roadmap() updates the relevant Companies/*/roadmap file.</w:t>
      </w:r>
    </w:p>
    <w:p>
      <w:pPr>
        <w:pStyle w:val="Heading2"/>
        <w:spacing w:after="120" w:before="240"/>
      </w:pPr>
      <w:r>
        <w:t xml:space="preserve">6.3 Deadline Reminder</w:t>
      </w:r>
    </w:p>
    <w:p>
      <w:pPr>
        <w:pStyle w:val="ListParagraph"/>
        <w:numPr>
          <w:ilvl w:val="0"/>
          <w:numId w:val="2"/>
        </w:numPr>
        <w:spacing w:after="60"/>
      </w:pPr>
      <w:r>
        <w:t xml:space="preserve">A deadline row is created via agent.py (e.g. "interview with X on date/time").</w:t>
      </w:r>
    </w:p>
    <w:p>
      <w:pPr>
        <w:pStyle w:val="ListParagraph"/>
        <w:numPr>
          <w:ilvl w:val="0"/>
          <w:numId w:val="2"/>
        </w:numPr>
        <w:spacing w:after="60"/>
      </w:pPr>
      <w:r>
        <w:t xml:space="preserve">notifier.py, invoked on its schedule, calls db.get_upcoming_deadlines() and finds rows due within the lead time.</w:t>
      </w:r>
    </w:p>
    <w:p>
      <w:pPr>
        <w:pStyle w:val="ListParagraph"/>
        <w:numPr>
          <w:ilvl w:val="0"/>
          <w:numId w:val="2"/>
        </w:numPr>
        <w:spacing w:after="60"/>
      </w:pPr>
      <w:r>
        <w:t xml:space="preserve">plyer.notification.notify() fires a native OS toast; the row is marked notified = 1.</w:t>
      </w:r>
    </w:p>
    <w:p>
      <w:pPr>
        <w:pStyle w:val="ListParagraph"/>
        <w:numPr>
          <w:ilvl w:val="0"/>
          <w:numId w:val="2"/>
        </w:numPr>
        <w:spacing w:after="60"/>
      </w:pPr>
      <w:r>
        <w:t xml:space="preserve">dashboard.py independently reflects the same row on its calendar view whenever it is opened.</w:t>
      </w:r>
    </w:p>
    <w:p>
      <w:pPr>
        <w:pStyle w:val="Heading1"/>
        <w:spacing w:after="150" w:before="300"/>
      </w:pPr>
      <w:r>
        <w:t xml:space="preserve">7.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00"/>
      </w:tblGrid>
      <w:tr>
        <w:trPr>
          <w:tblHeader/>
        </w:trPr>
        <w:tc>
          <w:tcPr>
            <w:tcW w:type="dxa" w:w="2400"/>
            <w:shd w:fill="1F4E79" w:val="clear"/>
            <w:tcMar>
              <w:top w:type="dxa" w:w="80"/>
              <w:left w:type="dxa" w:w="100"/>
              <w:bottom w:type="dxa" w:w="80"/>
              <w:right w:type="dxa" w:w="100"/>
            </w:tcMar>
          </w:tcPr>
          <w:p>
            <w:r>
              <w:rPr>
                <w:b/>
                <w:bCs/>
                <w:color w:val="FFFFFF"/>
              </w:rPr>
              <w:t xml:space="preserve">Layer</w:t>
            </w:r>
          </w:p>
        </w:tc>
        <w:tc>
          <w:tcPr>
            <w:tcW w:type="dxa" w:w="3400"/>
            <w:shd w:fill="1F4E79" w:val="clear"/>
            <w:tcMar>
              <w:top w:type="dxa" w:w="80"/>
              <w:left w:type="dxa" w:w="100"/>
              <w:bottom w:type="dxa" w:w="80"/>
              <w:right w:type="dxa" w:w="100"/>
            </w:tcMar>
          </w:tcPr>
          <w:p>
            <w:r>
              <w:rPr>
                <w:b/>
                <w:bCs/>
                <w:color w:val="FFFFFF"/>
              </w:rPr>
              <w:t xml:space="preserve">Technology</w:t>
            </w:r>
          </w:p>
        </w:tc>
        <w:tc>
          <w:tcPr>
            <w:tcW w:type="dxa" w:w="3700"/>
            <w:shd w:fill="1F4E79" w:val="clear"/>
            <w:tcMar>
              <w:top w:type="dxa" w:w="80"/>
              <w:left w:type="dxa" w:w="100"/>
              <w:bottom w:type="dxa" w:w="80"/>
              <w:right w:type="dxa" w:w="100"/>
            </w:tcMar>
          </w:tcPr>
          <w:p>
            <w:r>
              <w:rPr>
                <w:b/>
                <w:bCs/>
                <w:color w:val="FFFFFF"/>
              </w:rPr>
              <w:t xml:space="preserve">Notes</w:t>
            </w:r>
          </w:p>
        </w:tc>
      </w:tr>
      <w:tr>
        <w:tc>
          <w:tcPr>
            <w:tcW w:type="dxa" w:w="2400"/>
            <w:tcMar>
              <w:top w:type="dxa" w:w="80"/>
              <w:left w:type="dxa" w:w="100"/>
              <w:bottom w:type="dxa" w:w="80"/>
              <w:right w:type="dxa" w:w="100"/>
            </w:tcMar>
          </w:tcPr>
          <w:p>
            <w:r>
              <w:t xml:space="preserve">Language/runtime</w:t>
            </w:r>
          </w:p>
        </w:tc>
        <w:tc>
          <w:tcPr>
            <w:tcW w:type="dxa" w:w="3400"/>
            <w:tcMar>
              <w:top w:type="dxa" w:w="80"/>
              <w:left w:type="dxa" w:w="100"/>
              <w:bottom w:type="dxa" w:w="80"/>
              <w:right w:type="dxa" w:w="100"/>
            </w:tcMar>
          </w:tcPr>
          <w:p>
            <w:r>
              <w:t xml:space="preserve">Python 3.x</w:t>
            </w:r>
          </w:p>
        </w:tc>
        <w:tc>
          <w:tcPr>
            <w:tcW w:type="dxa" w:w="3700"/>
            <w:tcMar>
              <w:top w:type="dxa" w:w="80"/>
              <w:left w:type="dxa" w:w="100"/>
              <w:bottom w:type="dxa" w:w="80"/>
              <w:right w:type="dxa" w:w="100"/>
            </w:tcMar>
          </w:tcPr>
          <w:p>
            <w:r>
              <w:t xml:space="preserve">Single shared virtual environment.</w:t>
            </w:r>
          </w:p>
        </w:tc>
      </w:tr>
      <w:tr>
        <w:tc>
          <w:tcPr>
            <w:tcW w:type="dxa" w:w="2400"/>
            <w:shd w:fill="F2F2F2" w:val="clear"/>
            <w:tcMar>
              <w:top w:type="dxa" w:w="80"/>
              <w:left w:type="dxa" w:w="100"/>
              <w:bottom w:type="dxa" w:w="80"/>
              <w:right w:type="dxa" w:w="100"/>
            </w:tcMar>
          </w:tcPr>
          <w:p>
            <w:r>
              <w:t xml:space="preserve">LLM</w:t>
            </w:r>
          </w:p>
        </w:tc>
        <w:tc>
          <w:tcPr>
            <w:tcW w:type="dxa" w:w="3400"/>
            <w:shd w:fill="F2F2F2" w:val="clear"/>
            <w:tcMar>
              <w:top w:type="dxa" w:w="80"/>
              <w:left w:type="dxa" w:w="100"/>
              <w:bottom w:type="dxa" w:w="80"/>
              <w:right w:type="dxa" w:w="100"/>
            </w:tcMar>
          </w:tcPr>
          <w:p>
            <w:r>
              <w:t xml:space="preserve">Ollama (local)</w:t>
            </w:r>
          </w:p>
        </w:tc>
        <w:tc>
          <w:tcPr>
            <w:tcW w:type="dxa" w:w="3700"/>
            <w:shd w:fill="F2F2F2" w:val="clear"/>
            <w:tcMar>
              <w:top w:type="dxa" w:w="80"/>
              <w:left w:type="dxa" w:w="100"/>
              <w:bottom w:type="dxa" w:w="80"/>
              <w:right w:type="dxa" w:w="100"/>
            </w:tcMar>
          </w:tcPr>
          <w:p>
            <w:r>
              <w:t xml:space="preserve">Any locally pulled model; no cloud calls.</w:t>
            </w:r>
          </w:p>
        </w:tc>
      </w:tr>
      <w:tr>
        <w:tc>
          <w:tcPr>
            <w:tcW w:type="dxa" w:w="2400"/>
            <w:tcMar>
              <w:top w:type="dxa" w:w="80"/>
              <w:left w:type="dxa" w:w="100"/>
              <w:bottom w:type="dxa" w:w="80"/>
              <w:right w:type="dxa" w:w="100"/>
            </w:tcMar>
          </w:tcPr>
          <w:p>
            <w:r>
              <w:t xml:space="preserve">Storage</w:t>
            </w:r>
          </w:p>
        </w:tc>
        <w:tc>
          <w:tcPr>
            <w:tcW w:type="dxa" w:w="3400"/>
            <w:tcMar>
              <w:top w:type="dxa" w:w="80"/>
              <w:left w:type="dxa" w:w="100"/>
              <w:bottom w:type="dxa" w:w="80"/>
              <w:right w:type="dxa" w:w="100"/>
            </w:tcMar>
          </w:tcPr>
          <w:p>
            <w:r>
              <w:t xml:space="preserve">SQLite (stdlib sqlite3)</w:t>
            </w:r>
          </w:p>
        </w:tc>
        <w:tc>
          <w:tcPr>
            <w:tcW w:type="dxa" w:w="3700"/>
            <w:tcMar>
              <w:top w:type="dxa" w:w="80"/>
              <w:left w:type="dxa" w:w="100"/>
              <w:bottom w:type="dxa" w:w="80"/>
              <w:right w:type="dxa" w:w="100"/>
            </w:tcMar>
          </w:tcPr>
          <w:p>
            <w:r>
              <w:t xml:space="preserve">One file, e.g. placement_agent.db.</w:t>
            </w:r>
          </w:p>
        </w:tc>
      </w:tr>
      <w:tr>
        <w:tc>
          <w:tcPr>
            <w:tcW w:type="dxa" w:w="2400"/>
            <w:shd w:fill="F2F2F2" w:val="clear"/>
            <w:tcMar>
              <w:top w:type="dxa" w:w="80"/>
              <w:left w:type="dxa" w:w="100"/>
              <w:bottom w:type="dxa" w:w="80"/>
              <w:right w:type="dxa" w:w="100"/>
            </w:tcMar>
          </w:tcPr>
          <w:p>
            <w:r>
              <w:t xml:space="preserve">Dashboard</w:t>
            </w:r>
          </w:p>
        </w:tc>
        <w:tc>
          <w:tcPr>
            <w:tcW w:type="dxa" w:w="3400"/>
            <w:shd w:fill="F2F2F2" w:val="clear"/>
            <w:tcMar>
              <w:top w:type="dxa" w:w="80"/>
              <w:left w:type="dxa" w:w="100"/>
              <w:bottom w:type="dxa" w:w="80"/>
              <w:right w:type="dxa" w:w="100"/>
            </w:tcMar>
          </w:tcPr>
          <w:p>
            <w:r>
              <w:t xml:space="preserve">Streamlit</w:t>
            </w:r>
          </w:p>
        </w:tc>
        <w:tc>
          <w:tcPr>
            <w:tcW w:type="dxa" w:w="3700"/>
            <w:shd w:fill="F2F2F2" w:val="clear"/>
            <w:tcMar>
              <w:top w:type="dxa" w:w="80"/>
              <w:left w:type="dxa" w:w="100"/>
              <w:bottom w:type="dxa" w:w="80"/>
              <w:right w:type="dxa" w:w="100"/>
            </w:tcMar>
          </w:tcPr>
          <w:p>
            <w:r>
              <w:t xml:space="preserve">Served locally, browser-based, read-only against the DB.</w:t>
            </w:r>
          </w:p>
        </w:tc>
      </w:tr>
      <w:tr>
        <w:tc>
          <w:tcPr>
            <w:tcW w:type="dxa" w:w="2400"/>
            <w:tcMar>
              <w:top w:type="dxa" w:w="80"/>
              <w:left w:type="dxa" w:w="100"/>
              <w:bottom w:type="dxa" w:w="80"/>
              <w:right w:type="dxa" w:w="100"/>
            </w:tcMar>
          </w:tcPr>
          <w:p>
            <w:r>
              <w:t xml:space="preserve">Notifications</w:t>
            </w:r>
          </w:p>
        </w:tc>
        <w:tc>
          <w:tcPr>
            <w:tcW w:type="dxa" w:w="3400"/>
            <w:tcMar>
              <w:top w:type="dxa" w:w="80"/>
              <w:left w:type="dxa" w:w="100"/>
              <w:bottom w:type="dxa" w:w="80"/>
              <w:right w:type="dxa" w:w="100"/>
            </w:tcMar>
          </w:tcPr>
          <w:p>
            <w:r>
              <w:t xml:space="preserve">plyer</w:t>
            </w:r>
          </w:p>
        </w:tc>
        <w:tc>
          <w:tcPr>
            <w:tcW w:type="dxa" w:w="3700"/>
            <w:tcMar>
              <w:top w:type="dxa" w:w="80"/>
              <w:left w:type="dxa" w:w="100"/>
              <w:bottom w:type="dxa" w:w="80"/>
              <w:right w:type="dxa" w:w="100"/>
            </w:tcMar>
          </w:tcPr>
          <w:p>
            <w:r>
              <w:t xml:space="preserve">Cross-platform wrapper; native toasts confirmed on Windows.</w:t>
            </w:r>
          </w:p>
        </w:tc>
      </w:tr>
      <w:tr>
        <w:tc>
          <w:tcPr>
            <w:tcW w:type="dxa" w:w="2400"/>
            <w:shd w:fill="F2F2F2" w:val="clear"/>
            <w:tcMar>
              <w:top w:type="dxa" w:w="80"/>
              <w:left w:type="dxa" w:w="100"/>
              <w:bottom w:type="dxa" w:w="80"/>
              <w:right w:type="dxa" w:w="100"/>
            </w:tcMar>
          </w:tcPr>
          <w:p>
            <w:r>
              <w:t xml:space="preserve">Scheduling (recommended)</w:t>
            </w:r>
          </w:p>
        </w:tc>
        <w:tc>
          <w:tcPr>
            <w:tcW w:type="dxa" w:w="3400"/>
            <w:shd w:fill="F2F2F2" w:val="clear"/>
            <w:tcMar>
              <w:top w:type="dxa" w:w="80"/>
              <w:left w:type="dxa" w:w="100"/>
              <w:bottom w:type="dxa" w:w="80"/>
              <w:right w:type="dxa" w:w="100"/>
            </w:tcMar>
          </w:tcPr>
          <w:p>
            <w:r>
              <w:t xml:space="preserve">Windows Task Scheduler or APScheduler</w:t>
            </w:r>
          </w:p>
        </w:tc>
        <w:tc>
          <w:tcPr>
            <w:tcW w:type="dxa" w:w="3700"/>
            <w:shd w:fill="F2F2F2" w:val="clear"/>
            <w:tcMar>
              <w:top w:type="dxa" w:w="80"/>
              <w:left w:type="dxa" w:w="100"/>
              <w:bottom w:type="dxa" w:w="80"/>
              <w:right w:type="dxa" w:w="100"/>
            </w:tcMar>
          </w:tcPr>
          <w:p>
            <w:r>
              <w:t xml:space="preserve">Not in the original list — added here to close the gap described in 5.5.</w:t>
            </w:r>
          </w:p>
        </w:tc>
      </w:tr>
    </w:tbl>
    <w:p>
      <w:pPr>
        <w:pStyle w:val="Heading1"/>
        <w:spacing w:after="150" w:before="300"/>
      </w:pPr>
      <w:r>
        <w:t xml:space="preserve">8. Security &amp; Privacy Considerations</w:t>
      </w:r>
    </w:p>
    <w:p>
      <w:pPr>
        <w:pStyle w:val="ListParagraph"/>
        <w:numPr>
          <w:ilvl w:val="0"/>
          <w:numId w:val="1"/>
        </w:numPr>
        <w:spacing w:after="60"/>
      </w:pPr>
      <w:r>
        <w:t xml:space="preserve">No network egress is required at runtime other than the local Ollama process (typically localhost).</w:t>
      </w:r>
    </w:p>
    <w:p>
      <w:pPr>
        <w:pStyle w:val="ListParagraph"/>
        <w:numPr>
          <w:ilvl w:val="0"/>
          <w:numId w:val="1"/>
        </w:numPr>
        <w:spacing w:after="60"/>
      </w:pPr>
      <w:r>
        <w:t xml:space="preserve">The SQLite file and knowledge_vault/ contain personal data (resume, transcripts); no encryption is assumed, consistent with a single-user local machine, but the user should exclude these paths from any cloud-synced folder (e.g. OneDrive) if privacy matters.</w:t>
      </w:r>
    </w:p>
    <w:p>
      <w:pPr>
        <w:pStyle w:val="ListParagraph"/>
        <w:numPr>
          <w:ilvl w:val="0"/>
          <w:numId w:val="1"/>
        </w:numPr>
        <w:spacing w:after="60"/>
      </w:pPr>
      <w:r>
        <w:t xml:space="preserve">No authentication layer exists or is planned, since the system is single-user by design.</w:t>
      </w:r>
    </w:p>
    <w:p>
      <w:pPr>
        <w:pStyle w:val="Heading1"/>
        <w:spacing w:after="150" w:before="300"/>
      </w:pPr>
      <w:r>
        <w:t xml:space="preserve">9. Limitations &amp; Future Work</w:t>
      </w:r>
    </w:p>
    <w:p>
      <w:pPr>
        <w:pStyle w:val="ListParagraph"/>
        <w:numPr>
          <w:ilvl w:val="0"/>
          <w:numId w:val="1"/>
        </w:numPr>
        <w:spacing w:after="60"/>
      </w:pPr>
      <w:r>
        <w:t xml:space="preserve">The adaptive baseline test uses a simple correct/incorrect calibration rather than a full item-response-theory model; this could be revisited if proficiency scores feel inaccurate in practice.</w:t>
      </w:r>
    </w:p>
    <w:p>
      <w:pPr>
        <w:pStyle w:val="ListParagraph"/>
        <w:numPr>
          <w:ilvl w:val="0"/>
          <w:numId w:val="1"/>
        </w:numPr>
        <w:spacing w:after="60"/>
      </w:pPr>
      <w:r>
        <w:t xml:space="preserve">plyer notifications require an external scheduler (Section 5.5); this SDD recommends Task Scheduler for now but APScheduler would let notifier.py run as one long-lived process.</w:t>
      </w:r>
    </w:p>
    <w:p>
      <w:pPr>
        <w:pStyle w:val="ListParagraph"/>
        <w:numPr>
          <w:ilvl w:val="0"/>
          <w:numId w:val="1"/>
        </w:numPr>
        <w:spacing w:after="60"/>
      </w:pPr>
      <w:r>
        <w:t xml:space="preserve">Cross-platform notification support (macOS/Linux) is best-effort only and not a current priority.</w:t>
      </w:r>
    </w:p>
    <w:p>
      <w:pPr>
        <w:pStyle w:val="Heading1"/>
        <w:spacing w:after="150" w:before="300"/>
      </w:pPr>
      <w:r>
        <w:t xml:space="preserve">10. Assumptions Log</w:t>
      </w:r>
    </w:p>
    <w:p>
      <w:pPr>
        <w:spacing w:after="120"/>
      </w:pPr>
      <w:r>
        <w:t xml:space="preserve">Mirrors Section 6 of the SRS — recorded here for design traceability:</w:t>
      </w:r>
    </w:p>
    <w:p>
      <w:pPr>
        <w:pStyle w:val="ListParagraph"/>
        <w:numPr>
          <w:ilvl w:val="0"/>
          <w:numId w:val="1"/>
        </w:numPr>
        <w:spacing w:after="60"/>
      </w:pPr>
      <w:r>
        <w:t xml:space="preserve">Existence and exact shape of a companies table and a deadlines table beyond skill_levels.</w:t>
      </w:r>
    </w:p>
    <w:p>
      <w:pPr>
        <w:pStyle w:val="ListParagraph"/>
        <w:numPr>
          <w:ilvl w:val="0"/>
          <w:numId w:val="1"/>
        </w:numPr>
        <w:spacing w:after="60"/>
      </w:pPr>
      <w:r>
        <w:t xml:space="preserve">Lowest-proficiency-first strategy for choosing the daily diagnostic topic.</w:t>
      </w:r>
    </w:p>
    <w:p>
      <w:pPr>
        <w:pStyle w:val="ListParagraph"/>
        <w:numPr>
          <w:ilvl w:val="0"/>
          <w:numId w:val="1"/>
        </w:numPr>
        <w:spacing w:after="60"/>
      </w:pPr>
      <w:r>
        <w:t xml:space="preserve">Windows Task Scheduler (not an in-process loop) as the trigger for notifier.py.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2026-07-16T16:23:40.475Z</dcterms:created>
  <dcterms:modified xsi:type="dcterms:W3CDTF">2026-07-16T16:23:40.475Z</dcterms:modified>
</cp:coreProperties>
</file>

<file path=docProps/custom.xml><?xml version="1.0" encoding="utf-8"?>
<Properties xmlns="http://schemas.openxmlformats.org/officeDocument/2006/custom-properties" xmlns:vt="http://schemas.openxmlformats.org/officeDocument/2006/docPropsVTypes"/>
</file>