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056208431"/>
        <w:docPartObj>
          <w:docPartGallery w:val="Cover Pages"/>
          <w:docPartUnique/>
        </w:docPartObj>
      </w:sdtPr>
      <w:sdtContent>
        <w:p w:rsidR="002B789D" w:rsidRPr="008D12C1" w:rsidRDefault="00000000" w:rsidP="008D12C1">
          <w:r>
            <w:rPr>
              <w:noProof/>
            </w:rPr>
            <w:pict>
              <v:shapetype id="_x0000_t202" coordsize="21600,21600" o:spt="202" path="m,l,21600r21600,l21600,xe">
                <v:stroke joinstyle="miter"/>
                <v:path gradientshapeok="t" o:connecttype="rect"/>
              </v:shapetype>
              <v:shape id="Text Box 2" o:spid="_x0000_s2052" type="#_x0000_t202" style="position:absolute;margin-left:22.9pt;margin-top:74.7pt;width:178.6pt;height:53.45pt;z-index:251661312;visibility:visible;mso-wrap-style:none;mso-wrap-distance-left:9pt;mso-wrap-distance-top:3.6pt;mso-wrap-distance-right:9pt;mso-wrap-distance-bottom:3.6pt;mso-position-horizontal-relative:text;mso-position-vertical-relative:text;mso-width-relative:margin;mso-height-relative:margin;v-text-anchor:top" filled="f" stroked="f">
                <v:textbox style="mso-next-textbox:#Text Box 2;mso-fit-shape-to-text:t">
                  <w:txbxContent>
                    <w:p w:rsidR="00AB4163" w:rsidRPr="00AB4163" w:rsidRDefault="00000000" w:rsidP="00AB4163">
                      <w:pPr>
                        <w:jc w:val="center"/>
                        <w:rPr>
                          <w:rFonts w:ascii="Bradley Hand ITC" w:hAnsi="Bradley Hand ITC"/>
                          <w:b/>
                          <w:bCs/>
                          <w:color w:val="F73B08" w:themeColor="accent6" w:themeShade="BF"/>
                          <w:sz w:val="28"/>
                          <w:szCs w:val="28"/>
                        </w:rPr>
                      </w:pPr>
                      <w:r>
                        <w:rPr>
                          <w:rFonts w:ascii="Bradley Hand ITC" w:hAnsi="Bradley Hand ITC"/>
                          <w:b/>
                          <w:bCs/>
                          <w:color w:val="F73B08" w:themeColor="accent6" w:themeShade="BF"/>
                          <w:sz w:val="28"/>
                          <w:szCs w:val="28"/>
                        </w:rPr>
                        <w:pict>
                          <v:shapetype id="_x0000_t144" coordsize="21600,21600" o:spt="144" adj="11796480" path="al10800,10800,10800,10800@2@14e">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cos 10800 #0"/>
                              <v:f eqn="sin 10800 #0"/>
                              <v:f eqn="sum @17 10800 0"/>
                              <v:f eqn="sum @18 10800 0"/>
                              <v:f eqn="sum 10800 0 @17"/>
                              <v:f eqn="if @9 0 21600"/>
                              <v:f eqn="sum 10800 0 @18"/>
                            </v:formulas>
                            <v:path textpathok="t" o:connecttype="custom" o:connectlocs="10800,@22;@19,@20;@21,@20"/>
                            <v:textpath on="t" style="v-text-kern:t" fitpath="t"/>
                            <v:handles>
                              <v:h position="@16,#0" polar="10800,10800"/>
                            </v:handles>
                            <o:lock v:ext="edit" text="t" shapetype="t"/>
                          </v:shapetype>
                          <v:shape id="_x0000_i1026" type="#_x0000_t144" style="width:158.25pt;height:27pt" fillcolor="#f73b08 [2409]" strokecolor="#ee7344 [1951]">
                            <v:shadow color="#868686"/>
                            <v:textpath style="font-family:&quot;Bradley Hand ITC&quot;;font-weight:bold;font-style:italic" fitshape="t" trim="t" string="ADINE NOODLES"/>
                          </v:shape>
                        </w:pict>
                      </w:r>
                    </w:p>
                  </w:txbxContent>
                </v:textbox>
                <w10:wrap type="square"/>
              </v:shape>
            </w:pict>
          </w:r>
          <w:r>
            <w:rPr>
              <w:noProof/>
            </w:rPr>
            <w:pict>
              <v:shape id="Text Box 139" o:spid="_x0000_s2050" type="#_x0000_t202" style="position:absolute;margin-left:0;margin-top:0;width:589.55pt;height:763.65pt;z-index:251659264;visibility:visible;mso-wrap-distance-left:9pt;mso-wrap-distance-top:0;mso-wrap-distance-right:9pt;mso-wrap-distance-bottom:0;mso-position-horizontal:center;mso-position-horizontal-relative:page;mso-position-vertical:center;mso-position-vertical-relative:page;mso-width-relative:page;mso-height-relative:page;v-text-anchor:middle" fillcolor="#666 [1936]" strokecolor="#666 [1936]" strokeweight="1pt">
                <v:fill color2="#ccc [656]" angle="-45" focusposition="1" focussize="" focus="-50%" type="gradient"/>
                <v:shadow on="t" type="perspective" color="#7f7f7f [1601]" opacity=".5" offset="1pt" offset2="-3pt"/>
                <v:textbox style="mso-next-textbox:#Text Box 139" inset="0,0,0,0">
                  <w:txbxContent>
                    <w:tbl>
                      <w:tblPr>
                        <w:tblW w:w="5000" w:type="pct"/>
                        <w:jc w:val="center"/>
                        <w:tblBorders>
                          <w:insideV w:val="single" w:sz="12" w:space="0" w:color="C1B56B" w:themeColor="accent2"/>
                        </w:tblBorders>
                        <w:tblCellMar>
                          <w:top w:w="1296" w:type="dxa"/>
                          <w:left w:w="360" w:type="dxa"/>
                          <w:bottom w:w="1296" w:type="dxa"/>
                          <w:right w:w="360" w:type="dxa"/>
                        </w:tblCellMar>
                        <w:tblLook w:val="04A0" w:firstRow="1" w:lastRow="0" w:firstColumn="1" w:lastColumn="0" w:noHBand="0" w:noVBand="1"/>
                      </w:tblPr>
                      <w:tblGrid>
                        <w:gridCol w:w="6423"/>
                        <w:gridCol w:w="6083"/>
                      </w:tblGrid>
                      <w:tr w:rsidR="00954EFF">
                        <w:trPr>
                          <w:jc w:val="center"/>
                        </w:trPr>
                        <w:tc>
                          <w:tcPr>
                            <w:tcW w:w="2568" w:type="pct"/>
                            <w:vAlign w:val="center"/>
                          </w:tcPr>
                          <w:p w:rsidR="00954EFF" w:rsidRDefault="00954EFF">
                            <w:pPr>
                              <w:jc w:val="right"/>
                            </w:pPr>
                            <w:r>
                              <w:rPr>
                                <w:noProof/>
                              </w:rPr>
                              <w:drawing>
                                <wp:inline distT="0" distB="0" distL="0" distR="0">
                                  <wp:extent cx="3040596" cy="4569961"/>
                                  <wp:effectExtent l="0" t="0" r="0" b="0"/>
                                  <wp:docPr id="760718496"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9">
                                            <a:extLst>
                                              <a:ext uri="{28A0092B-C50C-407E-A947-70E740481C1C}">
                                                <a14:useLocalDpi xmlns:a14="http://schemas.microsoft.com/office/drawing/2010/main" val="0"/>
                                              </a:ext>
                                            </a:extLst>
                                          </a:blip>
                                          <a:stretch>
                                            <a:fillRect/>
                                          </a:stretch>
                                        </pic:blipFill>
                                        <pic:spPr>
                                          <a:xfrm>
                                            <a:off x="0" y="0"/>
                                            <a:ext cx="3040596" cy="4569961"/>
                                          </a:xfrm>
                                          <a:prstGeom prst="rect">
                                            <a:avLst/>
                                          </a:prstGeom>
                                        </pic:spPr>
                                      </pic:pic>
                                    </a:graphicData>
                                  </a:graphic>
                                </wp:inline>
                              </w:drawing>
                            </w:r>
                          </w:p>
                          <w:sdt>
                            <w:sdtPr>
                              <w:rPr>
                                <w:rFonts w:ascii="Times New Roman" w:hAnsi="Times New Roman" w:cs="Times New Roman"/>
                                <w:caps/>
                                <w:color w:val="F09415" w:themeColor="accent1"/>
                                <w:sz w:val="48"/>
                                <w:szCs w:val="48"/>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rsidR="00954EFF" w:rsidRPr="006154AC" w:rsidRDefault="00954EFF" w:rsidP="00954EFF">
                                <w:pPr>
                                  <w:pStyle w:val="NoSpacing"/>
                                  <w:spacing w:line="312" w:lineRule="auto"/>
                                  <w:jc w:val="right"/>
                                  <w:rPr>
                                    <w:caps/>
                                    <w:color w:val="F09415" w:themeColor="accent1"/>
                                    <w:sz w:val="48"/>
                                    <w:szCs w:val="48"/>
                                  </w:rPr>
                                </w:pPr>
                                <w:r w:rsidRPr="006154AC">
                                  <w:rPr>
                                    <w:rFonts w:ascii="Times New Roman" w:hAnsi="Times New Roman" w:cs="Times New Roman"/>
                                    <w:caps/>
                                    <w:color w:val="F09415" w:themeColor="accent1"/>
                                    <w:sz w:val="48"/>
                                    <w:szCs w:val="48"/>
                                  </w:rPr>
                                  <w:t>ANALYSIS OF THE DEMAND AND SUPPLY NEEDS OF A FMCG NOODLES COMPANY</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rsidR="00954EFF" w:rsidRDefault="0014074C">
                                <w:pPr>
                                  <w:jc w:val="right"/>
                                  <w:rPr>
                                    <w:sz w:val="24"/>
                                    <w:szCs w:val="24"/>
                                  </w:rPr>
                                </w:pPr>
                                <w:r>
                                  <w:rPr>
                                    <w:color w:val="000000" w:themeColor="text1"/>
                                    <w:sz w:val="24"/>
                                    <w:szCs w:val="24"/>
                                  </w:rPr>
                                  <w:t xml:space="preserve">     </w:t>
                                </w:r>
                              </w:p>
                            </w:sdtContent>
                          </w:sdt>
                        </w:tc>
                        <w:tc>
                          <w:tcPr>
                            <w:tcW w:w="2432" w:type="pct"/>
                            <w:vAlign w:val="center"/>
                          </w:tcPr>
                          <w:p w:rsidR="00954EFF" w:rsidRDefault="000100EB" w:rsidP="00EB4B81">
                            <w:pPr>
                              <w:pStyle w:val="NoSpacing"/>
                              <w:spacing w:line="360" w:lineRule="auto"/>
                              <w:rPr>
                                <w:caps/>
                                <w:color w:val="C1B56B" w:themeColor="accent2"/>
                                <w:sz w:val="26"/>
                                <w:szCs w:val="26"/>
                              </w:rPr>
                            </w:pPr>
                            <w:r>
                              <w:rPr>
                                <w:caps/>
                                <w:color w:val="C1B56B" w:themeColor="accent2"/>
                                <w:sz w:val="26"/>
                                <w:szCs w:val="26"/>
                              </w:rPr>
                              <w:t>Objective</w:t>
                            </w:r>
                          </w:p>
                          <w:sdt>
                            <w:sdtPr>
                              <w:rPr>
                                <w:color w:val="F09415" w:themeColor="accent1"/>
                                <w:sz w:val="20"/>
                                <w:szCs w:val="20"/>
                              </w:rPr>
                              <w:alias w:val="Abstract"/>
                              <w:tag w:val=""/>
                              <w:id w:val="-2036181933"/>
                              <w:dataBinding w:prefixMappings="xmlns:ns0='http://schemas.microsoft.com/office/2006/coverPageProps' " w:xpath="/ns0:CoverPageProperties[1]/ns0:Abstract[1]" w:storeItemID="{55AF091B-3C7A-41E3-B477-F2FDAA23CFDA}"/>
                              <w:text/>
                            </w:sdtPr>
                            <w:sdtContent>
                              <w:p w:rsidR="00954EFF" w:rsidRPr="000100EB" w:rsidRDefault="000100EB" w:rsidP="00EB4B81">
                                <w:pPr>
                                  <w:spacing w:line="360" w:lineRule="auto"/>
                                  <w:rPr>
                                    <w:color w:val="F09415" w:themeColor="accent1"/>
                                    <w:sz w:val="20"/>
                                    <w:szCs w:val="20"/>
                                  </w:rPr>
                                </w:pPr>
                                <w:r w:rsidRPr="000100EB">
                                  <w:rPr>
                                    <w:color w:val="F09415" w:themeColor="accent1"/>
                                    <w:sz w:val="20"/>
                                    <w:szCs w:val="20"/>
                                  </w:rPr>
                                  <w:t>Using historical data to determine an optimum weight of the product to be shipped each time to the warehouse by analyzing the demand pattern in different pockets of the country so management can drive the advertisement campaign particular in those pockets.</w:t>
                                </w:r>
                              </w:p>
                            </w:sdtContent>
                          </w:sdt>
                          <w:sdt>
                            <w:sdtPr>
                              <w:rPr>
                                <w:color w:val="C1B56B"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rsidR="00954EFF" w:rsidRDefault="00954EFF" w:rsidP="00EB4B81">
                                <w:pPr>
                                  <w:pStyle w:val="NoSpacing"/>
                                  <w:spacing w:line="360" w:lineRule="auto"/>
                                  <w:rPr>
                                    <w:color w:val="C1B56B" w:themeColor="accent2"/>
                                    <w:sz w:val="26"/>
                                    <w:szCs w:val="26"/>
                                  </w:rPr>
                                </w:pPr>
                                <w:r>
                                  <w:rPr>
                                    <w:color w:val="C1B56B" w:themeColor="accent2"/>
                                    <w:sz w:val="26"/>
                                    <w:szCs w:val="26"/>
                                  </w:rPr>
                                  <w:t>Orhine Adidi</w:t>
                                </w:r>
                              </w:p>
                            </w:sdtContent>
                          </w:sdt>
                          <w:p w:rsidR="00954EFF" w:rsidRDefault="00000000" w:rsidP="00EB4B81">
                            <w:pPr>
                              <w:pStyle w:val="NoSpacing"/>
                              <w:spacing w:line="360" w:lineRule="auto"/>
                            </w:pPr>
                            <w:sdt>
                              <w:sdtPr>
                                <w:rPr>
                                  <w:color w:val="F09415" w:themeColor="accent1"/>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6154AC" w:rsidRPr="000100EB">
                                  <w:rPr>
                                    <w:color w:val="F09415" w:themeColor="accent1"/>
                                  </w:rPr>
                                  <w:t>Data Analyst</w:t>
                                </w:r>
                              </w:sdtContent>
                            </w:sdt>
                          </w:p>
                        </w:tc>
                      </w:tr>
                    </w:tbl>
                    <w:p w:rsidR="00954EFF" w:rsidRDefault="00954EFF"/>
                  </w:txbxContent>
                </v:textbox>
                <w10:wrap anchorx="page" anchory="page"/>
              </v:shape>
            </w:pict>
          </w:r>
          <w:r w:rsidR="00954EFF">
            <w:br w:type="page"/>
          </w:r>
        </w:p>
      </w:sdtContent>
    </w:sdt>
    <w:sdt>
      <w:sdtPr>
        <w:rPr>
          <w:rFonts w:asciiTheme="minorHAnsi" w:eastAsiaTheme="minorHAnsi" w:hAnsiTheme="minorHAnsi" w:cstheme="minorBidi"/>
          <w:color w:val="auto"/>
          <w:kern w:val="2"/>
          <w:sz w:val="22"/>
          <w:szCs w:val="22"/>
        </w:rPr>
        <w:id w:val="1596823755"/>
        <w:docPartObj>
          <w:docPartGallery w:val="Table of Contents"/>
          <w:docPartUnique/>
        </w:docPartObj>
      </w:sdtPr>
      <w:sdtEndPr>
        <w:rPr>
          <w:b/>
          <w:bCs/>
          <w:noProof/>
        </w:rPr>
      </w:sdtEndPr>
      <w:sdtContent>
        <w:p w:rsidR="008D12C1" w:rsidRDefault="008D12C1" w:rsidP="008D12C1">
          <w:pPr>
            <w:pStyle w:val="TOCHeading"/>
            <w:spacing w:line="276" w:lineRule="auto"/>
          </w:pPr>
          <w:r>
            <w:t>Table of Contents</w:t>
          </w:r>
        </w:p>
        <w:p w:rsidR="00B23ADD" w:rsidRDefault="008D12C1">
          <w:pPr>
            <w:pStyle w:val="TOC1"/>
            <w:tabs>
              <w:tab w:val="right" w:pos="9350"/>
            </w:tabs>
            <w:rPr>
              <w:rFonts w:eastAsiaTheme="minorEastAsia"/>
              <w:noProof/>
              <w14:ligatures w14:val="standardContextual"/>
            </w:rPr>
          </w:pPr>
          <w:r>
            <w:fldChar w:fldCharType="begin"/>
          </w:r>
          <w:r>
            <w:instrText xml:space="preserve"> TOC \o "1-3" \h \z \u </w:instrText>
          </w:r>
          <w:r>
            <w:fldChar w:fldCharType="separate"/>
          </w:r>
          <w:hyperlink w:anchor="_Toc222910800" w:history="1">
            <w:r w:rsidR="00B23ADD" w:rsidRPr="00AB6CAD">
              <w:rPr>
                <w:rStyle w:val="Hyperlink"/>
                <w:noProof/>
              </w:rPr>
              <w:t>TABLE OF FIGURES</w:t>
            </w:r>
            <w:r w:rsidR="00B23ADD">
              <w:rPr>
                <w:noProof/>
                <w:webHidden/>
              </w:rPr>
              <w:tab/>
            </w:r>
            <w:r w:rsidR="00B23ADD">
              <w:rPr>
                <w:noProof/>
                <w:webHidden/>
              </w:rPr>
              <w:fldChar w:fldCharType="begin"/>
            </w:r>
            <w:r w:rsidR="00B23ADD">
              <w:rPr>
                <w:noProof/>
                <w:webHidden/>
              </w:rPr>
              <w:instrText xml:space="preserve"> PAGEREF _Toc222910800 \h </w:instrText>
            </w:r>
            <w:r w:rsidR="00B23ADD">
              <w:rPr>
                <w:noProof/>
                <w:webHidden/>
              </w:rPr>
            </w:r>
            <w:r w:rsidR="00B23ADD">
              <w:rPr>
                <w:noProof/>
                <w:webHidden/>
              </w:rPr>
              <w:fldChar w:fldCharType="separate"/>
            </w:r>
            <w:r w:rsidR="00B23ADD">
              <w:rPr>
                <w:noProof/>
                <w:webHidden/>
              </w:rPr>
              <w:t>2</w:t>
            </w:r>
            <w:r w:rsidR="00B23ADD">
              <w:rPr>
                <w:noProof/>
                <w:webHidden/>
              </w:rPr>
              <w:fldChar w:fldCharType="end"/>
            </w:r>
          </w:hyperlink>
        </w:p>
        <w:p w:rsidR="00B23ADD" w:rsidRDefault="00B23ADD">
          <w:pPr>
            <w:pStyle w:val="TOC1"/>
            <w:tabs>
              <w:tab w:val="right" w:pos="9350"/>
            </w:tabs>
            <w:rPr>
              <w:rFonts w:eastAsiaTheme="minorEastAsia"/>
              <w:noProof/>
              <w14:ligatures w14:val="standardContextual"/>
            </w:rPr>
          </w:pPr>
          <w:hyperlink w:anchor="_Toc222910801" w:history="1">
            <w:r w:rsidRPr="00AB6CAD">
              <w:rPr>
                <w:rStyle w:val="Hyperlink"/>
                <w:noProof/>
              </w:rPr>
              <w:t>INTRODUCTION</w:t>
            </w:r>
            <w:r>
              <w:rPr>
                <w:noProof/>
                <w:webHidden/>
              </w:rPr>
              <w:tab/>
            </w:r>
            <w:r>
              <w:rPr>
                <w:noProof/>
                <w:webHidden/>
              </w:rPr>
              <w:fldChar w:fldCharType="begin"/>
            </w:r>
            <w:r>
              <w:rPr>
                <w:noProof/>
                <w:webHidden/>
              </w:rPr>
              <w:instrText xml:space="preserve"> PAGEREF _Toc222910801 \h </w:instrText>
            </w:r>
            <w:r>
              <w:rPr>
                <w:noProof/>
                <w:webHidden/>
              </w:rPr>
            </w:r>
            <w:r>
              <w:rPr>
                <w:noProof/>
                <w:webHidden/>
              </w:rPr>
              <w:fldChar w:fldCharType="separate"/>
            </w:r>
            <w:r>
              <w:rPr>
                <w:noProof/>
                <w:webHidden/>
              </w:rPr>
              <w:t>3</w:t>
            </w:r>
            <w:r>
              <w:rPr>
                <w:noProof/>
                <w:webHidden/>
              </w:rPr>
              <w:fldChar w:fldCharType="end"/>
            </w:r>
          </w:hyperlink>
        </w:p>
        <w:p w:rsidR="00B23ADD" w:rsidRDefault="00B23ADD">
          <w:pPr>
            <w:pStyle w:val="TOC1"/>
            <w:tabs>
              <w:tab w:val="right" w:pos="9350"/>
            </w:tabs>
            <w:rPr>
              <w:rFonts w:eastAsiaTheme="minorEastAsia"/>
              <w:noProof/>
              <w14:ligatures w14:val="standardContextual"/>
            </w:rPr>
          </w:pPr>
          <w:hyperlink w:anchor="_Toc222910802" w:history="1">
            <w:r w:rsidRPr="00AB6CAD">
              <w:rPr>
                <w:rStyle w:val="Hyperlink"/>
                <w:noProof/>
              </w:rPr>
              <w:t>EXECUTIVE SUMMARY</w:t>
            </w:r>
            <w:r>
              <w:rPr>
                <w:noProof/>
                <w:webHidden/>
              </w:rPr>
              <w:tab/>
            </w:r>
            <w:r>
              <w:rPr>
                <w:noProof/>
                <w:webHidden/>
              </w:rPr>
              <w:fldChar w:fldCharType="begin"/>
            </w:r>
            <w:r>
              <w:rPr>
                <w:noProof/>
                <w:webHidden/>
              </w:rPr>
              <w:instrText xml:space="preserve"> PAGEREF _Toc222910802 \h </w:instrText>
            </w:r>
            <w:r>
              <w:rPr>
                <w:noProof/>
                <w:webHidden/>
              </w:rPr>
            </w:r>
            <w:r>
              <w:rPr>
                <w:noProof/>
                <w:webHidden/>
              </w:rPr>
              <w:fldChar w:fldCharType="separate"/>
            </w:r>
            <w:r>
              <w:rPr>
                <w:noProof/>
                <w:webHidden/>
              </w:rPr>
              <w:t>3</w:t>
            </w:r>
            <w:r>
              <w:rPr>
                <w:noProof/>
                <w:webHidden/>
              </w:rPr>
              <w:fldChar w:fldCharType="end"/>
            </w:r>
          </w:hyperlink>
        </w:p>
        <w:p w:rsidR="00B23ADD" w:rsidRDefault="00B23ADD">
          <w:pPr>
            <w:pStyle w:val="TOC1"/>
            <w:tabs>
              <w:tab w:val="right" w:pos="9350"/>
            </w:tabs>
            <w:rPr>
              <w:rFonts w:eastAsiaTheme="minorEastAsia"/>
              <w:noProof/>
              <w14:ligatures w14:val="standardContextual"/>
            </w:rPr>
          </w:pPr>
          <w:hyperlink w:anchor="_Toc222910803" w:history="1">
            <w:r w:rsidRPr="00AB6CAD">
              <w:rPr>
                <w:rStyle w:val="Hyperlink"/>
                <w:noProof/>
              </w:rPr>
              <w:t>BUSINESS PROBLEM / PROBLEM STATEMENT</w:t>
            </w:r>
            <w:r>
              <w:rPr>
                <w:noProof/>
                <w:webHidden/>
              </w:rPr>
              <w:tab/>
            </w:r>
            <w:r>
              <w:rPr>
                <w:noProof/>
                <w:webHidden/>
              </w:rPr>
              <w:fldChar w:fldCharType="begin"/>
            </w:r>
            <w:r>
              <w:rPr>
                <w:noProof/>
                <w:webHidden/>
              </w:rPr>
              <w:instrText xml:space="preserve"> PAGEREF _Toc222910803 \h </w:instrText>
            </w:r>
            <w:r>
              <w:rPr>
                <w:noProof/>
                <w:webHidden/>
              </w:rPr>
            </w:r>
            <w:r>
              <w:rPr>
                <w:noProof/>
                <w:webHidden/>
              </w:rPr>
              <w:fldChar w:fldCharType="separate"/>
            </w:r>
            <w:r>
              <w:rPr>
                <w:noProof/>
                <w:webHidden/>
              </w:rPr>
              <w:t>5</w:t>
            </w:r>
            <w:r>
              <w:rPr>
                <w:noProof/>
                <w:webHidden/>
              </w:rPr>
              <w:fldChar w:fldCharType="end"/>
            </w:r>
          </w:hyperlink>
        </w:p>
        <w:p w:rsidR="00B23ADD" w:rsidRDefault="00B23ADD">
          <w:pPr>
            <w:pStyle w:val="TOC1"/>
            <w:tabs>
              <w:tab w:val="right" w:pos="9350"/>
            </w:tabs>
            <w:rPr>
              <w:rFonts w:eastAsiaTheme="minorEastAsia"/>
              <w:noProof/>
              <w14:ligatures w14:val="standardContextual"/>
            </w:rPr>
          </w:pPr>
          <w:hyperlink w:anchor="_Toc222910804" w:history="1">
            <w:r w:rsidRPr="00AB6CAD">
              <w:rPr>
                <w:rStyle w:val="Hyperlink"/>
                <w:noProof/>
              </w:rPr>
              <w:t>AIM/GOAL</w:t>
            </w:r>
            <w:r>
              <w:rPr>
                <w:noProof/>
                <w:webHidden/>
              </w:rPr>
              <w:tab/>
            </w:r>
            <w:r>
              <w:rPr>
                <w:noProof/>
                <w:webHidden/>
              </w:rPr>
              <w:fldChar w:fldCharType="begin"/>
            </w:r>
            <w:r>
              <w:rPr>
                <w:noProof/>
                <w:webHidden/>
              </w:rPr>
              <w:instrText xml:space="preserve"> PAGEREF _Toc222910804 \h </w:instrText>
            </w:r>
            <w:r>
              <w:rPr>
                <w:noProof/>
                <w:webHidden/>
              </w:rPr>
            </w:r>
            <w:r>
              <w:rPr>
                <w:noProof/>
                <w:webHidden/>
              </w:rPr>
              <w:fldChar w:fldCharType="separate"/>
            </w:r>
            <w:r>
              <w:rPr>
                <w:noProof/>
                <w:webHidden/>
              </w:rPr>
              <w:t>5</w:t>
            </w:r>
            <w:r>
              <w:rPr>
                <w:noProof/>
                <w:webHidden/>
              </w:rPr>
              <w:fldChar w:fldCharType="end"/>
            </w:r>
          </w:hyperlink>
        </w:p>
        <w:p w:rsidR="00B23ADD" w:rsidRDefault="00B23ADD">
          <w:pPr>
            <w:pStyle w:val="TOC1"/>
            <w:tabs>
              <w:tab w:val="right" w:pos="9350"/>
            </w:tabs>
            <w:rPr>
              <w:rFonts w:eastAsiaTheme="minorEastAsia"/>
              <w:noProof/>
              <w14:ligatures w14:val="standardContextual"/>
            </w:rPr>
          </w:pPr>
          <w:hyperlink w:anchor="_Toc222910805" w:history="1">
            <w:r w:rsidRPr="00AB6CAD">
              <w:rPr>
                <w:rStyle w:val="Hyperlink"/>
                <w:noProof/>
              </w:rPr>
              <w:t>OBJECTIVE</w:t>
            </w:r>
            <w:r>
              <w:rPr>
                <w:noProof/>
                <w:webHidden/>
              </w:rPr>
              <w:tab/>
            </w:r>
            <w:r>
              <w:rPr>
                <w:noProof/>
                <w:webHidden/>
              </w:rPr>
              <w:fldChar w:fldCharType="begin"/>
            </w:r>
            <w:r>
              <w:rPr>
                <w:noProof/>
                <w:webHidden/>
              </w:rPr>
              <w:instrText xml:space="preserve"> PAGEREF _Toc222910805 \h </w:instrText>
            </w:r>
            <w:r>
              <w:rPr>
                <w:noProof/>
                <w:webHidden/>
              </w:rPr>
            </w:r>
            <w:r>
              <w:rPr>
                <w:noProof/>
                <w:webHidden/>
              </w:rPr>
              <w:fldChar w:fldCharType="separate"/>
            </w:r>
            <w:r>
              <w:rPr>
                <w:noProof/>
                <w:webHidden/>
              </w:rPr>
              <w:t>5</w:t>
            </w:r>
            <w:r>
              <w:rPr>
                <w:noProof/>
                <w:webHidden/>
              </w:rPr>
              <w:fldChar w:fldCharType="end"/>
            </w:r>
          </w:hyperlink>
        </w:p>
        <w:p w:rsidR="00B23ADD" w:rsidRDefault="00B23ADD">
          <w:pPr>
            <w:pStyle w:val="TOC1"/>
            <w:tabs>
              <w:tab w:val="right" w:pos="9350"/>
            </w:tabs>
            <w:rPr>
              <w:rFonts w:eastAsiaTheme="minorEastAsia"/>
              <w:noProof/>
              <w14:ligatures w14:val="standardContextual"/>
            </w:rPr>
          </w:pPr>
          <w:hyperlink w:anchor="_Toc222910806" w:history="1">
            <w:r w:rsidRPr="00AB6CAD">
              <w:rPr>
                <w:rStyle w:val="Hyperlink"/>
                <w:noProof/>
              </w:rPr>
              <w:t>DATA DESCRIPTION</w:t>
            </w:r>
            <w:r>
              <w:rPr>
                <w:noProof/>
                <w:webHidden/>
              </w:rPr>
              <w:tab/>
            </w:r>
            <w:r>
              <w:rPr>
                <w:noProof/>
                <w:webHidden/>
              </w:rPr>
              <w:fldChar w:fldCharType="begin"/>
            </w:r>
            <w:r>
              <w:rPr>
                <w:noProof/>
                <w:webHidden/>
              </w:rPr>
              <w:instrText xml:space="preserve"> PAGEREF _Toc222910806 \h </w:instrText>
            </w:r>
            <w:r>
              <w:rPr>
                <w:noProof/>
                <w:webHidden/>
              </w:rPr>
            </w:r>
            <w:r>
              <w:rPr>
                <w:noProof/>
                <w:webHidden/>
              </w:rPr>
              <w:fldChar w:fldCharType="separate"/>
            </w:r>
            <w:r>
              <w:rPr>
                <w:noProof/>
                <w:webHidden/>
              </w:rPr>
              <w:t>5</w:t>
            </w:r>
            <w:r>
              <w:rPr>
                <w:noProof/>
                <w:webHidden/>
              </w:rPr>
              <w:fldChar w:fldCharType="end"/>
            </w:r>
          </w:hyperlink>
        </w:p>
        <w:p w:rsidR="00B23ADD" w:rsidRDefault="00B23ADD">
          <w:pPr>
            <w:pStyle w:val="TOC1"/>
            <w:tabs>
              <w:tab w:val="right" w:pos="9350"/>
            </w:tabs>
            <w:rPr>
              <w:rFonts w:eastAsiaTheme="minorEastAsia"/>
              <w:noProof/>
              <w14:ligatures w14:val="standardContextual"/>
            </w:rPr>
          </w:pPr>
          <w:hyperlink w:anchor="_Toc222910807" w:history="1">
            <w:r w:rsidRPr="00AB6CAD">
              <w:rPr>
                <w:rStyle w:val="Hyperlink"/>
                <w:noProof/>
              </w:rPr>
              <w:t>DATA PREPARATION / CLEANING</w:t>
            </w:r>
            <w:r>
              <w:rPr>
                <w:noProof/>
                <w:webHidden/>
              </w:rPr>
              <w:tab/>
            </w:r>
            <w:r>
              <w:rPr>
                <w:noProof/>
                <w:webHidden/>
              </w:rPr>
              <w:fldChar w:fldCharType="begin"/>
            </w:r>
            <w:r>
              <w:rPr>
                <w:noProof/>
                <w:webHidden/>
              </w:rPr>
              <w:instrText xml:space="preserve"> PAGEREF _Toc222910807 \h </w:instrText>
            </w:r>
            <w:r>
              <w:rPr>
                <w:noProof/>
                <w:webHidden/>
              </w:rPr>
            </w:r>
            <w:r>
              <w:rPr>
                <w:noProof/>
                <w:webHidden/>
              </w:rPr>
              <w:fldChar w:fldCharType="separate"/>
            </w:r>
            <w:r>
              <w:rPr>
                <w:noProof/>
                <w:webHidden/>
              </w:rPr>
              <w:t>6</w:t>
            </w:r>
            <w:r>
              <w:rPr>
                <w:noProof/>
                <w:webHidden/>
              </w:rPr>
              <w:fldChar w:fldCharType="end"/>
            </w:r>
          </w:hyperlink>
        </w:p>
        <w:p w:rsidR="00B23ADD" w:rsidRDefault="00B23ADD">
          <w:pPr>
            <w:pStyle w:val="TOC1"/>
            <w:tabs>
              <w:tab w:val="right" w:pos="9350"/>
            </w:tabs>
            <w:rPr>
              <w:rFonts w:eastAsiaTheme="minorEastAsia"/>
              <w:noProof/>
              <w14:ligatures w14:val="standardContextual"/>
            </w:rPr>
          </w:pPr>
          <w:hyperlink w:anchor="_Toc222910808" w:history="1">
            <w:r w:rsidRPr="00AB6CAD">
              <w:rPr>
                <w:rStyle w:val="Hyperlink"/>
                <w:noProof/>
              </w:rPr>
              <w:t>METHODOLOGY</w:t>
            </w:r>
            <w:r>
              <w:rPr>
                <w:noProof/>
                <w:webHidden/>
              </w:rPr>
              <w:tab/>
            </w:r>
            <w:r>
              <w:rPr>
                <w:noProof/>
                <w:webHidden/>
              </w:rPr>
              <w:fldChar w:fldCharType="begin"/>
            </w:r>
            <w:r>
              <w:rPr>
                <w:noProof/>
                <w:webHidden/>
              </w:rPr>
              <w:instrText xml:space="preserve"> PAGEREF _Toc222910808 \h </w:instrText>
            </w:r>
            <w:r>
              <w:rPr>
                <w:noProof/>
                <w:webHidden/>
              </w:rPr>
            </w:r>
            <w:r>
              <w:rPr>
                <w:noProof/>
                <w:webHidden/>
              </w:rPr>
              <w:fldChar w:fldCharType="separate"/>
            </w:r>
            <w:r>
              <w:rPr>
                <w:noProof/>
                <w:webHidden/>
              </w:rPr>
              <w:t>7</w:t>
            </w:r>
            <w:r>
              <w:rPr>
                <w:noProof/>
                <w:webHidden/>
              </w:rPr>
              <w:fldChar w:fldCharType="end"/>
            </w:r>
          </w:hyperlink>
        </w:p>
        <w:p w:rsidR="00B23ADD" w:rsidRDefault="00B23ADD">
          <w:pPr>
            <w:pStyle w:val="TOC1"/>
            <w:tabs>
              <w:tab w:val="right" w:pos="9350"/>
            </w:tabs>
            <w:rPr>
              <w:rFonts w:eastAsiaTheme="minorEastAsia"/>
              <w:noProof/>
              <w14:ligatures w14:val="standardContextual"/>
            </w:rPr>
          </w:pPr>
          <w:hyperlink w:anchor="_Toc222910809" w:history="1">
            <w:r w:rsidRPr="00AB6CAD">
              <w:rPr>
                <w:rStyle w:val="Hyperlink"/>
                <w:noProof/>
              </w:rPr>
              <w:t>KEY FINDINGS/INSIGHTS</w:t>
            </w:r>
            <w:r>
              <w:rPr>
                <w:noProof/>
                <w:webHidden/>
              </w:rPr>
              <w:tab/>
            </w:r>
            <w:r>
              <w:rPr>
                <w:noProof/>
                <w:webHidden/>
              </w:rPr>
              <w:fldChar w:fldCharType="begin"/>
            </w:r>
            <w:r>
              <w:rPr>
                <w:noProof/>
                <w:webHidden/>
              </w:rPr>
              <w:instrText xml:space="preserve"> PAGEREF _Toc222910809 \h </w:instrText>
            </w:r>
            <w:r>
              <w:rPr>
                <w:noProof/>
                <w:webHidden/>
              </w:rPr>
            </w:r>
            <w:r>
              <w:rPr>
                <w:noProof/>
                <w:webHidden/>
              </w:rPr>
              <w:fldChar w:fldCharType="separate"/>
            </w:r>
            <w:r>
              <w:rPr>
                <w:noProof/>
                <w:webHidden/>
              </w:rPr>
              <w:t>7</w:t>
            </w:r>
            <w:r>
              <w:rPr>
                <w:noProof/>
                <w:webHidden/>
              </w:rPr>
              <w:fldChar w:fldCharType="end"/>
            </w:r>
          </w:hyperlink>
        </w:p>
        <w:p w:rsidR="00B23ADD" w:rsidRDefault="00B23ADD">
          <w:pPr>
            <w:pStyle w:val="TOC1"/>
            <w:tabs>
              <w:tab w:val="right" w:pos="9350"/>
            </w:tabs>
            <w:rPr>
              <w:rFonts w:eastAsiaTheme="minorEastAsia"/>
              <w:noProof/>
              <w14:ligatures w14:val="standardContextual"/>
            </w:rPr>
          </w:pPr>
          <w:hyperlink w:anchor="_Toc222910810" w:history="1">
            <w:r w:rsidRPr="00AB6CAD">
              <w:rPr>
                <w:rStyle w:val="Hyperlink"/>
                <w:noProof/>
              </w:rPr>
              <w:t>KEY PERFORMANCE INDICATORS</w:t>
            </w:r>
            <w:r>
              <w:rPr>
                <w:noProof/>
                <w:webHidden/>
              </w:rPr>
              <w:tab/>
            </w:r>
            <w:r>
              <w:rPr>
                <w:noProof/>
                <w:webHidden/>
              </w:rPr>
              <w:fldChar w:fldCharType="begin"/>
            </w:r>
            <w:r>
              <w:rPr>
                <w:noProof/>
                <w:webHidden/>
              </w:rPr>
              <w:instrText xml:space="preserve"> PAGEREF _Toc222910810 \h </w:instrText>
            </w:r>
            <w:r>
              <w:rPr>
                <w:noProof/>
                <w:webHidden/>
              </w:rPr>
            </w:r>
            <w:r>
              <w:rPr>
                <w:noProof/>
                <w:webHidden/>
              </w:rPr>
              <w:fldChar w:fldCharType="separate"/>
            </w:r>
            <w:r>
              <w:rPr>
                <w:noProof/>
                <w:webHidden/>
              </w:rPr>
              <w:t>8</w:t>
            </w:r>
            <w:r>
              <w:rPr>
                <w:noProof/>
                <w:webHidden/>
              </w:rPr>
              <w:fldChar w:fldCharType="end"/>
            </w:r>
          </w:hyperlink>
        </w:p>
        <w:p w:rsidR="00B23ADD" w:rsidRDefault="00B23ADD">
          <w:pPr>
            <w:pStyle w:val="TOC1"/>
            <w:tabs>
              <w:tab w:val="right" w:pos="9350"/>
            </w:tabs>
            <w:rPr>
              <w:rFonts w:eastAsiaTheme="minorEastAsia"/>
              <w:noProof/>
              <w14:ligatures w14:val="standardContextual"/>
            </w:rPr>
          </w:pPr>
          <w:hyperlink w:anchor="_Toc222910811" w:history="1">
            <w:r w:rsidRPr="00AB6CAD">
              <w:rPr>
                <w:rStyle w:val="Hyperlink"/>
                <w:noProof/>
              </w:rPr>
              <w:t>EXPLORATORY DATA ANALYSIS VISUALIZATIONS</w:t>
            </w:r>
            <w:r>
              <w:rPr>
                <w:noProof/>
                <w:webHidden/>
              </w:rPr>
              <w:tab/>
            </w:r>
            <w:r>
              <w:rPr>
                <w:noProof/>
                <w:webHidden/>
              </w:rPr>
              <w:fldChar w:fldCharType="begin"/>
            </w:r>
            <w:r>
              <w:rPr>
                <w:noProof/>
                <w:webHidden/>
              </w:rPr>
              <w:instrText xml:space="preserve"> PAGEREF _Toc222910811 \h </w:instrText>
            </w:r>
            <w:r>
              <w:rPr>
                <w:noProof/>
                <w:webHidden/>
              </w:rPr>
            </w:r>
            <w:r>
              <w:rPr>
                <w:noProof/>
                <w:webHidden/>
              </w:rPr>
              <w:fldChar w:fldCharType="separate"/>
            </w:r>
            <w:r>
              <w:rPr>
                <w:noProof/>
                <w:webHidden/>
              </w:rPr>
              <w:t>8</w:t>
            </w:r>
            <w:r>
              <w:rPr>
                <w:noProof/>
                <w:webHidden/>
              </w:rPr>
              <w:fldChar w:fldCharType="end"/>
            </w:r>
          </w:hyperlink>
        </w:p>
        <w:p w:rsidR="00B23ADD" w:rsidRDefault="00B23ADD">
          <w:pPr>
            <w:pStyle w:val="TOC1"/>
            <w:tabs>
              <w:tab w:val="right" w:pos="9350"/>
            </w:tabs>
            <w:rPr>
              <w:rFonts w:eastAsiaTheme="minorEastAsia"/>
              <w:noProof/>
              <w14:ligatures w14:val="standardContextual"/>
            </w:rPr>
          </w:pPr>
          <w:hyperlink w:anchor="_Toc222910812" w:history="1">
            <w:r w:rsidRPr="00AB6CAD">
              <w:rPr>
                <w:rStyle w:val="Hyperlink"/>
                <w:noProof/>
              </w:rPr>
              <w:t>STATISTICAL ANALYSIS</w:t>
            </w:r>
            <w:r>
              <w:rPr>
                <w:noProof/>
                <w:webHidden/>
              </w:rPr>
              <w:tab/>
            </w:r>
            <w:r>
              <w:rPr>
                <w:noProof/>
                <w:webHidden/>
              </w:rPr>
              <w:fldChar w:fldCharType="begin"/>
            </w:r>
            <w:r>
              <w:rPr>
                <w:noProof/>
                <w:webHidden/>
              </w:rPr>
              <w:instrText xml:space="preserve"> PAGEREF _Toc222910812 \h </w:instrText>
            </w:r>
            <w:r>
              <w:rPr>
                <w:noProof/>
                <w:webHidden/>
              </w:rPr>
            </w:r>
            <w:r>
              <w:rPr>
                <w:noProof/>
                <w:webHidden/>
              </w:rPr>
              <w:fldChar w:fldCharType="separate"/>
            </w:r>
            <w:r>
              <w:rPr>
                <w:noProof/>
                <w:webHidden/>
              </w:rPr>
              <w:t>13</w:t>
            </w:r>
            <w:r>
              <w:rPr>
                <w:noProof/>
                <w:webHidden/>
              </w:rPr>
              <w:fldChar w:fldCharType="end"/>
            </w:r>
          </w:hyperlink>
        </w:p>
        <w:p w:rsidR="00B23ADD" w:rsidRDefault="00B23ADD">
          <w:pPr>
            <w:pStyle w:val="TOC2"/>
            <w:tabs>
              <w:tab w:val="right" w:pos="9350"/>
            </w:tabs>
            <w:rPr>
              <w:rFonts w:eastAsiaTheme="minorEastAsia"/>
              <w:noProof/>
              <w14:ligatures w14:val="standardContextual"/>
            </w:rPr>
          </w:pPr>
          <w:hyperlink w:anchor="_Toc222910813" w:history="1">
            <w:r w:rsidRPr="00AB6CAD">
              <w:rPr>
                <w:rStyle w:val="Hyperlink"/>
                <w:noProof/>
              </w:rPr>
              <w:t>Correlation Heatmap</w:t>
            </w:r>
            <w:r>
              <w:rPr>
                <w:noProof/>
                <w:webHidden/>
              </w:rPr>
              <w:tab/>
            </w:r>
            <w:r>
              <w:rPr>
                <w:noProof/>
                <w:webHidden/>
              </w:rPr>
              <w:fldChar w:fldCharType="begin"/>
            </w:r>
            <w:r>
              <w:rPr>
                <w:noProof/>
                <w:webHidden/>
              </w:rPr>
              <w:instrText xml:space="preserve"> PAGEREF _Toc222910813 \h </w:instrText>
            </w:r>
            <w:r>
              <w:rPr>
                <w:noProof/>
                <w:webHidden/>
              </w:rPr>
            </w:r>
            <w:r>
              <w:rPr>
                <w:noProof/>
                <w:webHidden/>
              </w:rPr>
              <w:fldChar w:fldCharType="separate"/>
            </w:r>
            <w:r>
              <w:rPr>
                <w:noProof/>
                <w:webHidden/>
              </w:rPr>
              <w:t>13</w:t>
            </w:r>
            <w:r>
              <w:rPr>
                <w:noProof/>
                <w:webHidden/>
              </w:rPr>
              <w:fldChar w:fldCharType="end"/>
            </w:r>
          </w:hyperlink>
        </w:p>
        <w:p w:rsidR="00B23ADD" w:rsidRDefault="00B23ADD">
          <w:pPr>
            <w:pStyle w:val="TOC2"/>
            <w:tabs>
              <w:tab w:val="right" w:pos="9350"/>
            </w:tabs>
            <w:rPr>
              <w:rFonts w:eastAsiaTheme="minorEastAsia"/>
              <w:noProof/>
              <w14:ligatures w14:val="standardContextual"/>
            </w:rPr>
          </w:pPr>
          <w:hyperlink w:anchor="_Toc222910814" w:history="1">
            <w:r w:rsidRPr="00AB6CAD">
              <w:rPr>
                <w:rStyle w:val="Hyperlink"/>
                <w:noProof/>
              </w:rPr>
              <w:t>REGRESSION ANALYSIS</w:t>
            </w:r>
            <w:r>
              <w:rPr>
                <w:noProof/>
                <w:webHidden/>
              </w:rPr>
              <w:tab/>
            </w:r>
            <w:r>
              <w:rPr>
                <w:noProof/>
                <w:webHidden/>
              </w:rPr>
              <w:fldChar w:fldCharType="begin"/>
            </w:r>
            <w:r>
              <w:rPr>
                <w:noProof/>
                <w:webHidden/>
              </w:rPr>
              <w:instrText xml:space="preserve"> PAGEREF _Toc222910814 \h </w:instrText>
            </w:r>
            <w:r>
              <w:rPr>
                <w:noProof/>
                <w:webHidden/>
              </w:rPr>
            </w:r>
            <w:r>
              <w:rPr>
                <w:noProof/>
                <w:webHidden/>
              </w:rPr>
              <w:fldChar w:fldCharType="separate"/>
            </w:r>
            <w:r>
              <w:rPr>
                <w:noProof/>
                <w:webHidden/>
              </w:rPr>
              <w:t>15</w:t>
            </w:r>
            <w:r>
              <w:rPr>
                <w:noProof/>
                <w:webHidden/>
              </w:rPr>
              <w:fldChar w:fldCharType="end"/>
            </w:r>
          </w:hyperlink>
        </w:p>
        <w:p w:rsidR="00B23ADD" w:rsidRDefault="00B23ADD">
          <w:pPr>
            <w:pStyle w:val="TOC1"/>
            <w:tabs>
              <w:tab w:val="right" w:pos="9350"/>
            </w:tabs>
            <w:rPr>
              <w:rFonts w:eastAsiaTheme="minorEastAsia"/>
              <w:noProof/>
              <w14:ligatures w14:val="standardContextual"/>
            </w:rPr>
          </w:pPr>
          <w:hyperlink w:anchor="_Toc222910815" w:history="1">
            <w:r w:rsidRPr="00AB6CAD">
              <w:rPr>
                <w:rStyle w:val="Hyperlink"/>
                <w:noProof/>
              </w:rPr>
              <w:t>CONCLUSIONS</w:t>
            </w:r>
            <w:r>
              <w:rPr>
                <w:noProof/>
                <w:webHidden/>
              </w:rPr>
              <w:tab/>
            </w:r>
            <w:r>
              <w:rPr>
                <w:noProof/>
                <w:webHidden/>
              </w:rPr>
              <w:fldChar w:fldCharType="begin"/>
            </w:r>
            <w:r>
              <w:rPr>
                <w:noProof/>
                <w:webHidden/>
              </w:rPr>
              <w:instrText xml:space="preserve"> PAGEREF _Toc222910815 \h </w:instrText>
            </w:r>
            <w:r>
              <w:rPr>
                <w:noProof/>
                <w:webHidden/>
              </w:rPr>
            </w:r>
            <w:r>
              <w:rPr>
                <w:noProof/>
                <w:webHidden/>
              </w:rPr>
              <w:fldChar w:fldCharType="separate"/>
            </w:r>
            <w:r>
              <w:rPr>
                <w:noProof/>
                <w:webHidden/>
              </w:rPr>
              <w:t>20</w:t>
            </w:r>
            <w:r>
              <w:rPr>
                <w:noProof/>
                <w:webHidden/>
              </w:rPr>
              <w:fldChar w:fldCharType="end"/>
            </w:r>
          </w:hyperlink>
        </w:p>
        <w:p w:rsidR="00B23ADD" w:rsidRDefault="00B23ADD">
          <w:pPr>
            <w:pStyle w:val="TOC1"/>
            <w:tabs>
              <w:tab w:val="right" w:pos="9350"/>
            </w:tabs>
            <w:rPr>
              <w:rFonts w:eastAsiaTheme="minorEastAsia"/>
              <w:noProof/>
              <w14:ligatures w14:val="standardContextual"/>
            </w:rPr>
          </w:pPr>
          <w:hyperlink w:anchor="_Toc222910816" w:history="1">
            <w:r w:rsidRPr="00AB6CAD">
              <w:rPr>
                <w:rStyle w:val="Hyperlink"/>
                <w:noProof/>
              </w:rPr>
              <w:t>RECOMMENDATIONS</w:t>
            </w:r>
            <w:r>
              <w:rPr>
                <w:noProof/>
                <w:webHidden/>
              </w:rPr>
              <w:tab/>
            </w:r>
            <w:r>
              <w:rPr>
                <w:noProof/>
                <w:webHidden/>
              </w:rPr>
              <w:fldChar w:fldCharType="begin"/>
            </w:r>
            <w:r>
              <w:rPr>
                <w:noProof/>
                <w:webHidden/>
              </w:rPr>
              <w:instrText xml:space="preserve"> PAGEREF _Toc222910816 \h </w:instrText>
            </w:r>
            <w:r>
              <w:rPr>
                <w:noProof/>
                <w:webHidden/>
              </w:rPr>
            </w:r>
            <w:r>
              <w:rPr>
                <w:noProof/>
                <w:webHidden/>
              </w:rPr>
              <w:fldChar w:fldCharType="separate"/>
            </w:r>
            <w:r>
              <w:rPr>
                <w:noProof/>
                <w:webHidden/>
              </w:rPr>
              <w:t>21</w:t>
            </w:r>
            <w:r>
              <w:rPr>
                <w:noProof/>
                <w:webHidden/>
              </w:rPr>
              <w:fldChar w:fldCharType="end"/>
            </w:r>
          </w:hyperlink>
        </w:p>
        <w:p w:rsidR="00B23ADD" w:rsidRDefault="00B23ADD">
          <w:pPr>
            <w:pStyle w:val="TOC1"/>
            <w:tabs>
              <w:tab w:val="right" w:pos="9350"/>
            </w:tabs>
            <w:rPr>
              <w:rFonts w:eastAsiaTheme="minorEastAsia"/>
              <w:noProof/>
              <w14:ligatures w14:val="standardContextual"/>
            </w:rPr>
          </w:pPr>
          <w:hyperlink w:anchor="_Toc222910817" w:history="1">
            <w:r w:rsidRPr="00AB6CAD">
              <w:rPr>
                <w:rStyle w:val="Hyperlink"/>
                <w:noProof/>
              </w:rPr>
              <w:t>LIMITATIONS</w:t>
            </w:r>
            <w:r>
              <w:rPr>
                <w:noProof/>
                <w:webHidden/>
              </w:rPr>
              <w:tab/>
            </w:r>
            <w:r>
              <w:rPr>
                <w:noProof/>
                <w:webHidden/>
              </w:rPr>
              <w:fldChar w:fldCharType="begin"/>
            </w:r>
            <w:r>
              <w:rPr>
                <w:noProof/>
                <w:webHidden/>
              </w:rPr>
              <w:instrText xml:space="preserve"> PAGEREF _Toc222910817 \h </w:instrText>
            </w:r>
            <w:r>
              <w:rPr>
                <w:noProof/>
                <w:webHidden/>
              </w:rPr>
            </w:r>
            <w:r>
              <w:rPr>
                <w:noProof/>
                <w:webHidden/>
              </w:rPr>
              <w:fldChar w:fldCharType="separate"/>
            </w:r>
            <w:r>
              <w:rPr>
                <w:noProof/>
                <w:webHidden/>
              </w:rPr>
              <w:t>23</w:t>
            </w:r>
            <w:r>
              <w:rPr>
                <w:noProof/>
                <w:webHidden/>
              </w:rPr>
              <w:fldChar w:fldCharType="end"/>
            </w:r>
          </w:hyperlink>
        </w:p>
        <w:p w:rsidR="00B23ADD" w:rsidRDefault="00B23ADD">
          <w:pPr>
            <w:pStyle w:val="TOC1"/>
            <w:tabs>
              <w:tab w:val="right" w:pos="9350"/>
            </w:tabs>
            <w:rPr>
              <w:rFonts w:eastAsiaTheme="minorEastAsia"/>
              <w:noProof/>
              <w14:ligatures w14:val="standardContextual"/>
            </w:rPr>
          </w:pPr>
          <w:hyperlink w:anchor="_Toc222910818" w:history="1">
            <w:r w:rsidRPr="00AB6CAD">
              <w:rPr>
                <w:rStyle w:val="Hyperlink"/>
                <w:noProof/>
              </w:rPr>
              <w:t>APPENDIX</w:t>
            </w:r>
            <w:r>
              <w:rPr>
                <w:noProof/>
                <w:webHidden/>
              </w:rPr>
              <w:tab/>
            </w:r>
            <w:r>
              <w:rPr>
                <w:noProof/>
                <w:webHidden/>
              </w:rPr>
              <w:fldChar w:fldCharType="begin"/>
            </w:r>
            <w:r>
              <w:rPr>
                <w:noProof/>
                <w:webHidden/>
              </w:rPr>
              <w:instrText xml:space="preserve"> PAGEREF _Toc222910818 \h </w:instrText>
            </w:r>
            <w:r>
              <w:rPr>
                <w:noProof/>
                <w:webHidden/>
              </w:rPr>
            </w:r>
            <w:r>
              <w:rPr>
                <w:noProof/>
                <w:webHidden/>
              </w:rPr>
              <w:fldChar w:fldCharType="separate"/>
            </w:r>
            <w:r>
              <w:rPr>
                <w:noProof/>
                <w:webHidden/>
              </w:rPr>
              <w:t>24</w:t>
            </w:r>
            <w:r>
              <w:rPr>
                <w:noProof/>
                <w:webHidden/>
              </w:rPr>
              <w:fldChar w:fldCharType="end"/>
            </w:r>
          </w:hyperlink>
        </w:p>
        <w:p w:rsidR="00B23ADD" w:rsidRDefault="00B23ADD">
          <w:pPr>
            <w:pStyle w:val="TOC1"/>
            <w:tabs>
              <w:tab w:val="right" w:pos="9350"/>
            </w:tabs>
            <w:rPr>
              <w:rFonts w:eastAsiaTheme="minorEastAsia"/>
              <w:noProof/>
              <w14:ligatures w14:val="standardContextual"/>
            </w:rPr>
          </w:pPr>
          <w:hyperlink w:anchor="_Toc222910819" w:history="1">
            <w:r w:rsidRPr="00AB6CAD">
              <w:rPr>
                <w:rStyle w:val="Hyperlink"/>
                <w:noProof/>
              </w:rPr>
              <w:t>REFERENCES</w:t>
            </w:r>
            <w:r>
              <w:rPr>
                <w:noProof/>
                <w:webHidden/>
              </w:rPr>
              <w:tab/>
            </w:r>
            <w:r>
              <w:rPr>
                <w:noProof/>
                <w:webHidden/>
              </w:rPr>
              <w:fldChar w:fldCharType="begin"/>
            </w:r>
            <w:r>
              <w:rPr>
                <w:noProof/>
                <w:webHidden/>
              </w:rPr>
              <w:instrText xml:space="preserve"> PAGEREF _Toc222910819 \h </w:instrText>
            </w:r>
            <w:r>
              <w:rPr>
                <w:noProof/>
                <w:webHidden/>
              </w:rPr>
            </w:r>
            <w:r>
              <w:rPr>
                <w:noProof/>
                <w:webHidden/>
              </w:rPr>
              <w:fldChar w:fldCharType="separate"/>
            </w:r>
            <w:r>
              <w:rPr>
                <w:noProof/>
                <w:webHidden/>
              </w:rPr>
              <w:t>25</w:t>
            </w:r>
            <w:r>
              <w:rPr>
                <w:noProof/>
                <w:webHidden/>
              </w:rPr>
              <w:fldChar w:fldCharType="end"/>
            </w:r>
          </w:hyperlink>
        </w:p>
        <w:p w:rsidR="008D12C1" w:rsidRDefault="008D12C1" w:rsidP="008D12C1">
          <w:pPr>
            <w:spacing w:line="276" w:lineRule="auto"/>
          </w:pPr>
          <w:r>
            <w:fldChar w:fldCharType="end"/>
          </w:r>
        </w:p>
      </w:sdtContent>
    </w:sdt>
    <w:p w:rsidR="002B789D" w:rsidRDefault="002B789D">
      <w:pPr>
        <w:rPr>
          <w:rFonts w:asciiTheme="majorHAnsi" w:eastAsiaTheme="majorEastAsia" w:hAnsiTheme="majorHAnsi" w:cstheme="majorBidi"/>
          <w:color w:val="B76E0B" w:themeColor="accent1" w:themeShade="BF"/>
          <w:sz w:val="24"/>
          <w:szCs w:val="24"/>
          <w:u w:val="single"/>
        </w:rPr>
      </w:pPr>
      <w:r>
        <w:rPr>
          <w:sz w:val="24"/>
          <w:szCs w:val="24"/>
          <w:u w:val="single"/>
        </w:rPr>
        <w:br w:type="page"/>
      </w:r>
    </w:p>
    <w:p w:rsidR="008642E7" w:rsidRPr="00154CEE" w:rsidRDefault="008642E7" w:rsidP="00154CEE">
      <w:pPr>
        <w:pStyle w:val="TableofFigures"/>
        <w:tabs>
          <w:tab w:val="right" w:pos="9350"/>
        </w:tabs>
        <w:spacing w:line="360" w:lineRule="auto"/>
        <w:outlineLvl w:val="0"/>
        <w:rPr>
          <w:sz w:val="24"/>
          <w:szCs w:val="24"/>
          <w:u w:val="single"/>
        </w:rPr>
      </w:pPr>
      <w:bookmarkStart w:id="0" w:name="_Toc222910800"/>
      <w:r>
        <w:rPr>
          <w:sz w:val="24"/>
          <w:szCs w:val="24"/>
          <w:u w:val="single"/>
        </w:rPr>
        <w:lastRenderedPageBreak/>
        <w:t>TABLE OF FIGURES</w:t>
      </w:r>
      <w:bookmarkEnd w:id="0"/>
    </w:p>
    <w:p w:rsidR="008642E7" w:rsidRDefault="008642E7" w:rsidP="00154CEE">
      <w:pPr>
        <w:pStyle w:val="TableofFigures"/>
        <w:tabs>
          <w:tab w:val="right" w:pos="9350"/>
        </w:tabs>
        <w:spacing w:line="360" w:lineRule="auto"/>
        <w:jc w:val="both"/>
        <w:rPr>
          <w:rFonts w:eastAsiaTheme="minorEastAsia"/>
          <w:noProof/>
          <w14:ligatures w14:val="standardContextual"/>
        </w:rPr>
      </w:pPr>
      <w:r>
        <w:rPr>
          <w:sz w:val="24"/>
          <w:szCs w:val="24"/>
          <w:u w:val="single"/>
        </w:rPr>
        <w:fldChar w:fldCharType="begin"/>
      </w:r>
      <w:r>
        <w:rPr>
          <w:sz w:val="24"/>
          <w:szCs w:val="24"/>
          <w:u w:val="single"/>
        </w:rPr>
        <w:instrText xml:space="preserve"> TOC \h \z \c "Fig" </w:instrText>
      </w:r>
      <w:r>
        <w:rPr>
          <w:sz w:val="24"/>
          <w:szCs w:val="24"/>
          <w:u w:val="single"/>
        </w:rPr>
        <w:fldChar w:fldCharType="separate"/>
      </w:r>
      <w:hyperlink w:anchor="_Toc222908854" w:history="1">
        <w:r w:rsidRPr="005A6BED">
          <w:rPr>
            <w:rStyle w:val="Hyperlink"/>
            <w:noProof/>
          </w:rPr>
          <w:t>Fig 1 Warehouse Distribution and Avg Product ton by Capacity Size</w:t>
        </w:r>
        <w:r>
          <w:rPr>
            <w:noProof/>
            <w:webHidden/>
          </w:rPr>
          <w:tab/>
        </w:r>
        <w:r>
          <w:rPr>
            <w:noProof/>
            <w:webHidden/>
          </w:rPr>
          <w:fldChar w:fldCharType="begin"/>
        </w:r>
        <w:r>
          <w:rPr>
            <w:noProof/>
            <w:webHidden/>
          </w:rPr>
          <w:instrText xml:space="preserve"> PAGEREF _Toc222908854 \h </w:instrText>
        </w:r>
        <w:r>
          <w:rPr>
            <w:noProof/>
            <w:webHidden/>
          </w:rPr>
        </w:r>
        <w:r>
          <w:rPr>
            <w:noProof/>
            <w:webHidden/>
          </w:rPr>
          <w:fldChar w:fldCharType="separate"/>
        </w:r>
        <w:r w:rsidR="00B23ADD">
          <w:rPr>
            <w:noProof/>
            <w:webHidden/>
          </w:rPr>
          <w:t>8</w:t>
        </w:r>
        <w:r>
          <w:rPr>
            <w:noProof/>
            <w:webHidden/>
          </w:rPr>
          <w:fldChar w:fldCharType="end"/>
        </w:r>
      </w:hyperlink>
    </w:p>
    <w:p w:rsidR="008642E7" w:rsidRDefault="008642E7" w:rsidP="00154CEE">
      <w:pPr>
        <w:pStyle w:val="TableofFigures"/>
        <w:tabs>
          <w:tab w:val="right" w:pos="9350"/>
        </w:tabs>
        <w:spacing w:line="360" w:lineRule="auto"/>
        <w:jc w:val="both"/>
        <w:rPr>
          <w:rFonts w:eastAsiaTheme="minorEastAsia"/>
          <w:noProof/>
          <w14:ligatures w14:val="standardContextual"/>
        </w:rPr>
      </w:pPr>
      <w:hyperlink w:anchor="_Toc222908855" w:history="1">
        <w:r w:rsidRPr="005A6BED">
          <w:rPr>
            <w:rStyle w:val="Hyperlink"/>
            <w:noProof/>
          </w:rPr>
          <w:t>Fig 2 Warehouse Distribution and Avg Product ton by Location</w:t>
        </w:r>
        <w:r>
          <w:rPr>
            <w:noProof/>
            <w:webHidden/>
          </w:rPr>
          <w:tab/>
        </w:r>
        <w:r>
          <w:rPr>
            <w:noProof/>
            <w:webHidden/>
          </w:rPr>
          <w:fldChar w:fldCharType="begin"/>
        </w:r>
        <w:r>
          <w:rPr>
            <w:noProof/>
            <w:webHidden/>
          </w:rPr>
          <w:instrText xml:space="preserve"> PAGEREF _Toc222908855 \h </w:instrText>
        </w:r>
        <w:r>
          <w:rPr>
            <w:noProof/>
            <w:webHidden/>
          </w:rPr>
        </w:r>
        <w:r>
          <w:rPr>
            <w:noProof/>
            <w:webHidden/>
          </w:rPr>
          <w:fldChar w:fldCharType="separate"/>
        </w:r>
        <w:r w:rsidR="00B23ADD">
          <w:rPr>
            <w:noProof/>
            <w:webHidden/>
          </w:rPr>
          <w:t>9</w:t>
        </w:r>
        <w:r>
          <w:rPr>
            <w:noProof/>
            <w:webHidden/>
          </w:rPr>
          <w:fldChar w:fldCharType="end"/>
        </w:r>
      </w:hyperlink>
    </w:p>
    <w:p w:rsidR="008642E7" w:rsidRDefault="008642E7" w:rsidP="00154CEE">
      <w:pPr>
        <w:pStyle w:val="TableofFigures"/>
        <w:tabs>
          <w:tab w:val="right" w:pos="9350"/>
        </w:tabs>
        <w:spacing w:line="360" w:lineRule="auto"/>
        <w:jc w:val="both"/>
        <w:rPr>
          <w:rFonts w:eastAsiaTheme="minorEastAsia"/>
          <w:noProof/>
          <w14:ligatures w14:val="standardContextual"/>
        </w:rPr>
      </w:pPr>
      <w:hyperlink w:anchor="_Toc222908856" w:history="1">
        <w:r w:rsidRPr="005A6BED">
          <w:rPr>
            <w:rStyle w:val="Hyperlink"/>
            <w:noProof/>
          </w:rPr>
          <w:t>Fig 3 Warehouse Distribution by Zone</w:t>
        </w:r>
        <w:r>
          <w:rPr>
            <w:noProof/>
            <w:webHidden/>
          </w:rPr>
          <w:tab/>
        </w:r>
        <w:r>
          <w:rPr>
            <w:noProof/>
            <w:webHidden/>
          </w:rPr>
          <w:fldChar w:fldCharType="begin"/>
        </w:r>
        <w:r>
          <w:rPr>
            <w:noProof/>
            <w:webHidden/>
          </w:rPr>
          <w:instrText xml:space="preserve"> PAGEREF _Toc222908856 \h </w:instrText>
        </w:r>
        <w:r>
          <w:rPr>
            <w:noProof/>
            <w:webHidden/>
          </w:rPr>
        </w:r>
        <w:r>
          <w:rPr>
            <w:noProof/>
            <w:webHidden/>
          </w:rPr>
          <w:fldChar w:fldCharType="separate"/>
        </w:r>
        <w:r w:rsidR="00B23ADD">
          <w:rPr>
            <w:noProof/>
            <w:webHidden/>
          </w:rPr>
          <w:t>9</w:t>
        </w:r>
        <w:r>
          <w:rPr>
            <w:noProof/>
            <w:webHidden/>
          </w:rPr>
          <w:fldChar w:fldCharType="end"/>
        </w:r>
      </w:hyperlink>
    </w:p>
    <w:p w:rsidR="008642E7" w:rsidRDefault="008642E7" w:rsidP="00154CEE">
      <w:pPr>
        <w:pStyle w:val="TableofFigures"/>
        <w:tabs>
          <w:tab w:val="right" w:pos="9350"/>
        </w:tabs>
        <w:spacing w:line="360" w:lineRule="auto"/>
        <w:jc w:val="both"/>
        <w:rPr>
          <w:rFonts w:eastAsiaTheme="minorEastAsia"/>
          <w:noProof/>
          <w14:ligatures w14:val="standardContextual"/>
        </w:rPr>
      </w:pPr>
      <w:hyperlink w:anchor="_Toc222908857" w:history="1">
        <w:r w:rsidRPr="005A6BED">
          <w:rPr>
            <w:rStyle w:val="Hyperlink"/>
            <w:noProof/>
          </w:rPr>
          <w:t>Fig 4 Average Product ton delivered by Zone</w:t>
        </w:r>
        <w:r>
          <w:rPr>
            <w:noProof/>
            <w:webHidden/>
          </w:rPr>
          <w:tab/>
        </w:r>
        <w:r>
          <w:rPr>
            <w:noProof/>
            <w:webHidden/>
          </w:rPr>
          <w:fldChar w:fldCharType="begin"/>
        </w:r>
        <w:r>
          <w:rPr>
            <w:noProof/>
            <w:webHidden/>
          </w:rPr>
          <w:instrText xml:space="preserve"> PAGEREF _Toc222908857 \h </w:instrText>
        </w:r>
        <w:r>
          <w:rPr>
            <w:noProof/>
            <w:webHidden/>
          </w:rPr>
        </w:r>
        <w:r>
          <w:rPr>
            <w:noProof/>
            <w:webHidden/>
          </w:rPr>
          <w:fldChar w:fldCharType="separate"/>
        </w:r>
        <w:r w:rsidR="00B23ADD">
          <w:rPr>
            <w:noProof/>
            <w:webHidden/>
          </w:rPr>
          <w:t>10</w:t>
        </w:r>
        <w:r>
          <w:rPr>
            <w:noProof/>
            <w:webHidden/>
          </w:rPr>
          <w:fldChar w:fldCharType="end"/>
        </w:r>
      </w:hyperlink>
    </w:p>
    <w:p w:rsidR="008642E7" w:rsidRDefault="008642E7" w:rsidP="00154CEE">
      <w:pPr>
        <w:pStyle w:val="TableofFigures"/>
        <w:tabs>
          <w:tab w:val="right" w:pos="9350"/>
        </w:tabs>
        <w:spacing w:line="360" w:lineRule="auto"/>
        <w:jc w:val="both"/>
        <w:rPr>
          <w:rFonts w:eastAsiaTheme="minorEastAsia"/>
          <w:noProof/>
          <w14:ligatures w14:val="standardContextual"/>
        </w:rPr>
      </w:pPr>
      <w:hyperlink w:anchor="_Toc222908858" w:history="1">
        <w:r w:rsidRPr="005A6BED">
          <w:rPr>
            <w:rStyle w:val="Hyperlink"/>
            <w:noProof/>
          </w:rPr>
          <w:t>Fig 5 Warehouse Distribution by Regional Zone</w:t>
        </w:r>
        <w:r>
          <w:rPr>
            <w:noProof/>
            <w:webHidden/>
          </w:rPr>
          <w:tab/>
        </w:r>
        <w:r>
          <w:rPr>
            <w:noProof/>
            <w:webHidden/>
          </w:rPr>
          <w:fldChar w:fldCharType="begin"/>
        </w:r>
        <w:r>
          <w:rPr>
            <w:noProof/>
            <w:webHidden/>
          </w:rPr>
          <w:instrText xml:space="preserve"> PAGEREF _Toc222908858 \h </w:instrText>
        </w:r>
        <w:r>
          <w:rPr>
            <w:noProof/>
            <w:webHidden/>
          </w:rPr>
        </w:r>
        <w:r>
          <w:rPr>
            <w:noProof/>
            <w:webHidden/>
          </w:rPr>
          <w:fldChar w:fldCharType="separate"/>
        </w:r>
        <w:r w:rsidR="00B23ADD">
          <w:rPr>
            <w:noProof/>
            <w:webHidden/>
          </w:rPr>
          <w:t>10</w:t>
        </w:r>
        <w:r>
          <w:rPr>
            <w:noProof/>
            <w:webHidden/>
          </w:rPr>
          <w:fldChar w:fldCharType="end"/>
        </w:r>
      </w:hyperlink>
    </w:p>
    <w:p w:rsidR="008642E7" w:rsidRDefault="008642E7" w:rsidP="00154CEE">
      <w:pPr>
        <w:pStyle w:val="TableofFigures"/>
        <w:tabs>
          <w:tab w:val="right" w:pos="9350"/>
        </w:tabs>
        <w:spacing w:line="360" w:lineRule="auto"/>
        <w:jc w:val="both"/>
        <w:rPr>
          <w:rFonts w:eastAsiaTheme="minorEastAsia"/>
          <w:noProof/>
          <w14:ligatures w14:val="standardContextual"/>
        </w:rPr>
      </w:pPr>
      <w:hyperlink w:anchor="_Toc222908859" w:history="1">
        <w:r w:rsidRPr="005A6BED">
          <w:rPr>
            <w:rStyle w:val="Hyperlink"/>
            <w:noProof/>
          </w:rPr>
          <w:t>Fig 6 Average Product ton delivered by Regional Zone</w:t>
        </w:r>
        <w:r>
          <w:rPr>
            <w:noProof/>
            <w:webHidden/>
          </w:rPr>
          <w:tab/>
        </w:r>
        <w:r>
          <w:rPr>
            <w:noProof/>
            <w:webHidden/>
          </w:rPr>
          <w:fldChar w:fldCharType="begin"/>
        </w:r>
        <w:r>
          <w:rPr>
            <w:noProof/>
            <w:webHidden/>
          </w:rPr>
          <w:instrText xml:space="preserve"> PAGEREF _Toc222908859 \h </w:instrText>
        </w:r>
        <w:r>
          <w:rPr>
            <w:noProof/>
            <w:webHidden/>
          </w:rPr>
        </w:r>
        <w:r>
          <w:rPr>
            <w:noProof/>
            <w:webHidden/>
          </w:rPr>
          <w:fldChar w:fldCharType="separate"/>
        </w:r>
        <w:r w:rsidR="00B23ADD">
          <w:rPr>
            <w:noProof/>
            <w:webHidden/>
          </w:rPr>
          <w:t>11</w:t>
        </w:r>
        <w:r>
          <w:rPr>
            <w:noProof/>
            <w:webHidden/>
          </w:rPr>
          <w:fldChar w:fldCharType="end"/>
        </w:r>
      </w:hyperlink>
    </w:p>
    <w:p w:rsidR="008642E7" w:rsidRDefault="008642E7" w:rsidP="00154CEE">
      <w:pPr>
        <w:pStyle w:val="TableofFigures"/>
        <w:tabs>
          <w:tab w:val="right" w:pos="9350"/>
        </w:tabs>
        <w:spacing w:line="360" w:lineRule="auto"/>
        <w:jc w:val="both"/>
        <w:rPr>
          <w:rFonts w:eastAsiaTheme="minorEastAsia"/>
          <w:noProof/>
          <w14:ligatures w14:val="standardContextual"/>
        </w:rPr>
      </w:pPr>
      <w:hyperlink w:anchor="_Toc222908860" w:history="1">
        <w:r w:rsidRPr="005A6BED">
          <w:rPr>
            <w:rStyle w:val="Hyperlink"/>
            <w:noProof/>
          </w:rPr>
          <w:t>Fig 7 Warehouse Distribution and Avg Product ton by Owner Type</w:t>
        </w:r>
        <w:r>
          <w:rPr>
            <w:noProof/>
            <w:webHidden/>
          </w:rPr>
          <w:tab/>
        </w:r>
        <w:r>
          <w:rPr>
            <w:noProof/>
            <w:webHidden/>
          </w:rPr>
          <w:fldChar w:fldCharType="begin"/>
        </w:r>
        <w:r>
          <w:rPr>
            <w:noProof/>
            <w:webHidden/>
          </w:rPr>
          <w:instrText xml:space="preserve"> PAGEREF _Toc222908860 \h </w:instrText>
        </w:r>
        <w:r>
          <w:rPr>
            <w:noProof/>
            <w:webHidden/>
          </w:rPr>
        </w:r>
        <w:r>
          <w:rPr>
            <w:noProof/>
            <w:webHidden/>
          </w:rPr>
          <w:fldChar w:fldCharType="separate"/>
        </w:r>
        <w:r w:rsidR="00B23ADD">
          <w:rPr>
            <w:noProof/>
            <w:webHidden/>
          </w:rPr>
          <w:t>11</w:t>
        </w:r>
        <w:r>
          <w:rPr>
            <w:noProof/>
            <w:webHidden/>
          </w:rPr>
          <w:fldChar w:fldCharType="end"/>
        </w:r>
      </w:hyperlink>
    </w:p>
    <w:p w:rsidR="008642E7" w:rsidRDefault="008642E7" w:rsidP="00154CEE">
      <w:pPr>
        <w:pStyle w:val="TableofFigures"/>
        <w:tabs>
          <w:tab w:val="right" w:pos="9350"/>
        </w:tabs>
        <w:spacing w:line="360" w:lineRule="auto"/>
        <w:jc w:val="both"/>
        <w:rPr>
          <w:rFonts w:eastAsiaTheme="minorEastAsia"/>
          <w:noProof/>
          <w14:ligatures w14:val="standardContextual"/>
        </w:rPr>
      </w:pPr>
      <w:hyperlink w:anchor="_Toc222908861" w:history="1">
        <w:r w:rsidRPr="005A6BED">
          <w:rPr>
            <w:rStyle w:val="Hyperlink"/>
            <w:noProof/>
          </w:rPr>
          <w:t>Fig 8 Warehouse Distribution by Government Certificate</w:t>
        </w:r>
        <w:r>
          <w:rPr>
            <w:noProof/>
            <w:webHidden/>
          </w:rPr>
          <w:tab/>
        </w:r>
        <w:r>
          <w:rPr>
            <w:noProof/>
            <w:webHidden/>
          </w:rPr>
          <w:fldChar w:fldCharType="begin"/>
        </w:r>
        <w:r>
          <w:rPr>
            <w:noProof/>
            <w:webHidden/>
          </w:rPr>
          <w:instrText xml:space="preserve"> PAGEREF _Toc222908861 \h </w:instrText>
        </w:r>
        <w:r>
          <w:rPr>
            <w:noProof/>
            <w:webHidden/>
          </w:rPr>
        </w:r>
        <w:r>
          <w:rPr>
            <w:noProof/>
            <w:webHidden/>
          </w:rPr>
          <w:fldChar w:fldCharType="separate"/>
        </w:r>
        <w:r w:rsidR="00B23ADD">
          <w:rPr>
            <w:noProof/>
            <w:webHidden/>
          </w:rPr>
          <w:t>12</w:t>
        </w:r>
        <w:r>
          <w:rPr>
            <w:noProof/>
            <w:webHidden/>
          </w:rPr>
          <w:fldChar w:fldCharType="end"/>
        </w:r>
      </w:hyperlink>
    </w:p>
    <w:p w:rsidR="008642E7" w:rsidRDefault="008642E7" w:rsidP="00154CEE">
      <w:pPr>
        <w:pStyle w:val="TableofFigures"/>
        <w:tabs>
          <w:tab w:val="right" w:pos="9350"/>
        </w:tabs>
        <w:spacing w:line="360" w:lineRule="auto"/>
        <w:jc w:val="both"/>
        <w:rPr>
          <w:rFonts w:eastAsiaTheme="minorEastAsia"/>
          <w:noProof/>
          <w14:ligatures w14:val="standardContextual"/>
        </w:rPr>
      </w:pPr>
      <w:hyperlink w:anchor="_Toc222908862" w:history="1">
        <w:r w:rsidRPr="005A6BED">
          <w:rPr>
            <w:rStyle w:val="Hyperlink"/>
            <w:noProof/>
          </w:rPr>
          <w:t>Fig 9 Average Product ton distribution by Government Certificate</w:t>
        </w:r>
        <w:r>
          <w:rPr>
            <w:noProof/>
            <w:webHidden/>
          </w:rPr>
          <w:tab/>
        </w:r>
        <w:r>
          <w:rPr>
            <w:noProof/>
            <w:webHidden/>
          </w:rPr>
          <w:fldChar w:fldCharType="begin"/>
        </w:r>
        <w:r>
          <w:rPr>
            <w:noProof/>
            <w:webHidden/>
          </w:rPr>
          <w:instrText xml:space="preserve"> PAGEREF _Toc222908862 \h </w:instrText>
        </w:r>
        <w:r>
          <w:rPr>
            <w:noProof/>
            <w:webHidden/>
          </w:rPr>
        </w:r>
        <w:r>
          <w:rPr>
            <w:noProof/>
            <w:webHidden/>
          </w:rPr>
          <w:fldChar w:fldCharType="separate"/>
        </w:r>
        <w:r w:rsidR="00B23ADD">
          <w:rPr>
            <w:noProof/>
            <w:webHidden/>
          </w:rPr>
          <w:t>12</w:t>
        </w:r>
        <w:r>
          <w:rPr>
            <w:noProof/>
            <w:webHidden/>
          </w:rPr>
          <w:fldChar w:fldCharType="end"/>
        </w:r>
      </w:hyperlink>
    </w:p>
    <w:p w:rsidR="008642E7" w:rsidRDefault="008642E7" w:rsidP="00154CEE">
      <w:pPr>
        <w:pStyle w:val="TableofFigures"/>
        <w:tabs>
          <w:tab w:val="right" w:pos="9350"/>
        </w:tabs>
        <w:spacing w:line="360" w:lineRule="auto"/>
        <w:jc w:val="both"/>
        <w:rPr>
          <w:rFonts w:eastAsiaTheme="minorEastAsia"/>
          <w:noProof/>
          <w14:ligatures w14:val="standardContextual"/>
        </w:rPr>
      </w:pPr>
      <w:hyperlink w:anchor="_Toc222908863" w:history="1">
        <w:r w:rsidRPr="005A6BED">
          <w:rPr>
            <w:rStyle w:val="Hyperlink"/>
            <w:noProof/>
          </w:rPr>
          <w:t>Fig 10 Correlation Heatmap Between Numerical Variables in Dataset</w:t>
        </w:r>
        <w:r>
          <w:rPr>
            <w:noProof/>
            <w:webHidden/>
          </w:rPr>
          <w:tab/>
        </w:r>
        <w:r>
          <w:rPr>
            <w:noProof/>
            <w:webHidden/>
          </w:rPr>
          <w:fldChar w:fldCharType="begin"/>
        </w:r>
        <w:r>
          <w:rPr>
            <w:noProof/>
            <w:webHidden/>
          </w:rPr>
          <w:instrText xml:space="preserve"> PAGEREF _Toc222908863 \h </w:instrText>
        </w:r>
        <w:r>
          <w:rPr>
            <w:noProof/>
            <w:webHidden/>
          </w:rPr>
        </w:r>
        <w:r>
          <w:rPr>
            <w:noProof/>
            <w:webHidden/>
          </w:rPr>
          <w:fldChar w:fldCharType="separate"/>
        </w:r>
        <w:r w:rsidR="00B23ADD">
          <w:rPr>
            <w:noProof/>
            <w:webHidden/>
          </w:rPr>
          <w:t>13</w:t>
        </w:r>
        <w:r>
          <w:rPr>
            <w:noProof/>
            <w:webHidden/>
          </w:rPr>
          <w:fldChar w:fldCharType="end"/>
        </w:r>
      </w:hyperlink>
    </w:p>
    <w:p w:rsidR="008642E7" w:rsidRDefault="008642E7" w:rsidP="00154CEE">
      <w:pPr>
        <w:pStyle w:val="TableofFigures"/>
        <w:tabs>
          <w:tab w:val="right" w:pos="9350"/>
        </w:tabs>
        <w:spacing w:line="360" w:lineRule="auto"/>
        <w:jc w:val="both"/>
        <w:rPr>
          <w:rFonts w:eastAsiaTheme="minorEastAsia"/>
          <w:noProof/>
          <w14:ligatures w14:val="standardContextual"/>
        </w:rPr>
      </w:pPr>
      <w:hyperlink w:anchor="_Toc222908864" w:history="1">
        <w:r w:rsidRPr="005A6BED">
          <w:rPr>
            <w:rStyle w:val="Hyperlink"/>
            <w:noProof/>
          </w:rPr>
          <w:t>Fig 11 Regression Model Using all Numerical Variables</w:t>
        </w:r>
        <w:r>
          <w:rPr>
            <w:noProof/>
            <w:webHidden/>
          </w:rPr>
          <w:tab/>
        </w:r>
        <w:r>
          <w:rPr>
            <w:noProof/>
            <w:webHidden/>
          </w:rPr>
          <w:fldChar w:fldCharType="begin"/>
        </w:r>
        <w:r>
          <w:rPr>
            <w:noProof/>
            <w:webHidden/>
          </w:rPr>
          <w:instrText xml:space="preserve"> PAGEREF _Toc222908864 \h </w:instrText>
        </w:r>
        <w:r>
          <w:rPr>
            <w:noProof/>
            <w:webHidden/>
          </w:rPr>
        </w:r>
        <w:r>
          <w:rPr>
            <w:noProof/>
            <w:webHidden/>
          </w:rPr>
          <w:fldChar w:fldCharType="separate"/>
        </w:r>
        <w:r w:rsidR="00B23ADD">
          <w:rPr>
            <w:noProof/>
            <w:webHidden/>
          </w:rPr>
          <w:t>15</w:t>
        </w:r>
        <w:r>
          <w:rPr>
            <w:noProof/>
            <w:webHidden/>
          </w:rPr>
          <w:fldChar w:fldCharType="end"/>
        </w:r>
      </w:hyperlink>
    </w:p>
    <w:p w:rsidR="008642E7" w:rsidRDefault="008642E7" w:rsidP="00154CEE">
      <w:pPr>
        <w:pStyle w:val="TableofFigures"/>
        <w:tabs>
          <w:tab w:val="right" w:pos="9350"/>
        </w:tabs>
        <w:spacing w:line="360" w:lineRule="auto"/>
        <w:jc w:val="both"/>
        <w:rPr>
          <w:rFonts w:eastAsiaTheme="minorEastAsia"/>
          <w:noProof/>
          <w14:ligatures w14:val="standardContextual"/>
        </w:rPr>
      </w:pPr>
      <w:hyperlink w:anchor="_Toc222908865" w:history="1">
        <w:r w:rsidRPr="005A6BED">
          <w:rPr>
            <w:rStyle w:val="Hyperlink"/>
            <w:noProof/>
          </w:rPr>
          <w:t>Fig 12 Regression Model (Formula)</w:t>
        </w:r>
        <w:r>
          <w:rPr>
            <w:noProof/>
            <w:webHidden/>
          </w:rPr>
          <w:tab/>
        </w:r>
        <w:r>
          <w:rPr>
            <w:noProof/>
            <w:webHidden/>
          </w:rPr>
          <w:fldChar w:fldCharType="begin"/>
        </w:r>
        <w:r>
          <w:rPr>
            <w:noProof/>
            <w:webHidden/>
          </w:rPr>
          <w:instrText xml:space="preserve"> PAGEREF _Toc222908865 \h </w:instrText>
        </w:r>
        <w:r>
          <w:rPr>
            <w:noProof/>
            <w:webHidden/>
          </w:rPr>
        </w:r>
        <w:r>
          <w:rPr>
            <w:noProof/>
            <w:webHidden/>
          </w:rPr>
          <w:fldChar w:fldCharType="separate"/>
        </w:r>
        <w:r w:rsidR="00B23ADD">
          <w:rPr>
            <w:noProof/>
            <w:webHidden/>
          </w:rPr>
          <w:t>16</w:t>
        </w:r>
        <w:r>
          <w:rPr>
            <w:noProof/>
            <w:webHidden/>
          </w:rPr>
          <w:fldChar w:fldCharType="end"/>
        </w:r>
      </w:hyperlink>
    </w:p>
    <w:p w:rsidR="008642E7" w:rsidRDefault="008642E7" w:rsidP="00154CEE">
      <w:pPr>
        <w:pStyle w:val="TableofFigures"/>
        <w:tabs>
          <w:tab w:val="right" w:pos="9350"/>
        </w:tabs>
        <w:spacing w:line="360" w:lineRule="auto"/>
        <w:jc w:val="both"/>
        <w:rPr>
          <w:rFonts w:eastAsiaTheme="minorEastAsia"/>
          <w:noProof/>
          <w14:ligatures w14:val="standardContextual"/>
        </w:rPr>
      </w:pPr>
      <w:hyperlink w:anchor="_Toc222908866" w:history="1">
        <w:r w:rsidRPr="005A6BED">
          <w:rPr>
            <w:rStyle w:val="Hyperlink"/>
            <w:noProof/>
          </w:rPr>
          <w:t>Fig 13 Three different Predictions from Model 1</w:t>
        </w:r>
        <w:r>
          <w:rPr>
            <w:noProof/>
            <w:webHidden/>
          </w:rPr>
          <w:tab/>
        </w:r>
        <w:r>
          <w:rPr>
            <w:noProof/>
            <w:webHidden/>
          </w:rPr>
          <w:fldChar w:fldCharType="begin"/>
        </w:r>
        <w:r>
          <w:rPr>
            <w:noProof/>
            <w:webHidden/>
          </w:rPr>
          <w:instrText xml:space="preserve"> PAGEREF _Toc222908866 \h </w:instrText>
        </w:r>
        <w:r>
          <w:rPr>
            <w:noProof/>
            <w:webHidden/>
          </w:rPr>
        </w:r>
        <w:r>
          <w:rPr>
            <w:noProof/>
            <w:webHidden/>
          </w:rPr>
          <w:fldChar w:fldCharType="separate"/>
        </w:r>
        <w:r w:rsidR="00B23ADD">
          <w:rPr>
            <w:noProof/>
            <w:webHidden/>
          </w:rPr>
          <w:t>17</w:t>
        </w:r>
        <w:r>
          <w:rPr>
            <w:noProof/>
            <w:webHidden/>
          </w:rPr>
          <w:fldChar w:fldCharType="end"/>
        </w:r>
      </w:hyperlink>
    </w:p>
    <w:p w:rsidR="008642E7" w:rsidRDefault="008642E7" w:rsidP="00154CEE">
      <w:pPr>
        <w:pStyle w:val="TableofFigures"/>
        <w:tabs>
          <w:tab w:val="right" w:pos="9350"/>
        </w:tabs>
        <w:spacing w:line="360" w:lineRule="auto"/>
        <w:jc w:val="both"/>
        <w:rPr>
          <w:rFonts w:eastAsiaTheme="minorEastAsia"/>
          <w:noProof/>
          <w14:ligatures w14:val="standardContextual"/>
        </w:rPr>
      </w:pPr>
      <w:hyperlink w:anchor="_Toc222908867" w:history="1">
        <w:r w:rsidRPr="005A6BED">
          <w:rPr>
            <w:rStyle w:val="Hyperlink"/>
            <w:noProof/>
          </w:rPr>
          <w:t>Fig 14 Regression Model Using only Significant Variables from Correlation Heatmap</w:t>
        </w:r>
        <w:r>
          <w:rPr>
            <w:noProof/>
            <w:webHidden/>
          </w:rPr>
          <w:tab/>
        </w:r>
        <w:r>
          <w:rPr>
            <w:noProof/>
            <w:webHidden/>
          </w:rPr>
          <w:fldChar w:fldCharType="begin"/>
        </w:r>
        <w:r>
          <w:rPr>
            <w:noProof/>
            <w:webHidden/>
          </w:rPr>
          <w:instrText xml:space="preserve"> PAGEREF _Toc222908867 \h </w:instrText>
        </w:r>
        <w:r>
          <w:rPr>
            <w:noProof/>
            <w:webHidden/>
          </w:rPr>
        </w:r>
        <w:r>
          <w:rPr>
            <w:noProof/>
            <w:webHidden/>
          </w:rPr>
          <w:fldChar w:fldCharType="separate"/>
        </w:r>
        <w:r w:rsidR="00B23ADD">
          <w:rPr>
            <w:noProof/>
            <w:webHidden/>
          </w:rPr>
          <w:t>18</w:t>
        </w:r>
        <w:r>
          <w:rPr>
            <w:noProof/>
            <w:webHidden/>
          </w:rPr>
          <w:fldChar w:fldCharType="end"/>
        </w:r>
      </w:hyperlink>
    </w:p>
    <w:p w:rsidR="008642E7" w:rsidRDefault="008642E7" w:rsidP="00154CEE">
      <w:pPr>
        <w:pStyle w:val="TableofFigures"/>
        <w:tabs>
          <w:tab w:val="right" w:pos="9350"/>
        </w:tabs>
        <w:spacing w:line="360" w:lineRule="auto"/>
        <w:jc w:val="both"/>
        <w:rPr>
          <w:rFonts w:eastAsiaTheme="minorEastAsia"/>
          <w:noProof/>
          <w14:ligatures w14:val="standardContextual"/>
        </w:rPr>
      </w:pPr>
      <w:hyperlink w:anchor="_Toc222908868" w:history="1">
        <w:r w:rsidRPr="005A6BED">
          <w:rPr>
            <w:rStyle w:val="Hyperlink"/>
            <w:noProof/>
          </w:rPr>
          <w:t>Fig 15 Regression Model 2</w:t>
        </w:r>
        <w:r>
          <w:rPr>
            <w:noProof/>
            <w:webHidden/>
          </w:rPr>
          <w:tab/>
        </w:r>
        <w:r>
          <w:rPr>
            <w:noProof/>
            <w:webHidden/>
          </w:rPr>
          <w:fldChar w:fldCharType="begin"/>
        </w:r>
        <w:r>
          <w:rPr>
            <w:noProof/>
            <w:webHidden/>
          </w:rPr>
          <w:instrText xml:space="preserve"> PAGEREF _Toc222908868 \h </w:instrText>
        </w:r>
        <w:r>
          <w:rPr>
            <w:noProof/>
            <w:webHidden/>
          </w:rPr>
        </w:r>
        <w:r>
          <w:rPr>
            <w:noProof/>
            <w:webHidden/>
          </w:rPr>
          <w:fldChar w:fldCharType="separate"/>
        </w:r>
        <w:r w:rsidR="00B23ADD">
          <w:rPr>
            <w:noProof/>
            <w:webHidden/>
          </w:rPr>
          <w:t>19</w:t>
        </w:r>
        <w:r>
          <w:rPr>
            <w:noProof/>
            <w:webHidden/>
          </w:rPr>
          <w:fldChar w:fldCharType="end"/>
        </w:r>
      </w:hyperlink>
    </w:p>
    <w:p w:rsidR="008642E7" w:rsidRDefault="008642E7" w:rsidP="00154CEE">
      <w:pPr>
        <w:pStyle w:val="TableofFigures"/>
        <w:tabs>
          <w:tab w:val="right" w:pos="9350"/>
        </w:tabs>
        <w:spacing w:line="360" w:lineRule="auto"/>
        <w:jc w:val="both"/>
        <w:rPr>
          <w:rFonts w:eastAsiaTheme="minorEastAsia"/>
          <w:noProof/>
          <w14:ligatures w14:val="standardContextual"/>
        </w:rPr>
      </w:pPr>
      <w:hyperlink w:anchor="_Toc222908869" w:history="1">
        <w:r w:rsidRPr="005A6BED">
          <w:rPr>
            <w:rStyle w:val="Hyperlink"/>
            <w:noProof/>
          </w:rPr>
          <w:t>Fig 16 Three different predictions from Model 2</w:t>
        </w:r>
        <w:r>
          <w:rPr>
            <w:noProof/>
            <w:webHidden/>
          </w:rPr>
          <w:tab/>
        </w:r>
        <w:r>
          <w:rPr>
            <w:noProof/>
            <w:webHidden/>
          </w:rPr>
          <w:fldChar w:fldCharType="begin"/>
        </w:r>
        <w:r>
          <w:rPr>
            <w:noProof/>
            <w:webHidden/>
          </w:rPr>
          <w:instrText xml:space="preserve"> PAGEREF _Toc222908869 \h </w:instrText>
        </w:r>
        <w:r>
          <w:rPr>
            <w:noProof/>
            <w:webHidden/>
          </w:rPr>
        </w:r>
        <w:r>
          <w:rPr>
            <w:noProof/>
            <w:webHidden/>
          </w:rPr>
          <w:fldChar w:fldCharType="separate"/>
        </w:r>
        <w:r w:rsidR="00B23ADD">
          <w:rPr>
            <w:noProof/>
            <w:webHidden/>
          </w:rPr>
          <w:t>19</w:t>
        </w:r>
        <w:r>
          <w:rPr>
            <w:noProof/>
            <w:webHidden/>
          </w:rPr>
          <w:fldChar w:fldCharType="end"/>
        </w:r>
      </w:hyperlink>
    </w:p>
    <w:p w:rsidR="008642E7" w:rsidRDefault="008642E7" w:rsidP="00154CEE">
      <w:pPr>
        <w:pStyle w:val="TableofFigures"/>
        <w:tabs>
          <w:tab w:val="right" w:pos="9350"/>
        </w:tabs>
        <w:spacing w:line="360" w:lineRule="auto"/>
        <w:jc w:val="both"/>
        <w:rPr>
          <w:rFonts w:eastAsiaTheme="minorEastAsia"/>
          <w:noProof/>
          <w14:ligatures w14:val="standardContextual"/>
        </w:rPr>
      </w:pPr>
      <w:hyperlink w:anchor="_Toc222908870" w:history="1">
        <w:r w:rsidRPr="005A6BED">
          <w:rPr>
            <w:rStyle w:val="Hyperlink"/>
            <w:noProof/>
          </w:rPr>
          <w:t>Fig 17 Excel Dashboard Showing Overview of Adine Noodles Dataset</w:t>
        </w:r>
        <w:r>
          <w:rPr>
            <w:noProof/>
            <w:webHidden/>
          </w:rPr>
          <w:tab/>
        </w:r>
        <w:r>
          <w:rPr>
            <w:noProof/>
            <w:webHidden/>
          </w:rPr>
          <w:fldChar w:fldCharType="begin"/>
        </w:r>
        <w:r>
          <w:rPr>
            <w:noProof/>
            <w:webHidden/>
          </w:rPr>
          <w:instrText xml:space="preserve"> PAGEREF _Toc222908870 \h </w:instrText>
        </w:r>
        <w:r>
          <w:rPr>
            <w:noProof/>
            <w:webHidden/>
          </w:rPr>
        </w:r>
        <w:r>
          <w:rPr>
            <w:noProof/>
            <w:webHidden/>
          </w:rPr>
          <w:fldChar w:fldCharType="separate"/>
        </w:r>
        <w:r w:rsidR="00B23ADD">
          <w:rPr>
            <w:noProof/>
            <w:webHidden/>
          </w:rPr>
          <w:t>24</w:t>
        </w:r>
        <w:r>
          <w:rPr>
            <w:noProof/>
            <w:webHidden/>
          </w:rPr>
          <w:fldChar w:fldCharType="end"/>
        </w:r>
      </w:hyperlink>
    </w:p>
    <w:p w:rsidR="008642E7" w:rsidRDefault="008642E7" w:rsidP="00154CEE">
      <w:pPr>
        <w:pStyle w:val="Heading1"/>
        <w:spacing w:line="360" w:lineRule="auto"/>
        <w:jc w:val="both"/>
        <w:rPr>
          <w:sz w:val="24"/>
          <w:szCs w:val="24"/>
          <w:u w:val="single"/>
        </w:rPr>
      </w:pPr>
      <w:r>
        <w:rPr>
          <w:sz w:val="24"/>
          <w:szCs w:val="24"/>
          <w:u w:val="single"/>
        </w:rPr>
        <w:fldChar w:fldCharType="end"/>
      </w:r>
    </w:p>
    <w:p w:rsidR="008642E7" w:rsidRDefault="008642E7" w:rsidP="008642E7">
      <w:pPr>
        <w:rPr>
          <w:rFonts w:asciiTheme="majorHAnsi" w:eastAsiaTheme="majorEastAsia" w:hAnsiTheme="majorHAnsi" w:cstheme="majorBidi"/>
          <w:color w:val="B76E0B" w:themeColor="accent1" w:themeShade="BF"/>
        </w:rPr>
      </w:pPr>
      <w:r>
        <w:br w:type="page"/>
      </w:r>
    </w:p>
    <w:p w:rsidR="00345FC9" w:rsidRPr="00584173" w:rsidRDefault="005C5087" w:rsidP="00584173">
      <w:pPr>
        <w:pStyle w:val="Heading1"/>
        <w:spacing w:line="360" w:lineRule="auto"/>
        <w:rPr>
          <w:sz w:val="24"/>
          <w:szCs w:val="24"/>
          <w:u w:val="single"/>
        </w:rPr>
      </w:pPr>
      <w:bookmarkStart w:id="1" w:name="_Toc222910801"/>
      <w:r w:rsidRPr="00584173">
        <w:rPr>
          <w:sz w:val="24"/>
          <w:szCs w:val="24"/>
          <w:u w:val="single"/>
        </w:rPr>
        <w:lastRenderedPageBreak/>
        <w:t>INTRODUCTION</w:t>
      </w:r>
      <w:bookmarkEnd w:id="1"/>
    </w:p>
    <w:p w:rsidR="00DD76BE" w:rsidRDefault="00DD76BE" w:rsidP="00584173">
      <w:pPr>
        <w:spacing w:line="360" w:lineRule="auto"/>
        <w:jc w:val="both"/>
      </w:pPr>
      <w:r>
        <w:t xml:space="preserve">Adine Noodles is a </w:t>
      </w:r>
      <w:r w:rsidR="00067D62" w:rsidRPr="00067D62">
        <w:t xml:space="preserve">fast-growing </w:t>
      </w:r>
      <w:r>
        <w:t>FMCG company in the</w:t>
      </w:r>
      <w:r w:rsidR="00067D62">
        <w:t xml:space="preserve"> instant</w:t>
      </w:r>
      <w:r>
        <w:t xml:space="preserve"> noodles company with over </w:t>
      </w:r>
      <w:r w:rsidR="00F821EF">
        <w:t>two</w:t>
      </w:r>
      <w:r>
        <w:t xml:space="preserve"> year</w:t>
      </w:r>
      <w:r w:rsidR="00847BB5">
        <w:t xml:space="preserve">s </w:t>
      </w:r>
      <w:r>
        <w:t xml:space="preserve">experience in Noodle supply spread over </w:t>
      </w:r>
      <w:r w:rsidR="00F821EF">
        <w:t>various</w:t>
      </w:r>
      <w:r>
        <w:t xml:space="preserve"> </w:t>
      </w:r>
      <w:r w:rsidR="00F821EF">
        <w:t>states</w:t>
      </w:r>
      <w:r>
        <w:t xml:space="preserve"> in Africa is seeking to understand their data better due to rising competitions in the market</w:t>
      </w:r>
      <w:r w:rsidR="00847BB5">
        <w:t>, lapses in revenue and profit, location sale issues</w:t>
      </w:r>
      <w:r>
        <w:t xml:space="preserve">. They hired The </w:t>
      </w:r>
      <w:proofErr w:type="gramStart"/>
      <w:r>
        <w:t>A</w:t>
      </w:r>
      <w:proofErr w:type="gramEnd"/>
      <w:r>
        <w:t xml:space="preserve"> Company to perform an analysis on their data</w:t>
      </w:r>
      <w:r w:rsidR="00847BB5">
        <w:t xml:space="preserve"> to dive into the data and bring out useful information and recommendation to help them stay in the market and grow in the industry.</w:t>
      </w:r>
    </w:p>
    <w:p w:rsidR="00847BB5" w:rsidRPr="00584173" w:rsidRDefault="005C5087" w:rsidP="00584173">
      <w:pPr>
        <w:pStyle w:val="Heading1"/>
        <w:spacing w:line="360" w:lineRule="auto"/>
        <w:rPr>
          <w:sz w:val="24"/>
          <w:szCs w:val="24"/>
          <w:u w:val="single"/>
        </w:rPr>
      </w:pPr>
      <w:bookmarkStart w:id="2" w:name="_Toc222910802"/>
      <w:r w:rsidRPr="00584173">
        <w:rPr>
          <w:sz w:val="24"/>
          <w:szCs w:val="24"/>
          <w:u w:val="single"/>
        </w:rPr>
        <w:t>EXECUTIVE SUMMARY</w:t>
      </w:r>
      <w:bookmarkEnd w:id="2"/>
    </w:p>
    <w:p w:rsidR="00067D62" w:rsidRPr="00067D62" w:rsidRDefault="00067D62" w:rsidP="00067D62">
      <w:pPr>
        <w:spacing w:line="360" w:lineRule="auto"/>
        <w:jc w:val="both"/>
      </w:pPr>
      <w:r w:rsidRPr="00067D62">
        <w:t>Adine Noodles</w:t>
      </w:r>
      <w:r w:rsidRPr="00996B5D">
        <w:t xml:space="preserve"> </w:t>
      </w:r>
      <w:r w:rsidRPr="00067D62">
        <w:t>commissioned this analysis to address increasing competition, revenue and profit pressures, and a clear mismatch between product demand and supply across its warehouse network. The primary objective was to develop a data-driven model capable of optimizing the weight of products shipped to each warehouse in order to reduce inventory losses and improve operational efficiency.</w:t>
      </w:r>
    </w:p>
    <w:p w:rsidR="00067D62" w:rsidRPr="00067D62" w:rsidRDefault="00067D62" w:rsidP="00067D62">
      <w:pPr>
        <w:spacing w:line="360" w:lineRule="auto"/>
        <w:jc w:val="both"/>
      </w:pPr>
      <w:r w:rsidRPr="00067D62">
        <w:t>The analysis, conducted on 25,000 warehouse records using cleaned and structured historical data, reveals that Adine Noodles operates a predominantly rural distribution network (over 91%), with the highest warehouse concentration in the Northern region. Despite significant variation in the number and size of warehouses across zones, the average product ton delivered remains largely consistent (22,000 tons) across warehouse sizes and regions.</w:t>
      </w:r>
    </w:p>
    <w:p w:rsidR="00067D62" w:rsidRPr="00067D62" w:rsidRDefault="00067D62" w:rsidP="00067D62">
      <w:pPr>
        <w:spacing w:line="360" w:lineRule="auto"/>
        <w:jc w:val="both"/>
      </w:pPr>
      <w:r w:rsidRPr="00067D62">
        <w:t>Importantly, findings show that warehouse quantity does not determine delivery volume; instead, capacity size and operational conditions have greater influence. Additionally, refill requests (demand proxy) show almost no statistical relationship with product weight delivered, confirming management’s concern that supply decisions are not currently aligned with demand patterns.</w:t>
      </w:r>
    </w:p>
    <w:p w:rsidR="00067D62" w:rsidRPr="00067D62" w:rsidRDefault="00067D62" w:rsidP="00067D62">
      <w:pPr>
        <w:spacing w:line="360" w:lineRule="auto"/>
        <w:jc w:val="both"/>
        <w:rPr>
          <w:b/>
          <w:bCs/>
          <w:u w:val="single"/>
        </w:rPr>
      </w:pPr>
      <w:r w:rsidRPr="00067D62">
        <w:rPr>
          <w:b/>
          <w:bCs/>
          <w:u w:val="single"/>
        </w:rPr>
        <w:t>Critical Drivers of Product Delivery</w:t>
      </w:r>
    </w:p>
    <w:p w:rsidR="00067D62" w:rsidRPr="00067D62" w:rsidRDefault="00067D62" w:rsidP="00067D62">
      <w:pPr>
        <w:spacing w:line="360" w:lineRule="auto"/>
        <w:jc w:val="both"/>
      </w:pPr>
      <w:r w:rsidRPr="00067D62">
        <w:t>From correlation and regression analysis (R² = 0.97), four operational variables significantly influence product weight delivered:</w:t>
      </w:r>
    </w:p>
    <w:p w:rsidR="00067D62" w:rsidRPr="00067D62" w:rsidRDefault="00067D62" w:rsidP="00067D62">
      <w:pPr>
        <w:numPr>
          <w:ilvl w:val="0"/>
          <w:numId w:val="19"/>
        </w:numPr>
        <w:spacing w:line="360" w:lineRule="auto"/>
      </w:pPr>
      <w:r w:rsidRPr="00067D62">
        <w:t>Transport</w:t>
      </w:r>
      <w:r w:rsidRPr="00067D62">
        <w:t xml:space="preserve"> </w:t>
      </w:r>
      <w:r w:rsidRPr="00067D62">
        <w:t>Issues (Negative Impact)</w:t>
      </w:r>
    </w:p>
    <w:p w:rsidR="00067D62" w:rsidRPr="00067D62" w:rsidRDefault="00067D62" w:rsidP="00067D62">
      <w:pPr>
        <w:numPr>
          <w:ilvl w:val="0"/>
          <w:numId w:val="19"/>
        </w:numPr>
        <w:spacing w:line="360" w:lineRule="auto"/>
      </w:pPr>
      <w:r w:rsidRPr="00067D62">
        <w:t>Storage Issues (Strong Positive Impact)</w:t>
      </w:r>
    </w:p>
    <w:p w:rsidR="00067D62" w:rsidRPr="00067D62" w:rsidRDefault="00067D62" w:rsidP="00067D62">
      <w:pPr>
        <w:numPr>
          <w:ilvl w:val="0"/>
          <w:numId w:val="19"/>
        </w:numPr>
        <w:spacing w:line="360" w:lineRule="auto"/>
      </w:pPr>
      <w:r w:rsidRPr="00067D62">
        <w:t>Temperature-Regulated Machinery (Positive Impact)</w:t>
      </w:r>
    </w:p>
    <w:p w:rsidR="00067D62" w:rsidRPr="00067D62" w:rsidRDefault="00067D62" w:rsidP="00067D62">
      <w:pPr>
        <w:numPr>
          <w:ilvl w:val="0"/>
          <w:numId w:val="19"/>
        </w:numPr>
        <w:spacing w:line="360" w:lineRule="auto"/>
      </w:pPr>
      <w:r w:rsidRPr="00067D62">
        <w:t>Warehouse Breakdowns (Negative Impact)</w:t>
      </w:r>
    </w:p>
    <w:p w:rsidR="00067D62" w:rsidRPr="00067D62" w:rsidRDefault="00067D62" w:rsidP="00067D62">
      <w:pPr>
        <w:spacing w:line="360" w:lineRule="auto"/>
        <w:jc w:val="both"/>
      </w:pPr>
      <w:r w:rsidRPr="00067D62">
        <w:lastRenderedPageBreak/>
        <w:t>Other factors—including demand (refill requests), competition levels, retail shop count, number of distributors, government checks, and warehouse distance from hubs—were found to have negligible impact on delivery weight.</w:t>
      </w:r>
    </w:p>
    <w:p w:rsidR="00067D62" w:rsidRPr="00067D62" w:rsidRDefault="00067D62" w:rsidP="00067D62">
      <w:pPr>
        <w:spacing w:line="360" w:lineRule="auto"/>
        <w:jc w:val="both"/>
        <w:rPr>
          <w:b/>
          <w:bCs/>
          <w:u w:val="single"/>
        </w:rPr>
      </w:pPr>
      <w:r w:rsidRPr="00067D62">
        <w:rPr>
          <w:b/>
          <w:bCs/>
          <w:u w:val="single"/>
        </w:rPr>
        <w:t>Predictive Optimization Model</w:t>
      </w:r>
    </w:p>
    <w:p w:rsidR="00067D62" w:rsidRPr="00067D62" w:rsidRDefault="00067D62" w:rsidP="00067D62">
      <w:pPr>
        <w:spacing w:line="360" w:lineRule="auto"/>
        <w:jc w:val="both"/>
      </w:pPr>
      <w:r w:rsidRPr="00067D62">
        <w:t>The following regression model was developed to forecast optimal product shipment weight:</w:t>
      </w:r>
    </w:p>
    <w:p w:rsidR="00067D62" w:rsidRPr="00067D62" w:rsidRDefault="00067D62" w:rsidP="00067D62">
      <w:pPr>
        <w:spacing w:line="360" w:lineRule="auto"/>
        <w:jc w:val="both"/>
      </w:pPr>
      <w:r w:rsidRPr="00067D62">
        <w:rPr>
          <w:b/>
          <w:bCs/>
        </w:rPr>
        <w:t>y = (-300.25X₁) + (1257.32X₂) + (943.82X₃) - (228.04X₄) + 1304.36</w:t>
      </w:r>
    </w:p>
    <w:p w:rsidR="00067D62" w:rsidRPr="00067D62" w:rsidRDefault="00067D62" w:rsidP="00067D62">
      <w:pPr>
        <w:spacing w:line="360" w:lineRule="auto"/>
        <w:jc w:val="both"/>
      </w:pPr>
      <w:r w:rsidRPr="00067D62">
        <w:t>Where:</w:t>
      </w:r>
    </w:p>
    <w:p w:rsidR="00067D62" w:rsidRPr="00067D62" w:rsidRDefault="00067D62" w:rsidP="00996B5D">
      <w:pPr>
        <w:numPr>
          <w:ilvl w:val="0"/>
          <w:numId w:val="20"/>
        </w:numPr>
        <w:spacing w:line="276" w:lineRule="auto"/>
        <w:jc w:val="both"/>
      </w:pPr>
      <w:r w:rsidRPr="00067D62">
        <w:t>X₁ = Transport Issues</w:t>
      </w:r>
    </w:p>
    <w:p w:rsidR="00067D62" w:rsidRPr="00067D62" w:rsidRDefault="00067D62" w:rsidP="00996B5D">
      <w:pPr>
        <w:numPr>
          <w:ilvl w:val="0"/>
          <w:numId w:val="20"/>
        </w:numPr>
        <w:spacing w:line="276" w:lineRule="auto"/>
        <w:jc w:val="both"/>
      </w:pPr>
      <w:r w:rsidRPr="00067D62">
        <w:t>X₂ = Storage Issues</w:t>
      </w:r>
    </w:p>
    <w:p w:rsidR="00067D62" w:rsidRPr="00067D62" w:rsidRDefault="00067D62" w:rsidP="00996B5D">
      <w:pPr>
        <w:numPr>
          <w:ilvl w:val="0"/>
          <w:numId w:val="20"/>
        </w:numPr>
        <w:spacing w:line="276" w:lineRule="auto"/>
        <w:jc w:val="both"/>
      </w:pPr>
      <w:r w:rsidRPr="00067D62">
        <w:t>X₃ = Temperature-Regulated Machines</w:t>
      </w:r>
    </w:p>
    <w:p w:rsidR="00067D62" w:rsidRPr="00067D62" w:rsidRDefault="00067D62" w:rsidP="00996B5D">
      <w:pPr>
        <w:numPr>
          <w:ilvl w:val="0"/>
          <w:numId w:val="20"/>
        </w:numPr>
        <w:spacing w:line="276" w:lineRule="auto"/>
        <w:jc w:val="both"/>
      </w:pPr>
      <w:r w:rsidRPr="00067D62">
        <w:t>X₄ = Warehouse Breakdowns</w:t>
      </w:r>
    </w:p>
    <w:p w:rsidR="00067D62" w:rsidRPr="00067D62" w:rsidRDefault="00067D62" w:rsidP="00067D62">
      <w:pPr>
        <w:spacing w:line="360" w:lineRule="auto"/>
        <w:jc w:val="both"/>
      </w:pPr>
      <w:r w:rsidRPr="00067D62">
        <w:t>With an R² of 0.97, the model explains 97% of the variability in delivery weight and is suitable for operational forecasting and decision-making.</w:t>
      </w:r>
    </w:p>
    <w:p w:rsidR="00067D62" w:rsidRPr="00067D62" w:rsidRDefault="00067D62" w:rsidP="00067D62">
      <w:pPr>
        <w:spacing w:line="360" w:lineRule="auto"/>
        <w:jc w:val="both"/>
      </w:pPr>
      <w:r w:rsidRPr="00067D62">
        <w:t>The findings indicate that Adine Noodles’ supply decisions are currently driven more by operational disruptions and infrastructure conditions than by actual demand signals. This misalignment is likely contributing to excess inventory in low-demand areas and shortages in high-demand areas.</w:t>
      </w:r>
    </w:p>
    <w:p w:rsidR="00067D62" w:rsidRPr="00067D62" w:rsidRDefault="00067D62" w:rsidP="00067D62">
      <w:pPr>
        <w:spacing w:line="360" w:lineRule="auto"/>
        <w:jc w:val="both"/>
      </w:pPr>
      <w:r w:rsidRPr="00067D62">
        <w:t>To optimize performance and profitability, management should prioritize:</w:t>
      </w:r>
    </w:p>
    <w:p w:rsidR="00067D62" w:rsidRPr="00067D62" w:rsidRDefault="00067D62" w:rsidP="00067D62">
      <w:pPr>
        <w:numPr>
          <w:ilvl w:val="0"/>
          <w:numId w:val="21"/>
        </w:numPr>
        <w:spacing w:line="360" w:lineRule="auto"/>
        <w:jc w:val="both"/>
      </w:pPr>
      <w:r w:rsidRPr="00067D62">
        <w:rPr>
          <w:b/>
          <w:bCs/>
        </w:rPr>
        <w:t>Reducing transport disruptions</w:t>
      </w:r>
      <w:r w:rsidRPr="00067D62">
        <w:t xml:space="preserve"> through preventive fleet maintenance and route optimization.</w:t>
      </w:r>
    </w:p>
    <w:p w:rsidR="00067D62" w:rsidRPr="00067D62" w:rsidRDefault="00067D62" w:rsidP="00067D62">
      <w:pPr>
        <w:numPr>
          <w:ilvl w:val="0"/>
          <w:numId w:val="21"/>
        </w:numPr>
        <w:spacing w:line="360" w:lineRule="auto"/>
        <w:jc w:val="both"/>
      </w:pPr>
      <w:r w:rsidRPr="00067D62">
        <w:rPr>
          <w:b/>
          <w:bCs/>
        </w:rPr>
        <w:t>Investigating and correcting root causes of storage issues</w:t>
      </w:r>
      <w:r w:rsidRPr="00067D62">
        <w:t>, especially overstocking and inventory mismanagement.</w:t>
      </w:r>
    </w:p>
    <w:p w:rsidR="00067D62" w:rsidRPr="00067D62" w:rsidRDefault="00067D62" w:rsidP="00067D62">
      <w:pPr>
        <w:numPr>
          <w:ilvl w:val="0"/>
          <w:numId w:val="21"/>
        </w:numPr>
        <w:spacing w:line="360" w:lineRule="auto"/>
        <w:jc w:val="both"/>
      </w:pPr>
      <w:r w:rsidRPr="00067D62">
        <w:rPr>
          <w:b/>
          <w:bCs/>
        </w:rPr>
        <w:t>Strategically expanding temperature-regulated infrastructure</w:t>
      </w:r>
      <w:r w:rsidRPr="00067D62">
        <w:t xml:space="preserve"> in high-demand or high-capacity zones.</w:t>
      </w:r>
    </w:p>
    <w:p w:rsidR="00067D62" w:rsidRPr="00067D62" w:rsidRDefault="00067D62" w:rsidP="00067D62">
      <w:pPr>
        <w:numPr>
          <w:ilvl w:val="0"/>
          <w:numId w:val="21"/>
        </w:numPr>
        <w:spacing w:line="360" w:lineRule="auto"/>
        <w:jc w:val="both"/>
      </w:pPr>
      <w:r w:rsidRPr="00067D62">
        <w:rPr>
          <w:b/>
          <w:bCs/>
        </w:rPr>
        <w:t>Improving warehouse reliability</w:t>
      </w:r>
      <w:r w:rsidRPr="00067D62">
        <w:t xml:space="preserve"> through preventive maintenance and backup systems.</w:t>
      </w:r>
    </w:p>
    <w:p w:rsidR="005C5087" w:rsidRPr="005C5087" w:rsidRDefault="00067D62" w:rsidP="00847BB5">
      <w:pPr>
        <w:numPr>
          <w:ilvl w:val="0"/>
          <w:numId w:val="21"/>
        </w:numPr>
        <w:spacing w:line="360" w:lineRule="auto"/>
        <w:jc w:val="both"/>
      </w:pPr>
      <w:r w:rsidRPr="00067D62">
        <w:rPr>
          <w:b/>
          <w:bCs/>
        </w:rPr>
        <w:t>Integrating the predictive model into planning dashboards</w:t>
      </w:r>
      <w:r w:rsidRPr="00067D62">
        <w:t xml:space="preserve"> for scenario simulation, weekly forecasting, and operational target setting.</w:t>
      </w:r>
    </w:p>
    <w:p w:rsidR="00847BB5" w:rsidRPr="002B789D" w:rsidRDefault="005C5087" w:rsidP="002B789D">
      <w:pPr>
        <w:pStyle w:val="Heading1"/>
        <w:spacing w:line="360" w:lineRule="auto"/>
        <w:rPr>
          <w:sz w:val="24"/>
          <w:szCs w:val="24"/>
          <w:u w:val="single"/>
        </w:rPr>
      </w:pPr>
      <w:bookmarkStart w:id="3" w:name="_Toc222910803"/>
      <w:r w:rsidRPr="002B789D">
        <w:rPr>
          <w:sz w:val="24"/>
          <w:szCs w:val="24"/>
          <w:u w:val="single"/>
        </w:rPr>
        <w:lastRenderedPageBreak/>
        <w:t>BUSINESS PROBLEM / PROBLEM STATEMENT</w:t>
      </w:r>
      <w:bookmarkEnd w:id="3"/>
    </w:p>
    <w:p w:rsidR="000C3CA9" w:rsidRDefault="00F821EF" w:rsidP="000C3CA9">
      <w:pPr>
        <w:spacing w:line="360" w:lineRule="auto"/>
        <w:jc w:val="both"/>
      </w:pPr>
      <w:r>
        <w:t>Adine Noodles (</w:t>
      </w:r>
      <w:r w:rsidR="000C3CA9" w:rsidRPr="000C3CA9">
        <w:t>A FMCG company</w:t>
      </w:r>
      <w:r>
        <w:t>)</w:t>
      </w:r>
      <w:r w:rsidR="000C3CA9" w:rsidRPr="000C3CA9">
        <w:t xml:space="preserve"> has entered into the instant noodles business two years back. Their higher management has notices that there is a miss match in the demand and supply. Where the demand is high, supply is pretty low and where the demand is low, supply is pretty high. In both the ways it is an inventory cost loss to the company; hence, the higher management wants to optimize the supply quantity in each and every warehouse in entire country</w:t>
      </w:r>
      <w:r w:rsidR="007D493D">
        <w:t>.</w:t>
      </w:r>
    </w:p>
    <w:p w:rsidR="007D493D" w:rsidRPr="002B789D" w:rsidRDefault="00F93C86" w:rsidP="002B789D">
      <w:pPr>
        <w:pStyle w:val="Heading1"/>
        <w:spacing w:line="360" w:lineRule="auto"/>
        <w:rPr>
          <w:sz w:val="24"/>
          <w:szCs w:val="24"/>
          <w:u w:val="single"/>
        </w:rPr>
      </w:pPr>
      <w:bookmarkStart w:id="4" w:name="_Toc222910804"/>
      <w:r w:rsidRPr="002B789D">
        <w:rPr>
          <w:sz w:val="24"/>
          <w:szCs w:val="24"/>
          <w:u w:val="single"/>
        </w:rPr>
        <w:t>AIM/</w:t>
      </w:r>
      <w:r w:rsidR="007D493D" w:rsidRPr="002B789D">
        <w:rPr>
          <w:sz w:val="24"/>
          <w:szCs w:val="24"/>
          <w:u w:val="single"/>
        </w:rPr>
        <w:t>G</w:t>
      </w:r>
      <w:r w:rsidRPr="002B789D">
        <w:rPr>
          <w:sz w:val="24"/>
          <w:szCs w:val="24"/>
          <w:u w:val="single"/>
        </w:rPr>
        <w:t>OAL</w:t>
      </w:r>
      <w:bookmarkEnd w:id="4"/>
    </w:p>
    <w:p w:rsidR="001F6270" w:rsidRDefault="007D493D" w:rsidP="00AD32DC">
      <w:pPr>
        <w:spacing w:line="360" w:lineRule="auto"/>
        <w:jc w:val="both"/>
      </w:pPr>
      <w:r w:rsidRPr="007D493D">
        <w:t xml:space="preserve">The </w:t>
      </w:r>
      <w:r w:rsidR="00F93C86">
        <w:t xml:space="preserve">main </w:t>
      </w:r>
      <w:r w:rsidR="001E278F">
        <w:t>aim</w:t>
      </w:r>
      <w:r w:rsidRPr="007D493D">
        <w:t xml:space="preserve"> of this </w:t>
      </w:r>
      <w:r w:rsidR="00F93C86">
        <w:t>analysis</w:t>
      </w:r>
      <w:r w:rsidRPr="007D493D">
        <w:t xml:space="preserve"> is to build a model, using historical data that will determine an optimum weight of the product to be shipped each time to the warehouse</w:t>
      </w:r>
      <w:r w:rsidR="00AD32DC">
        <w:t>.</w:t>
      </w:r>
    </w:p>
    <w:p w:rsidR="00F93C86" w:rsidRPr="002B789D" w:rsidRDefault="00F93C86" w:rsidP="002B789D">
      <w:pPr>
        <w:pStyle w:val="Heading1"/>
        <w:spacing w:line="360" w:lineRule="auto"/>
        <w:rPr>
          <w:sz w:val="24"/>
          <w:szCs w:val="24"/>
        </w:rPr>
      </w:pPr>
      <w:bookmarkStart w:id="5" w:name="_Toc222910805"/>
      <w:r w:rsidRPr="002B789D">
        <w:rPr>
          <w:sz w:val="24"/>
          <w:szCs w:val="24"/>
          <w:u w:val="single"/>
        </w:rPr>
        <w:t>OBJECTIVE</w:t>
      </w:r>
      <w:bookmarkEnd w:id="5"/>
    </w:p>
    <w:p w:rsidR="00F93C86" w:rsidRDefault="00F93C86" w:rsidP="00F93C86">
      <w:pPr>
        <w:pStyle w:val="ListParagraph"/>
        <w:numPr>
          <w:ilvl w:val="0"/>
          <w:numId w:val="1"/>
        </w:numPr>
        <w:spacing w:line="360" w:lineRule="auto"/>
        <w:jc w:val="both"/>
      </w:pPr>
      <w:r>
        <w:t>A</w:t>
      </w:r>
      <w:r w:rsidRPr="00F93C86">
        <w:t>naly</w:t>
      </w:r>
      <w:r>
        <w:t>ze</w:t>
      </w:r>
      <w:r w:rsidRPr="00F93C86">
        <w:t xml:space="preserve"> the demand pattern in different pockets of the countr</w:t>
      </w:r>
      <w:r>
        <w:t>y</w:t>
      </w:r>
      <w:r w:rsidR="00950A1B">
        <w:t>.</w:t>
      </w:r>
    </w:p>
    <w:p w:rsidR="001E278F" w:rsidRDefault="001E278F" w:rsidP="001E278F">
      <w:pPr>
        <w:pStyle w:val="ListParagraph"/>
        <w:numPr>
          <w:ilvl w:val="0"/>
          <w:numId w:val="1"/>
        </w:numPr>
        <w:spacing w:line="360" w:lineRule="auto"/>
        <w:jc w:val="both"/>
      </w:pPr>
      <w:r>
        <w:t>How much product is supplied vs demanded per warehouse/region/zones?</w:t>
      </w:r>
    </w:p>
    <w:p w:rsidR="001E278F" w:rsidRDefault="001E278F" w:rsidP="00F93C86">
      <w:pPr>
        <w:pStyle w:val="ListParagraph"/>
        <w:numPr>
          <w:ilvl w:val="0"/>
          <w:numId w:val="1"/>
        </w:numPr>
        <w:spacing w:line="360" w:lineRule="auto"/>
        <w:jc w:val="both"/>
      </w:pPr>
      <w:r>
        <w:t>Analyze warehouse</w:t>
      </w:r>
      <w:r w:rsidR="00716BA4">
        <w:t xml:space="preserve"> issues (transport, breakdowns, electricity, floods etc.)</w:t>
      </w:r>
    </w:p>
    <w:p w:rsidR="00AE15B2" w:rsidRDefault="00F93C86" w:rsidP="00AE15B2">
      <w:pPr>
        <w:pStyle w:val="ListParagraph"/>
        <w:numPr>
          <w:ilvl w:val="0"/>
          <w:numId w:val="1"/>
        </w:numPr>
        <w:spacing w:line="360" w:lineRule="auto"/>
        <w:jc w:val="both"/>
      </w:pPr>
      <w:r>
        <w:t xml:space="preserve">Recommendations to </w:t>
      </w:r>
      <w:r w:rsidRPr="00F93C86">
        <w:t>drive advertisement campaign</w:t>
      </w:r>
      <w:r>
        <w:t>s in country pockets</w:t>
      </w:r>
      <w:r w:rsidR="00950A1B">
        <w:t>.</w:t>
      </w:r>
    </w:p>
    <w:p w:rsidR="00AE15B2" w:rsidRPr="002B789D" w:rsidRDefault="00AE15B2" w:rsidP="002B789D">
      <w:pPr>
        <w:pStyle w:val="Heading1"/>
        <w:spacing w:line="360" w:lineRule="auto"/>
        <w:rPr>
          <w:sz w:val="24"/>
          <w:szCs w:val="24"/>
          <w:u w:val="single"/>
        </w:rPr>
      </w:pPr>
      <w:bookmarkStart w:id="6" w:name="_Toc222910806"/>
      <w:r w:rsidRPr="002B789D">
        <w:rPr>
          <w:sz w:val="24"/>
          <w:szCs w:val="24"/>
          <w:u w:val="single"/>
        </w:rPr>
        <w:t>DATA DESCRIPTION</w:t>
      </w:r>
      <w:bookmarkEnd w:id="6"/>
    </w:p>
    <w:p w:rsidR="00981372" w:rsidRDefault="005A3430" w:rsidP="00054102">
      <w:pPr>
        <w:spacing w:line="360" w:lineRule="auto"/>
        <w:jc w:val="both"/>
      </w:pPr>
      <w:r w:rsidRPr="002E4404">
        <w:t>The dataset used for this analysis was obtained from Kaggle</w:t>
      </w:r>
      <w:r>
        <w:t xml:space="preserve"> (</w:t>
      </w:r>
      <w:hyperlink r:id="rId10" w:history="1">
        <w:r w:rsidRPr="00971040">
          <w:rPr>
            <w:rStyle w:val="Hyperlink"/>
          </w:rPr>
          <w:t>https://www.kaggle.com/datasets/suraj9727/supply-chain-optimization-for-a-fmcg-company</w:t>
        </w:r>
      </w:hyperlink>
      <w:r>
        <w:t>)</w:t>
      </w:r>
      <w:r w:rsidRPr="002E4404">
        <w:t xml:space="preserve"> and contains </w:t>
      </w:r>
      <w:r>
        <w:t>25,000</w:t>
      </w:r>
      <w:r w:rsidRPr="002E4404">
        <w:t xml:space="preserve"> sales records </w:t>
      </w:r>
      <w:r>
        <w:t xml:space="preserve">for 2 years (years not specified). </w:t>
      </w:r>
    </w:p>
    <w:p w:rsidR="00054102" w:rsidRPr="00054102" w:rsidRDefault="005A3430" w:rsidP="00054102">
      <w:pPr>
        <w:spacing w:line="360" w:lineRule="auto"/>
        <w:jc w:val="both"/>
      </w:pPr>
      <w:r w:rsidRPr="002E4404">
        <w:t>Key variables include</w:t>
      </w:r>
      <w:r w:rsidR="00054102">
        <w:t xml:space="preserve"> in the dataset:</w:t>
      </w:r>
    </w:p>
    <w:tbl>
      <w:tblPr>
        <w:tblStyle w:val="TableGridLight"/>
        <w:tblW w:w="9360" w:type="dxa"/>
        <w:tblLook w:val="04A0" w:firstRow="1" w:lastRow="0" w:firstColumn="1" w:lastColumn="0" w:noHBand="0" w:noVBand="1"/>
      </w:tblPr>
      <w:tblGrid>
        <w:gridCol w:w="3040"/>
        <w:gridCol w:w="6536"/>
      </w:tblGrid>
      <w:tr w:rsidR="00054102" w:rsidRPr="00054102" w:rsidTr="00054102">
        <w:trPr>
          <w:trHeight w:val="480"/>
        </w:trPr>
        <w:tc>
          <w:tcPr>
            <w:tcW w:w="2411" w:type="dxa"/>
            <w:hideMark/>
          </w:tcPr>
          <w:p w:rsidR="00054102" w:rsidRPr="00054102" w:rsidRDefault="00054102" w:rsidP="00054102">
            <w:pPr>
              <w:jc w:val="center"/>
              <w:rPr>
                <w:b/>
                <w:bCs/>
              </w:rPr>
            </w:pPr>
            <w:r w:rsidRPr="00054102">
              <w:rPr>
                <w:b/>
                <w:bCs/>
              </w:rPr>
              <w:t>Variable</w:t>
            </w:r>
          </w:p>
        </w:tc>
        <w:tc>
          <w:tcPr>
            <w:tcW w:w="6949" w:type="dxa"/>
            <w:noWrap/>
            <w:hideMark/>
          </w:tcPr>
          <w:p w:rsidR="00054102" w:rsidRPr="00054102" w:rsidRDefault="00054102" w:rsidP="00054102">
            <w:pPr>
              <w:jc w:val="center"/>
              <w:rPr>
                <w:b/>
                <w:bCs/>
              </w:rPr>
            </w:pPr>
            <w:r w:rsidRPr="00054102">
              <w:rPr>
                <w:b/>
                <w:bCs/>
              </w:rPr>
              <w:t>Business Description</w:t>
            </w:r>
          </w:p>
        </w:tc>
      </w:tr>
      <w:tr w:rsidR="00054102" w:rsidRPr="00054102" w:rsidTr="00054102">
        <w:trPr>
          <w:trHeight w:val="480"/>
        </w:trPr>
        <w:tc>
          <w:tcPr>
            <w:tcW w:w="2411" w:type="dxa"/>
            <w:hideMark/>
          </w:tcPr>
          <w:p w:rsidR="00054102" w:rsidRPr="00054102" w:rsidRDefault="00054102" w:rsidP="00054102">
            <w:proofErr w:type="spellStart"/>
            <w:r w:rsidRPr="00054102">
              <w:t>Ware_house_ID</w:t>
            </w:r>
            <w:proofErr w:type="spellEnd"/>
          </w:p>
        </w:tc>
        <w:tc>
          <w:tcPr>
            <w:tcW w:w="6949" w:type="dxa"/>
            <w:noWrap/>
            <w:hideMark/>
          </w:tcPr>
          <w:p w:rsidR="00054102" w:rsidRPr="00054102" w:rsidRDefault="00054102" w:rsidP="00054102">
            <w:r w:rsidRPr="00054102">
              <w:t xml:space="preserve"> Unique identifiers for each warehouse.</w:t>
            </w:r>
          </w:p>
        </w:tc>
      </w:tr>
      <w:tr w:rsidR="00054102" w:rsidRPr="00054102" w:rsidTr="00054102">
        <w:trPr>
          <w:trHeight w:val="480"/>
        </w:trPr>
        <w:tc>
          <w:tcPr>
            <w:tcW w:w="2411" w:type="dxa"/>
            <w:hideMark/>
          </w:tcPr>
          <w:p w:rsidR="00054102" w:rsidRPr="00054102" w:rsidRDefault="00054102" w:rsidP="00054102">
            <w:proofErr w:type="spellStart"/>
            <w:r w:rsidRPr="00054102">
              <w:t>WH_Manager_ID</w:t>
            </w:r>
            <w:proofErr w:type="spellEnd"/>
          </w:p>
        </w:tc>
        <w:tc>
          <w:tcPr>
            <w:tcW w:w="6949" w:type="dxa"/>
            <w:noWrap/>
            <w:hideMark/>
          </w:tcPr>
          <w:p w:rsidR="00054102" w:rsidRPr="00054102" w:rsidRDefault="00054102" w:rsidP="00054102">
            <w:r w:rsidRPr="00054102">
              <w:t xml:space="preserve"> Unique identifiers for the warehouse managers.</w:t>
            </w:r>
          </w:p>
        </w:tc>
      </w:tr>
      <w:tr w:rsidR="00054102" w:rsidRPr="00054102" w:rsidTr="0042231E">
        <w:trPr>
          <w:trHeight w:val="575"/>
        </w:trPr>
        <w:tc>
          <w:tcPr>
            <w:tcW w:w="2411" w:type="dxa"/>
            <w:hideMark/>
          </w:tcPr>
          <w:p w:rsidR="00054102" w:rsidRPr="00054102" w:rsidRDefault="00054102" w:rsidP="00054102">
            <w:proofErr w:type="spellStart"/>
            <w:r w:rsidRPr="00054102">
              <w:t>Location_type</w:t>
            </w:r>
            <w:proofErr w:type="spellEnd"/>
          </w:p>
        </w:tc>
        <w:tc>
          <w:tcPr>
            <w:tcW w:w="6949" w:type="dxa"/>
            <w:noWrap/>
            <w:hideMark/>
          </w:tcPr>
          <w:p w:rsidR="00054102" w:rsidRPr="00054102" w:rsidRDefault="00054102" w:rsidP="00054102">
            <w:r w:rsidRPr="00054102">
              <w:t xml:space="preserve"> Indicates the type of location where each warehouse is situated.</w:t>
            </w:r>
          </w:p>
        </w:tc>
      </w:tr>
      <w:tr w:rsidR="00054102" w:rsidRPr="00054102" w:rsidTr="00054102">
        <w:trPr>
          <w:trHeight w:val="480"/>
        </w:trPr>
        <w:tc>
          <w:tcPr>
            <w:tcW w:w="2411" w:type="dxa"/>
            <w:hideMark/>
          </w:tcPr>
          <w:p w:rsidR="00054102" w:rsidRPr="00054102" w:rsidRDefault="00054102" w:rsidP="00054102">
            <w:proofErr w:type="spellStart"/>
            <w:r w:rsidRPr="00054102">
              <w:t>WH_capacity_size</w:t>
            </w:r>
            <w:proofErr w:type="spellEnd"/>
          </w:p>
        </w:tc>
        <w:tc>
          <w:tcPr>
            <w:tcW w:w="6949" w:type="dxa"/>
            <w:noWrap/>
            <w:hideMark/>
          </w:tcPr>
          <w:p w:rsidR="00054102" w:rsidRPr="00054102" w:rsidRDefault="00054102" w:rsidP="00054102">
            <w:r w:rsidRPr="00054102">
              <w:t xml:space="preserve"> Represents the capacity or size of each warehouse.</w:t>
            </w:r>
          </w:p>
        </w:tc>
      </w:tr>
      <w:tr w:rsidR="00054102" w:rsidRPr="00054102" w:rsidTr="00054102">
        <w:trPr>
          <w:trHeight w:val="480"/>
        </w:trPr>
        <w:tc>
          <w:tcPr>
            <w:tcW w:w="2411" w:type="dxa"/>
            <w:hideMark/>
          </w:tcPr>
          <w:p w:rsidR="00054102" w:rsidRPr="00054102" w:rsidRDefault="00054102" w:rsidP="00054102">
            <w:r w:rsidRPr="00054102">
              <w:t>zone</w:t>
            </w:r>
          </w:p>
        </w:tc>
        <w:tc>
          <w:tcPr>
            <w:tcW w:w="6949" w:type="dxa"/>
            <w:noWrap/>
            <w:hideMark/>
          </w:tcPr>
          <w:p w:rsidR="00054102" w:rsidRPr="00054102" w:rsidRDefault="00054102" w:rsidP="00054102">
            <w:r w:rsidRPr="00054102">
              <w:t xml:space="preserve"> Categorizes the warehouses into specific zones.</w:t>
            </w:r>
          </w:p>
        </w:tc>
      </w:tr>
      <w:tr w:rsidR="00054102" w:rsidRPr="00054102" w:rsidTr="00054102">
        <w:trPr>
          <w:trHeight w:val="480"/>
        </w:trPr>
        <w:tc>
          <w:tcPr>
            <w:tcW w:w="2411" w:type="dxa"/>
            <w:hideMark/>
          </w:tcPr>
          <w:p w:rsidR="00054102" w:rsidRPr="00054102" w:rsidRDefault="00054102" w:rsidP="00054102">
            <w:proofErr w:type="spellStart"/>
            <w:r w:rsidRPr="00054102">
              <w:t>WH_regional_zone</w:t>
            </w:r>
            <w:proofErr w:type="spellEnd"/>
          </w:p>
        </w:tc>
        <w:tc>
          <w:tcPr>
            <w:tcW w:w="6949" w:type="dxa"/>
            <w:noWrap/>
            <w:hideMark/>
          </w:tcPr>
          <w:p w:rsidR="00054102" w:rsidRPr="00054102" w:rsidRDefault="00054102" w:rsidP="00054102">
            <w:r w:rsidRPr="00054102">
              <w:t xml:space="preserve"> Assigns each warehouse to a regional zone.</w:t>
            </w:r>
          </w:p>
        </w:tc>
      </w:tr>
      <w:tr w:rsidR="00054102" w:rsidRPr="00054102" w:rsidTr="0042231E">
        <w:trPr>
          <w:trHeight w:val="593"/>
        </w:trPr>
        <w:tc>
          <w:tcPr>
            <w:tcW w:w="2411" w:type="dxa"/>
            <w:hideMark/>
          </w:tcPr>
          <w:p w:rsidR="00054102" w:rsidRPr="00054102" w:rsidRDefault="00054102" w:rsidP="00054102">
            <w:r w:rsidRPr="00054102">
              <w:lastRenderedPageBreak/>
              <w:t>num_refill_req_l3m</w:t>
            </w:r>
          </w:p>
        </w:tc>
        <w:tc>
          <w:tcPr>
            <w:tcW w:w="6949" w:type="dxa"/>
            <w:noWrap/>
            <w:hideMark/>
          </w:tcPr>
          <w:p w:rsidR="00054102" w:rsidRPr="00054102" w:rsidRDefault="00054102" w:rsidP="00054102">
            <w:r w:rsidRPr="00054102">
              <w:t xml:space="preserve"> Records the number of refill requests received in the last 3 months.</w:t>
            </w:r>
          </w:p>
        </w:tc>
      </w:tr>
      <w:tr w:rsidR="00054102" w:rsidRPr="00054102" w:rsidTr="0042231E">
        <w:trPr>
          <w:trHeight w:val="620"/>
        </w:trPr>
        <w:tc>
          <w:tcPr>
            <w:tcW w:w="2411" w:type="dxa"/>
            <w:hideMark/>
          </w:tcPr>
          <w:p w:rsidR="00054102" w:rsidRPr="00054102" w:rsidRDefault="00054102" w:rsidP="00054102">
            <w:r w:rsidRPr="00054102">
              <w:t>transport_issue_l1y</w:t>
            </w:r>
          </w:p>
        </w:tc>
        <w:tc>
          <w:tcPr>
            <w:tcW w:w="6949" w:type="dxa"/>
            <w:noWrap/>
            <w:hideMark/>
          </w:tcPr>
          <w:p w:rsidR="00054102" w:rsidRPr="00054102" w:rsidRDefault="00054102" w:rsidP="00054102">
            <w:r w:rsidRPr="00054102">
              <w:t xml:space="preserve"> Indicates the occurrence of any transport-related issues within the last year.</w:t>
            </w:r>
          </w:p>
        </w:tc>
      </w:tr>
      <w:tr w:rsidR="00054102" w:rsidRPr="00054102" w:rsidTr="00054102">
        <w:trPr>
          <w:trHeight w:val="480"/>
        </w:trPr>
        <w:tc>
          <w:tcPr>
            <w:tcW w:w="2411" w:type="dxa"/>
            <w:hideMark/>
          </w:tcPr>
          <w:p w:rsidR="00054102" w:rsidRPr="00054102" w:rsidRDefault="00054102" w:rsidP="00054102">
            <w:proofErr w:type="spellStart"/>
            <w:r w:rsidRPr="00054102">
              <w:t>Competitor_in_mkt</w:t>
            </w:r>
            <w:proofErr w:type="spellEnd"/>
          </w:p>
        </w:tc>
        <w:tc>
          <w:tcPr>
            <w:tcW w:w="6949" w:type="dxa"/>
            <w:noWrap/>
            <w:hideMark/>
          </w:tcPr>
          <w:p w:rsidR="00054102" w:rsidRPr="00054102" w:rsidRDefault="00054102" w:rsidP="00054102">
            <w:r w:rsidRPr="00054102">
              <w:t xml:space="preserve"> Specifies the presence of competitors in the market.</w:t>
            </w:r>
          </w:p>
        </w:tc>
      </w:tr>
      <w:tr w:rsidR="00054102" w:rsidRPr="00054102" w:rsidTr="00054102">
        <w:trPr>
          <w:trHeight w:val="480"/>
        </w:trPr>
        <w:tc>
          <w:tcPr>
            <w:tcW w:w="2411" w:type="dxa"/>
            <w:hideMark/>
          </w:tcPr>
          <w:p w:rsidR="00054102" w:rsidRPr="00054102" w:rsidRDefault="00054102" w:rsidP="00054102">
            <w:proofErr w:type="spellStart"/>
            <w:r w:rsidRPr="00054102">
              <w:t>retail_shop_num</w:t>
            </w:r>
            <w:proofErr w:type="spellEnd"/>
          </w:p>
        </w:tc>
        <w:tc>
          <w:tcPr>
            <w:tcW w:w="6949" w:type="dxa"/>
            <w:noWrap/>
            <w:hideMark/>
          </w:tcPr>
          <w:p w:rsidR="00054102" w:rsidRPr="00054102" w:rsidRDefault="00054102" w:rsidP="00054102">
            <w:r w:rsidRPr="00054102">
              <w:t xml:space="preserve"> Provides the number of retail shops associated with each warehouse.</w:t>
            </w:r>
          </w:p>
        </w:tc>
      </w:tr>
      <w:tr w:rsidR="00054102" w:rsidRPr="00054102" w:rsidTr="00054102">
        <w:trPr>
          <w:trHeight w:val="480"/>
        </w:trPr>
        <w:tc>
          <w:tcPr>
            <w:tcW w:w="2411" w:type="dxa"/>
            <w:hideMark/>
          </w:tcPr>
          <w:p w:rsidR="00054102" w:rsidRPr="00054102" w:rsidRDefault="00054102" w:rsidP="00054102">
            <w:proofErr w:type="spellStart"/>
            <w:r w:rsidRPr="00054102">
              <w:t>wh_owner_type</w:t>
            </w:r>
            <w:proofErr w:type="spellEnd"/>
          </w:p>
        </w:tc>
        <w:tc>
          <w:tcPr>
            <w:tcW w:w="6949" w:type="dxa"/>
            <w:noWrap/>
            <w:hideMark/>
          </w:tcPr>
          <w:p w:rsidR="00054102" w:rsidRPr="00054102" w:rsidRDefault="00054102" w:rsidP="00054102">
            <w:r w:rsidRPr="00054102">
              <w:t xml:space="preserve"> Describes the ownership type of each warehouse.</w:t>
            </w:r>
          </w:p>
        </w:tc>
      </w:tr>
      <w:tr w:rsidR="00054102" w:rsidRPr="00054102" w:rsidTr="00054102">
        <w:trPr>
          <w:trHeight w:val="480"/>
        </w:trPr>
        <w:tc>
          <w:tcPr>
            <w:tcW w:w="2411" w:type="dxa"/>
            <w:hideMark/>
          </w:tcPr>
          <w:p w:rsidR="00054102" w:rsidRPr="00054102" w:rsidRDefault="00054102" w:rsidP="00054102">
            <w:proofErr w:type="spellStart"/>
            <w:r w:rsidRPr="00054102">
              <w:t>distributor_num</w:t>
            </w:r>
            <w:proofErr w:type="spellEnd"/>
          </w:p>
        </w:tc>
        <w:tc>
          <w:tcPr>
            <w:tcW w:w="6949" w:type="dxa"/>
            <w:noWrap/>
            <w:hideMark/>
          </w:tcPr>
          <w:p w:rsidR="00054102" w:rsidRPr="00054102" w:rsidRDefault="00054102" w:rsidP="00054102">
            <w:r w:rsidRPr="00054102">
              <w:t xml:space="preserve"> Represents the number of distributors associated with each warehouse.</w:t>
            </w:r>
          </w:p>
        </w:tc>
      </w:tr>
      <w:tr w:rsidR="00054102" w:rsidRPr="00054102" w:rsidTr="00054102">
        <w:trPr>
          <w:trHeight w:val="480"/>
        </w:trPr>
        <w:tc>
          <w:tcPr>
            <w:tcW w:w="2411" w:type="dxa"/>
            <w:hideMark/>
          </w:tcPr>
          <w:p w:rsidR="00054102" w:rsidRPr="00054102" w:rsidRDefault="00054102" w:rsidP="00054102">
            <w:proofErr w:type="spellStart"/>
            <w:r w:rsidRPr="00054102">
              <w:t>flood_impacted</w:t>
            </w:r>
            <w:proofErr w:type="spellEnd"/>
          </w:p>
        </w:tc>
        <w:tc>
          <w:tcPr>
            <w:tcW w:w="6949" w:type="dxa"/>
            <w:noWrap/>
            <w:hideMark/>
          </w:tcPr>
          <w:p w:rsidR="00054102" w:rsidRPr="00054102" w:rsidRDefault="00054102" w:rsidP="00054102">
            <w:r w:rsidRPr="00054102">
              <w:t xml:space="preserve"> Indicates whether a warehouse has been impacted by floods.</w:t>
            </w:r>
          </w:p>
        </w:tc>
      </w:tr>
      <w:tr w:rsidR="00054102" w:rsidRPr="00054102" w:rsidTr="00054102">
        <w:trPr>
          <w:trHeight w:val="480"/>
        </w:trPr>
        <w:tc>
          <w:tcPr>
            <w:tcW w:w="2411" w:type="dxa"/>
            <w:hideMark/>
          </w:tcPr>
          <w:p w:rsidR="00054102" w:rsidRPr="00054102" w:rsidRDefault="00054102" w:rsidP="00054102">
            <w:proofErr w:type="spellStart"/>
            <w:r w:rsidRPr="00054102">
              <w:t>flood_proof</w:t>
            </w:r>
            <w:proofErr w:type="spellEnd"/>
          </w:p>
        </w:tc>
        <w:tc>
          <w:tcPr>
            <w:tcW w:w="6949" w:type="dxa"/>
            <w:noWrap/>
            <w:hideMark/>
          </w:tcPr>
          <w:p w:rsidR="00054102" w:rsidRPr="00054102" w:rsidRDefault="00054102" w:rsidP="00054102">
            <w:r w:rsidRPr="00054102">
              <w:t xml:space="preserve"> Specifies whether a warehouse is flood-proof.</w:t>
            </w:r>
          </w:p>
        </w:tc>
      </w:tr>
      <w:tr w:rsidR="00054102" w:rsidRPr="00054102" w:rsidTr="00054102">
        <w:trPr>
          <w:trHeight w:val="480"/>
        </w:trPr>
        <w:tc>
          <w:tcPr>
            <w:tcW w:w="2411" w:type="dxa"/>
            <w:hideMark/>
          </w:tcPr>
          <w:p w:rsidR="00054102" w:rsidRPr="00054102" w:rsidRDefault="00054102" w:rsidP="00054102">
            <w:proofErr w:type="spellStart"/>
            <w:r w:rsidRPr="00054102">
              <w:t>electric_supply</w:t>
            </w:r>
            <w:proofErr w:type="spellEnd"/>
          </w:p>
        </w:tc>
        <w:tc>
          <w:tcPr>
            <w:tcW w:w="6949" w:type="dxa"/>
            <w:noWrap/>
            <w:hideMark/>
          </w:tcPr>
          <w:p w:rsidR="00054102" w:rsidRPr="00054102" w:rsidRDefault="00054102" w:rsidP="00054102">
            <w:r w:rsidRPr="00054102">
              <w:t xml:space="preserve"> Indicates the status of electric supply to each warehouse.</w:t>
            </w:r>
          </w:p>
        </w:tc>
      </w:tr>
      <w:tr w:rsidR="00054102" w:rsidRPr="00054102" w:rsidTr="00054102">
        <w:trPr>
          <w:trHeight w:val="480"/>
        </w:trPr>
        <w:tc>
          <w:tcPr>
            <w:tcW w:w="2411" w:type="dxa"/>
            <w:hideMark/>
          </w:tcPr>
          <w:p w:rsidR="00054102" w:rsidRPr="00054102" w:rsidRDefault="00054102" w:rsidP="00054102">
            <w:proofErr w:type="spellStart"/>
            <w:r w:rsidRPr="00054102">
              <w:t>dist_from_hub</w:t>
            </w:r>
            <w:proofErr w:type="spellEnd"/>
          </w:p>
        </w:tc>
        <w:tc>
          <w:tcPr>
            <w:tcW w:w="6949" w:type="dxa"/>
            <w:noWrap/>
            <w:hideMark/>
          </w:tcPr>
          <w:p w:rsidR="00054102" w:rsidRPr="00054102" w:rsidRDefault="00054102" w:rsidP="00054102">
            <w:r w:rsidRPr="00054102">
              <w:t xml:space="preserve"> Represents the distance of each warehouse from the hub.</w:t>
            </w:r>
          </w:p>
        </w:tc>
      </w:tr>
      <w:tr w:rsidR="00054102" w:rsidRPr="00054102" w:rsidTr="00054102">
        <w:trPr>
          <w:trHeight w:val="480"/>
        </w:trPr>
        <w:tc>
          <w:tcPr>
            <w:tcW w:w="2411" w:type="dxa"/>
            <w:hideMark/>
          </w:tcPr>
          <w:p w:rsidR="00054102" w:rsidRPr="00054102" w:rsidRDefault="00054102" w:rsidP="00054102">
            <w:proofErr w:type="spellStart"/>
            <w:r w:rsidRPr="00054102">
              <w:t>workers_num</w:t>
            </w:r>
            <w:proofErr w:type="spellEnd"/>
          </w:p>
        </w:tc>
        <w:tc>
          <w:tcPr>
            <w:tcW w:w="6949" w:type="dxa"/>
            <w:noWrap/>
            <w:hideMark/>
          </w:tcPr>
          <w:p w:rsidR="00054102" w:rsidRPr="00054102" w:rsidRDefault="00054102" w:rsidP="00054102">
            <w:r w:rsidRPr="00054102">
              <w:t xml:space="preserve"> Provides the number of workers employed at each warehouse.</w:t>
            </w:r>
          </w:p>
        </w:tc>
      </w:tr>
      <w:tr w:rsidR="00054102" w:rsidRPr="00054102" w:rsidTr="00054102">
        <w:trPr>
          <w:trHeight w:val="480"/>
        </w:trPr>
        <w:tc>
          <w:tcPr>
            <w:tcW w:w="2411" w:type="dxa"/>
            <w:hideMark/>
          </w:tcPr>
          <w:p w:rsidR="00054102" w:rsidRPr="00054102" w:rsidRDefault="00054102" w:rsidP="00054102">
            <w:proofErr w:type="spellStart"/>
            <w:r w:rsidRPr="00054102">
              <w:t>wh_est_year</w:t>
            </w:r>
            <w:proofErr w:type="spellEnd"/>
          </w:p>
        </w:tc>
        <w:tc>
          <w:tcPr>
            <w:tcW w:w="6949" w:type="dxa"/>
            <w:noWrap/>
            <w:hideMark/>
          </w:tcPr>
          <w:p w:rsidR="00054102" w:rsidRPr="00054102" w:rsidRDefault="00054102" w:rsidP="00054102">
            <w:r w:rsidRPr="00054102">
              <w:t xml:space="preserve"> Represents the year in which each warehouse was established.</w:t>
            </w:r>
          </w:p>
        </w:tc>
      </w:tr>
      <w:tr w:rsidR="00054102" w:rsidRPr="00054102" w:rsidTr="0042231E">
        <w:trPr>
          <w:trHeight w:val="683"/>
        </w:trPr>
        <w:tc>
          <w:tcPr>
            <w:tcW w:w="2411" w:type="dxa"/>
            <w:hideMark/>
          </w:tcPr>
          <w:p w:rsidR="00054102" w:rsidRPr="00054102" w:rsidRDefault="00054102" w:rsidP="00054102">
            <w:r w:rsidRPr="00054102">
              <w:t>storage_issue_reported_l3m</w:t>
            </w:r>
          </w:p>
        </w:tc>
        <w:tc>
          <w:tcPr>
            <w:tcW w:w="6949" w:type="dxa"/>
            <w:noWrap/>
            <w:hideMark/>
          </w:tcPr>
          <w:p w:rsidR="00054102" w:rsidRPr="00054102" w:rsidRDefault="00054102" w:rsidP="00054102">
            <w:r w:rsidRPr="00054102">
              <w:t xml:space="preserve"> Indicates whether any storage issues have been reported in the last 3 months.</w:t>
            </w:r>
          </w:p>
        </w:tc>
      </w:tr>
      <w:tr w:rsidR="00054102" w:rsidRPr="00054102" w:rsidTr="00054102">
        <w:trPr>
          <w:trHeight w:val="480"/>
        </w:trPr>
        <w:tc>
          <w:tcPr>
            <w:tcW w:w="2411" w:type="dxa"/>
            <w:hideMark/>
          </w:tcPr>
          <w:p w:rsidR="00054102" w:rsidRPr="00054102" w:rsidRDefault="00054102" w:rsidP="00054102">
            <w:proofErr w:type="spellStart"/>
            <w:r w:rsidRPr="00054102">
              <w:t>temp_reg_mach</w:t>
            </w:r>
            <w:proofErr w:type="spellEnd"/>
          </w:p>
        </w:tc>
        <w:tc>
          <w:tcPr>
            <w:tcW w:w="6949" w:type="dxa"/>
            <w:noWrap/>
            <w:hideMark/>
          </w:tcPr>
          <w:p w:rsidR="00054102" w:rsidRPr="00054102" w:rsidRDefault="00054102" w:rsidP="00054102">
            <w:r w:rsidRPr="00054102">
              <w:t xml:space="preserve"> Specifies the presence of temperature regulation machinery at each warehouse.</w:t>
            </w:r>
          </w:p>
        </w:tc>
      </w:tr>
      <w:tr w:rsidR="00054102" w:rsidRPr="00054102" w:rsidTr="00054102">
        <w:trPr>
          <w:trHeight w:val="480"/>
        </w:trPr>
        <w:tc>
          <w:tcPr>
            <w:tcW w:w="2411" w:type="dxa"/>
            <w:hideMark/>
          </w:tcPr>
          <w:p w:rsidR="00054102" w:rsidRPr="00054102" w:rsidRDefault="00054102" w:rsidP="00054102">
            <w:proofErr w:type="spellStart"/>
            <w:r w:rsidRPr="00054102">
              <w:t>approved_wh_govt_certificate</w:t>
            </w:r>
            <w:proofErr w:type="spellEnd"/>
          </w:p>
        </w:tc>
        <w:tc>
          <w:tcPr>
            <w:tcW w:w="6949" w:type="dxa"/>
            <w:noWrap/>
            <w:hideMark/>
          </w:tcPr>
          <w:p w:rsidR="00054102" w:rsidRPr="00054102" w:rsidRDefault="00054102" w:rsidP="00054102">
            <w:r w:rsidRPr="00054102">
              <w:t xml:space="preserve"> Indicates if each warehouse has an approved government certificate.</w:t>
            </w:r>
          </w:p>
        </w:tc>
      </w:tr>
      <w:tr w:rsidR="00054102" w:rsidRPr="00054102" w:rsidTr="0042231E">
        <w:trPr>
          <w:trHeight w:val="548"/>
        </w:trPr>
        <w:tc>
          <w:tcPr>
            <w:tcW w:w="2411" w:type="dxa"/>
            <w:hideMark/>
          </w:tcPr>
          <w:p w:rsidR="00054102" w:rsidRPr="00054102" w:rsidRDefault="00054102" w:rsidP="00054102">
            <w:r w:rsidRPr="00054102">
              <w:t>wh_breakdown_l3m</w:t>
            </w:r>
          </w:p>
        </w:tc>
        <w:tc>
          <w:tcPr>
            <w:tcW w:w="6949" w:type="dxa"/>
            <w:noWrap/>
            <w:hideMark/>
          </w:tcPr>
          <w:p w:rsidR="00054102" w:rsidRPr="00054102" w:rsidRDefault="00054102" w:rsidP="00054102">
            <w:r w:rsidRPr="00054102">
              <w:t xml:space="preserve"> Indicates whether any breakdowns have occurred at each warehouse in the last 3 months.</w:t>
            </w:r>
          </w:p>
        </w:tc>
      </w:tr>
      <w:tr w:rsidR="00054102" w:rsidRPr="00054102" w:rsidTr="00054102">
        <w:trPr>
          <w:trHeight w:val="480"/>
        </w:trPr>
        <w:tc>
          <w:tcPr>
            <w:tcW w:w="2411" w:type="dxa"/>
            <w:hideMark/>
          </w:tcPr>
          <w:p w:rsidR="00054102" w:rsidRPr="00054102" w:rsidRDefault="00054102" w:rsidP="00054102">
            <w:r w:rsidRPr="00054102">
              <w:t>govt_check_l3m</w:t>
            </w:r>
          </w:p>
        </w:tc>
        <w:tc>
          <w:tcPr>
            <w:tcW w:w="6949" w:type="dxa"/>
            <w:noWrap/>
            <w:hideMark/>
          </w:tcPr>
          <w:p w:rsidR="00054102" w:rsidRPr="00054102" w:rsidRDefault="00054102" w:rsidP="00054102">
            <w:r w:rsidRPr="00054102">
              <w:t xml:space="preserve"> Indicates if government checks have been conducted for each warehouse in the last 3 months.</w:t>
            </w:r>
          </w:p>
        </w:tc>
      </w:tr>
      <w:tr w:rsidR="00054102" w:rsidRPr="00054102" w:rsidTr="00054102">
        <w:trPr>
          <w:trHeight w:val="480"/>
        </w:trPr>
        <w:tc>
          <w:tcPr>
            <w:tcW w:w="2411" w:type="dxa"/>
            <w:hideMark/>
          </w:tcPr>
          <w:p w:rsidR="00054102" w:rsidRPr="00054102" w:rsidRDefault="00054102" w:rsidP="00054102">
            <w:proofErr w:type="spellStart"/>
            <w:r w:rsidRPr="00054102">
              <w:t>product_wg_ton</w:t>
            </w:r>
            <w:proofErr w:type="spellEnd"/>
          </w:p>
        </w:tc>
        <w:tc>
          <w:tcPr>
            <w:tcW w:w="6949" w:type="dxa"/>
            <w:noWrap/>
            <w:hideMark/>
          </w:tcPr>
          <w:p w:rsidR="00054102" w:rsidRPr="00054102" w:rsidRDefault="00054102" w:rsidP="00054102">
            <w:r w:rsidRPr="00054102">
              <w:t xml:space="preserve"> Represents the weight of the product in tons.</w:t>
            </w:r>
          </w:p>
        </w:tc>
      </w:tr>
    </w:tbl>
    <w:p w:rsidR="00EC0A86" w:rsidRDefault="00EC0A86" w:rsidP="005A3430">
      <w:pPr>
        <w:spacing w:line="360" w:lineRule="auto"/>
        <w:jc w:val="both"/>
      </w:pPr>
    </w:p>
    <w:p w:rsidR="00EC0A86" w:rsidRPr="002B789D" w:rsidRDefault="00EC0A86" w:rsidP="002B789D">
      <w:pPr>
        <w:pStyle w:val="Heading1"/>
        <w:spacing w:line="360" w:lineRule="auto"/>
        <w:rPr>
          <w:sz w:val="24"/>
          <w:szCs w:val="24"/>
          <w:u w:val="single"/>
        </w:rPr>
      </w:pPr>
      <w:bookmarkStart w:id="7" w:name="_Toc222910807"/>
      <w:r w:rsidRPr="002B789D">
        <w:rPr>
          <w:sz w:val="24"/>
          <w:szCs w:val="24"/>
          <w:u w:val="single"/>
        </w:rPr>
        <w:t>DATA PREPARATION / CLEANING</w:t>
      </w:r>
      <w:bookmarkEnd w:id="7"/>
    </w:p>
    <w:p w:rsidR="003B2801" w:rsidRDefault="00EB1779" w:rsidP="00BC425E">
      <w:pPr>
        <w:spacing w:line="360" w:lineRule="auto"/>
        <w:jc w:val="both"/>
      </w:pPr>
      <w:r w:rsidRPr="002E4404">
        <w:t>Data</w:t>
      </w:r>
      <w:r w:rsidR="00F1154D">
        <w:t>set initially</w:t>
      </w:r>
      <w:r w:rsidRPr="002E4404">
        <w:t xml:space="preserve"> </w:t>
      </w:r>
      <w:r w:rsidR="00F1154D">
        <w:t>had</w:t>
      </w:r>
      <w:r>
        <w:t xml:space="preserve"> 24 columns by 25,000 rows</w:t>
      </w:r>
      <w:r w:rsidR="00F1154D">
        <w:t xml:space="preserve">. </w:t>
      </w:r>
      <w:r>
        <w:t xml:space="preserve">Cleaning </w:t>
      </w:r>
      <w:r w:rsidRPr="002E4404">
        <w:t>involved</w:t>
      </w:r>
      <w:r w:rsidR="003B2801">
        <w:t>;</w:t>
      </w:r>
    </w:p>
    <w:p w:rsidR="003B2801" w:rsidRDefault="003B2801" w:rsidP="003B2801">
      <w:pPr>
        <w:pStyle w:val="ListParagraph"/>
        <w:numPr>
          <w:ilvl w:val="0"/>
          <w:numId w:val="3"/>
        </w:numPr>
        <w:spacing w:line="360" w:lineRule="auto"/>
        <w:jc w:val="both"/>
      </w:pPr>
      <w:r w:rsidRPr="002E4404">
        <w:t>Removing duplicate records</w:t>
      </w:r>
      <w:r>
        <w:t>.</w:t>
      </w:r>
    </w:p>
    <w:p w:rsidR="003B2801" w:rsidRDefault="003B2801" w:rsidP="003B2801">
      <w:pPr>
        <w:pStyle w:val="ListParagraph"/>
        <w:numPr>
          <w:ilvl w:val="0"/>
          <w:numId w:val="3"/>
        </w:numPr>
        <w:spacing w:line="360" w:lineRule="auto"/>
        <w:jc w:val="both"/>
      </w:pPr>
      <w:r w:rsidRPr="002E4404">
        <w:t xml:space="preserve">Converting </w:t>
      </w:r>
      <w:r>
        <w:t>all numerical</w:t>
      </w:r>
      <w:r w:rsidRPr="002E4404">
        <w:t xml:space="preserve"> columns to numeric values</w:t>
      </w:r>
      <w:r>
        <w:t>.</w:t>
      </w:r>
    </w:p>
    <w:p w:rsidR="00F72C21" w:rsidRDefault="00F72C21" w:rsidP="003B2801">
      <w:pPr>
        <w:pStyle w:val="ListParagraph"/>
        <w:numPr>
          <w:ilvl w:val="0"/>
          <w:numId w:val="3"/>
        </w:numPr>
        <w:spacing w:line="360" w:lineRule="auto"/>
        <w:jc w:val="both"/>
      </w:pPr>
      <w:r>
        <w:t xml:space="preserve">Missing values replacement: I replaced the missing values on the </w:t>
      </w:r>
      <w:proofErr w:type="spellStart"/>
      <w:r>
        <w:t>workers_num</w:t>
      </w:r>
      <w:proofErr w:type="spellEnd"/>
      <w:r>
        <w:t xml:space="preserve"> column with average of the column, the volume of missing data there wasn’t much – hence that was the best option as it couldn’t be gotten from the source. </w:t>
      </w:r>
    </w:p>
    <w:p w:rsidR="001F3935" w:rsidRDefault="001F3935" w:rsidP="003B2801">
      <w:pPr>
        <w:pStyle w:val="ListParagraph"/>
        <w:numPr>
          <w:ilvl w:val="0"/>
          <w:numId w:val="3"/>
        </w:numPr>
        <w:spacing w:line="360" w:lineRule="auto"/>
        <w:jc w:val="both"/>
      </w:pPr>
      <w:r>
        <w:lastRenderedPageBreak/>
        <w:t>Feature Engineering: I created new columns to convert 0s and 1s to No and Yes on the flood and electric issue columns.</w:t>
      </w:r>
    </w:p>
    <w:p w:rsidR="003B2801" w:rsidRDefault="003B2801" w:rsidP="003B2801">
      <w:pPr>
        <w:pStyle w:val="ListParagraph"/>
        <w:numPr>
          <w:ilvl w:val="0"/>
          <w:numId w:val="3"/>
        </w:numPr>
        <w:spacing w:line="360" w:lineRule="auto"/>
        <w:jc w:val="both"/>
      </w:pPr>
      <w:r>
        <w:t>Trimming for white spaces.</w:t>
      </w:r>
    </w:p>
    <w:p w:rsidR="003B2801" w:rsidRDefault="003B2801" w:rsidP="003B2801">
      <w:pPr>
        <w:pStyle w:val="ListParagraph"/>
        <w:numPr>
          <w:ilvl w:val="0"/>
          <w:numId w:val="3"/>
        </w:numPr>
        <w:spacing w:line="360" w:lineRule="auto"/>
        <w:jc w:val="both"/>
      </w:pPr>
      <w:r>
        <w:t xml:space="preserve">Formatting of text columns in terms of letter casing and </w:t>
      </w:r>
    </w:p>
    <w:p w:rsidR="001F3935" w:rsidRDefault="003B2801" w:rsidP="001F3935">
      <w:pPr>
        <w:pStyle w:val="ListParagraph"/>
        <w:numPr>
          <w:ilvl w:val="0"/>
          <w:numId w:val="3"/>
        </w:numPr>
        <w:spacing w:line="360" w:lineRule="auto"/>
        <w:jc w:val="both"/>
      </w:pPr>
      <w:r>
        <w:t>Spell checking.</w:t>
      </w:r>
    </w:p>
    <w:p w:rsidR="00EB1779" w:rsidRDefault="00BC425E" w:rsidP="00BC425E">
      <w:pPr>
        <w:spacing w:line="360" w:lineRule="auto"/>
        <w:jc w:val="both"/>
      </w:pPr>
      <w:r>
        <w:t xml:space="preserve">Overall, the dataset was clean and </w:t>
      </w:r>
      <w:r w:rsidR="00F72C21">
        <w:t>major</w:t>
      </w:r>
      <w:r>
        <w:t xml:space="preserve"> errors were found. After cleaning the dataset still had 24 columns by 25,000 rows.</w:t>
      </w:r>
    </w:p>
    <w:p w:rsidR="000A097C" w:rsidRPr="002B789D" w:rsidRDefault="000A097C" w:rsidP="002B789D">
      <w:pPr>
        <w:pStyle w:val="Heading1"/>
        <w:spacing w:line="360" w:lineRule="auto"/>
        <w:rPr>
          <w:sz w:val="24"/>
          <w:szCs w:val="24"/>
          <w:u w:val="single"/>
        </w:rPr>
      </w:pPr>
      <w:bookmarkStart w:id="8" w:name="_Toc222910808"/>
      <w:r w:rsidRPr="002B789D">
        <w:rPr>
          <w:sz w:val="24"/>
          <w:szCs w:val="24"/>
          <w:u w:val="single"/>
        </w:rPr>
        <w:t>METHODOLOGY</w:t>
      </w:r>
      <w:bookmarkEnd w:id="8"/>
      <w:r w:rsidRPr="002B789D">
        <w:rPr>
          <w:sz w:val="24"/>
          <w:szCs w:val="24"/>
          <w:u w:val="single"/>
        </w:rPr>
        <w:t xml:space="preserve"> </w:t>
      </w:r>
    </w:p>
    <w:p w:rsidR="00665449" w:rsidRDefault="000A097C" w:rsidP="000A097C">
      <w:pPr>
        <w:spacing w:line="360" w:lineRule="auto"/>
        <w:jc w:val="both"/>
      </w:pPr>
      <w:r w:rsidRPr="002E4404">
        <w:t xml:space="preserve">Analysis was conducted using Microsoft Excel. Pivot tables were used to summarize </w:t>
      </w:r>
      <w:r w:rsidR="002E6337">
        <w:t xml:space="preserve">warehouse distribution and average product ton delivered by zone, location, regional zone, capacity size, owner type and government certificate. Descriptive statistics such average </w:t>
      </w:r>
      <w:proofErr w:type="gramStart"/>
      <w:r w:rsidR="002E6337">
        <w:t>were</w:t>
      </w:r>
      <w:proofErr w:type="gramEnd"/>
      <w:r w:rsidR="002E6337">
        <w:t xml:space="preserve"> calculated on overall average product ton, average </w:t>
      </w:r>
      <w:proofErr w:type="spellStart"/>
      <w:r w:rsidR="002E6337">
        <w:t>num_refill_req</w:t>
      </w:r>
      <w:proofErr w:type="spellEnd"/>
      <w:r w:rsidR="002E6337">
        <w:t xml:space="preserve">, average </w:t>
      </w:r>
      <w:proofErr w:type="spellStart"/>
      <w:r w:rsidR="002E6337">
        <w:t>workers_num</w:t>
      </w:r>
      <w:proofErr w:type="spellEnd"/>
      <w:r w:rsidR="002E6337">
        <w:t xml:space="preserve">, average </w:t>
      </w:r>
      <w:proofErr w:type="spellStart"/>
      <w:r w:rsidR="002E6337">
        <w:t>dist_from_hub</w:t>
      </w:r>
      <w:proofErr w:type="spellEnd"/>
      <w:r w:rsidR="002E6337">
        <w:t xml:space="preserve">, average </w:t>
      </w:r>
      <w:proofErr w:type="spellStart"/>
      <w:r w:rsidR="002E6337">
        <w:t>retail_shop_num</w:t>
      </w:r>
      <w:proofErr w:type="spellEnd"/>
      <w:r w:rsidR="002E6337">
        <w:t>, average transport issue. Correlations were also analyzed to evaluate the relationship between all major variables and product ton delivered.</w:t>
      </w:r>
    </w:p>
    <w:p w:rsidR="00665449" w:rsidRPr="002B789D" w:rsidRDefault="00665449" w:rsidP="002B789D">
      <w:pPr>
        <w:pStyle w:val="Heading1"/>
        <w:spacing w:line="360" w:lineRule="auto"/>
        <w:rPr>
          <w:sz w:val="24"/>
          <w:szCs w:val="24"/>
          <w:u w:val="single"/>
        </w:rPr>
      </w:pPr>
      <w:bookmarkStart w:id="9" w:name="_Toc222910809"/>
      <w:r w:rsidRPr="002B789D">
        <w:rPr>
          <w:sz w:val="24"/>
          <w:szCs w:val="24"/>
          <w:u w:val="single"/>
        </w:rPr>
        <w:t>KEY FINDINGS/INSIGHTS</w:t>
      </w:r>
      <w:bookmarkEnd w:id="9"/>
    </w:p>
    <w:p w:rsidR="00665449" w:rsidRDefault="00665449" w:rsidP="000A097C">
      <w:pPr>
        <w:spacing w:line="360" w:lineRule="auto"/>
        <w:jc w:val="both"/>
      </w:pPr>
      <w:r>
        <w:t>Adine Noodles has over 25,000 companies with 1 manager per warehouse, out of which 54.31% of those companies are company owned and 45.69% are rented</w:t>
      </w:r>
      <w:r w:rsidR="006E3DEE">
        <w:t xml:space="preserve">. By zone distribution, there are more warehouses in the North (over 10K), followed by West </w:t>
      </w:r>
      <w:r w:rsidR="001B429A">
        <w:t>(7.93K)</w:t>
      </w:r>
      <w:r w:rsidR="006E3DEE">
        <w:t xml:space="preserve"> and</w:t>
      </w:r>
      <w:r w:rsidR="00365674">
        <w:t xml:space="preserve"> </w:t>
      </w:r>
      <w:r w:rsidR="006E3DEE">
        <w:t>less of them in the East (just over 400), out of which in the regional zone, zone 6 (8.34K) has more warehouses, f</w:t>
      </w:r>
      <w:r w:rsidR="001B429A">
        <w:t>ollowed by zone 5 (4.59K), zone 1 has fewer warehouses (2.05K)</w:t>
      </w:r>
      <w:r w:rsidR="005A32F2">
        <w:t xml:space="preserve">. </w:t>
      </w:r>
    </w:p>
    <w:p w:rsidR="005A32F2" w:rsidRDefault="005A32F2" w:rsidP="000A097C">
      <w:pPr>
        <w:spacing w:line="360" w:lineRule="auto"/>
        <w:jc w:val="both"/>
      </w:pPr>
      <w:r>
        <w:t xml:space="preserve">There are also more </w:t>
      </w:r>
      <w:r w:rsidR="00852FED">
        <w:t>l</w:t>
      </w:r>
      <w:r>
        <w:t>arge warehouses (10.17K) than Mid</w:t>
      </w:r>
      <w:r w:rsidR="00A76255">
        <w:t xml:space="preserve"> (10.02K)</w:t>
      </w:r>
      <w:r>
        <w:t xml:space="preserve"> and Small</w:t>
      </w:r>
      <w:r w:rsidR="00A76255">
        <w:t xml:space="preserve"> (4.81K)</w:t>
      </w:r>
      <w:r w:rsidR="004F6701">
        <w:t>. By government certificate, there are more warehouses with C certificate</w:t>
      </w:r>
      <w:r w:rsidR="004104D2">
        <w:t>s (5.5K)</w:t>
      </w:r>
      <w:r w:rsidR="004F6701">
        <w:t xml:space="preserve"> than others.</w:t>
      </w:r>
      <w:r w:rsidR="00B25AD5">
        <w:t xml:space="preserve"> The company has more warehouses in rural areas (over 91.83%) than urban areas.</w:t>
      </w:r>
    </w:p>
    <w:p w:rsidR="00365674" w:rsidRDefault="00365674" w:rsidP="000A097C">
      <w:pPr>
        <w:spacing w:line="360" w:lineRule="auto"/>
        <w:jc w:val="both"/>
      </w:pPr>
      <w:r>
        <w:t>On average all zones in the country have a demand (refill request) of approximately 4 requests and an overall average supply (product delivered) of 22,000 (ton) of products delivered.</w:t>
      </w:r>
    </w:p>
    <w:p w:rsidR="00195ECE" w:rsidRDefault="00195ECE" w:rsidP="000A097C">
      <w:pPr>
        <w:spacing w:line="360" w:lineRule="auto"/>
        <w:jc w:val="both"/>
      </w:pPr>
      <w:r>
        <w:t>The average transport issue across the country is approximately 1 (0.77), indicating that most zones/warehouses have little to no recorded transport issues.</w:t>
      </w:r>
    </w:p>
    <w:p w:rsidR="00C935CA" w:rsidRPr="002B789D" w:rsidRDefault="002B789D" w:rsidP="002B789D">
      <w:pPr>
        <w:pStyle w:val="Heading1"/>
        <w:spacing w:line="360" w:lineRule="auto"/>
        <w:rPr>
          <w:sz w:val="24"/>
          <w:szCs w:val="24"/>
          <w:u w:val="single"/>
        </w:rPr>
      </w:pPr>
      <w:bookmarkStart w:id="10" w:name="_Toc222910810"/>
      <w:r w:rsidRPr="002B789D">
        <w:rPr>
          <w:sz w:val="24"/>
          <w:szCs w:val="24"/>
          <w:u w:val="single"/>
        </w:rPr>
        <w:lastRenderedPageBreak/>
        <w:t>KEY PERFORMANCE INDICATORS</w:t>
      </w:r>
      <w:bookmarkEnd w:id="10"/>
    </w:p>
    <w:p w:rsidR="00B3504C" w:rsidRDefault="00B3504C" w:rsidP="00B3504C">
      <w:pPr>
        <w:pStyle w:val="ListParagraph"/>
        <w:numPr>
          <w:ilvl w:val="0"/>
          <w:numId w:val="5"/>
        </w:numPr>
        <w:spacing w:line="360" w:lineRule="auto"/>
        <w:jc w:val="both"/>
      </w:pPr>
      <w:r>
        <w:t>Total number of warehouses – 25,000</w:t>
      </w:r>
    </w:p>
    <w:p w:rsidR="00B3504C" w:rsidRDefault="00B3504C" w:rsidP="00B3504C">
      <w:pPr>
        <w:pStyle w:val="ListParagraph"/>
        <w:numPr>
          <w:ilvl w:val="0"/>
          <w:numId w:val="5"/>
        </w:numPr>
        <w:spacing w:line="360" w:lineRule="auto"/>
        <w:jc w:val="both"/>
      </w:pPr>
      <w:r>
        <w:t>Total number of managers – 25,000</w:t>
      </w:r>
    </w:p>
    <w:p w:rsidR="00B3504C" w:rsidRDefault="00B3504C" w:rsidP="00B3504C">
      <w:pPr>
        <w:pStyle w:val="ListParagraph"/>
        <w:numPr>
          <w:ilvl w:val="0"/>
          <w:numId w:val="5"/>
        </w:numPr>
        <w:spacing w:line="360" w:lineRule="auto"/>
        <w:jc w:val="both"/>
      </w:pPr>
      <w:r>
        <w:t>Average Product ton delivered – 22,000</w:t>
      </w:r>
    </w:p>
    <w:p w:rsidR="00B3504C" w:rsidRDefault="00B3504C" w:rsidP="00B3504C">
      <w:pPr>
        <w:pStyle w:val="ListParagraph"/>
        <w:numPr>
          <w:ilvl w:val="0"/>
          <w:numId w:val="5"/>
        </w:numPr>
        <w:spacing w:line="360" w:lineRule="auto"/>
        <w:jc w:val="both"/>
      </w:pPr>
      <w:r>
        <w:t>Average number of refill request – 4.09</w:t>
      </w:r>
    </w:p>
    <w:p w:rsidR="00B3504C" w:rsidRDefault="00B3504C" w:rsidP="00B3504C">
      <w:pPr>
        <w:pStyle w:val="ListParagraph"/>
        <w:numPr>
          <w:ilvl w:val="0"/>
          <w:numId w:val="5"/>
        </w:numPr>
        <w:spacing w:line="360" w:lineRule="auto"/>
        <w:jc w:val="both"/>
      </w:pPr>
      <w:r>
        <w:t>Average workers number – 28.95</w:t>
      </w:r>
    </w:p>
    <w:p w:rsidR="00B3504C" w:rsidRDefault="00B3504C" w:rsidP="00B3504C">
      <w:pPr>
        <w:pStyle w:val="ListParagraph"/>
        <w:numPr>
          <w:ilvl w:val="0"/>
          <w:numId w:val="5"/>
        </w:numPr>
        <w:spacing w:line="360" w:lineRule="auto"/>
        <w:jc w:val="both"/>
      </w:pPr>
      <w:r>
        <w:t>Average distance from warehouse – 163.54</w:t>
      </w:r>
      <w:r w:rsidR="00D1115D">
        <w:t xml:space="preserve"> Km</w:t>
      </w:r>
    </w:p>
    <w:p w:rsidR="00B3504C" w:rsidRDefault="00B3504C" w:rsidP="00B3504C">
      <w:pPr>
        <w:pStyle w:val="ListParagraph"/>
        <w:numPr>
          <w:ilvl w:val="0"/>
          <w:numId w:val="5"/>
        </w:numPr>
        <w:spacing w:line="360" w:lineRule="auto"/>
        <w:jc w:val="both"/>
      </w:pPr>
      <w:r>
        <w:t>Average distributors number – 42.42</w:t>
      </w:r>
    </w:p>
    <w:p w:rsidR="00B3504C" w:rsidRDefault="00B3504C" w:rsidP="00B3504C">
      <w:pPr>
        <w:pStyle w:val="ListParagraph"/>
        <w:numPr>
          <w:ilvl w:val="0"/>
          <w:numId w:val="5"/>
        </w:numPr>
        <w:spacing w:line="360" w:lineRule="auto"/>
        <w:jc w:val="both"/>
      </w:pPr>
      <w:r>
        <w:t>Average retail shop number – 5,000</w:t>
      </w:r>
    </w:p>
    <w:p w:rsidR="00B3504C" w:rsidRDefault="00B3504C" w:rsidP="00B3504C">
      <w:pPr>
        <w:pStyle w:val="ListParagraph"/>
        <w:numPr>
          <w:ilvl w:val="0"/>
          <w:numId w:val="5"/>
        </w:numPr>
        <w:spacing w:line="360" w:lineRule="auto"/>
        <w:jc w:val="both"/>
      </w:pPr>
      <w:r>
        <w:t>Average zone count – 4</w:t>
      </w:r>
    </w:p>
    <w:p w:rsidR="00B3504C" w:rsidRDefault="00B3504C" w:rsidP="00B3504C">
      <w:pPr>
        <w:pStyle w:val="ListParagraph"/>
        <w:numPr>
          <w:ilvl w:val="0"/>
          <w:numId w:val="5"/>
        </w:numPr>
        <w:spacing w:line="360" w:lineRule="auto"/>
        <w:jc w:val="both"/>
      </w:pPr>
      <w:r>
        <w:t>Average location count – 2</w:t>
      </w:r>
    </w:p>
    <w:p w:rsidR="00584173" w:rsidRDefault="00B3504C" w:rsidP="00584173">
      <w:pPr>
        <w:pStyle w:val="ListParagraph"/>
        <w:numPr>
          <w:ilvl w:val="0"/>
          <w:numId w:val="5"/>
        </w:numPr>
        <w:spacing w:line="360" w:lineRule="auto"/>
        <w:jc w:val="both"/>
      </w:pPr>
      <w:r>
        <w:t>Average transport issue – 0.77</w:t>
      </w:r>
    </w:p>
    <w:p w:rsidR="00C935CA" w:rsidRPr="002B789D" w:rsidRDefault="00A759E1" w:rsidP="002B789D">
      <w:pPr>
        <w:pStyle w:val="Heading1"/>
        <w:spacing w:line="360" w:lineRule="auto"/>
        <w:rPr>
          <w:sz w:val="24"/>
          <w:szCs w:val="24"/>
          <w:u w:val="single"/>
        </w:rPr>
      </w:pPr>
      <w:bookmarkStart w:id="11" w:name="_Toc222910811"/>
      <w:r>
        <w:rPr>
          <w:sz w:val="24"/>
          <w:szCs w:val="24"/>
          <w:u w:val="single"/>
        </w:rPr>
        <w:t xml:space="preserve">EXPLORATORY DATA ANALYSIS </w:t>
      </w:r>
      <w:r w:rsidR="002B789D" w:rsidRPr="002B789D">
        <w:rPr>
          <w:sz w:val="24"/>
          <w:szCs w:val="24"/>
          <w:u w:val="single"/>
        </w:rPr>
        <w:t>VISUALIZATIONS</w:t>
      </w:r>
      <w:bookmarkEnd w:id="11"/>
    </w:p>
    <w:p w:rsidR="00584173" w:rsidRDefault="00584173" w:rsidP="00584173">
      <w:pPr>
        <w:spacing w:line="360" w:lineRule="auto"/>
        <w:jc w:val="center"/>
        <w:rPr>
          <w:u w:val="single"/>
        </w:rPr>
      </w:pPr>
      <w:r>
        <w:rPr>
          <w:noProof/>
        </w:rPr>
        <w:drawing>
          <wp:inline distT="0" distB="0" distL="0" distR="0" wp14:anchorId="455C39BA" wp14:editId="2C6C5954">
            <wp:extent cx="5362575" cy="3028950"/>
            <wp:effectExtent l="0" t="0" r="0" b="0"/>
            <wp:docPr id="773168742" name="Chart 1">
              <a:extLst xmlns:a="http://schemas.openxmlformats.org/drawingml/2006/main">
                <a:ext uri="{FF2B5EF4-FFF2-40B4-BE49-F238E27FC236}">
                  <a16:creationId xmlns:a16="http://schemas.microsoft.com/office/drawing/2014/main" id="{D39A9B0B-0F14-4828-873C-3C6C71B907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665449" w:rsidRPr="008D12C1" w:rsidRDefault="008D12C1" w:rsidP="008D12C1">
      <w:pPr>
        <w:pStyle w:val="Caption"/>
        <w:jc w:val="center"/>
        <w:rPr>
          <w:u w:val="single"/>
        </w:rPr>
      </w:pPr>
      <w:bookmarkStart w:id="12" w:name="_Toc221785895"/>
      <w:bookmarkStart w:id="13" w:name="_Toc222908854"/>
      <w:r w:rsidRPr="008D12C1">
        <w:rPr>
          <w:u w:val="single"/>
        </w:rPr>
        <w:t xml:space="preserve">Fig </w:t>
      </w:r>
      <w:r w:rsidRPr="008D12C1">
        <w:rPr>
          <w:u w:val="single"/>
        </w:rPr>
        <w:fldChar w:fldCharType="begin"/>
      </w:r>
      <w:r w:rsidRPr="008D12C1">
        <w:rPr>
          <w:u w:val="single"/>
        </w:rPr>
        <w:instrText xml:space="preserve"> SEQ Fig \* ARABIC </w:instrText>
      </w:r>
      <w:r w:rsidRPr="008D12C1">
        <w:rPr>
          <w:u w:val="single"/>
        </w:rPr>
        <w:fldChar w:fldCharType="separate"/>
      </w:r>
      <w:r w:rsidR="0073337E">
        <w:rPr>
          <w:noProof/>
          <w:u w:val="single"/>
        </w:rPr>
        <w:t>1</w:t>
      </w:r>
      <w:r w:rsidRPr="008D12C1">
        <w:rPr>
          <w:u w:val="single"/>
        </w:rPr>
        <w:fldChar w:fldCharType="end"/>
      </w:r>
      <w:r w:rsidRPr="008D12C1">
        <w:rPr>
          <w:u w:val="single"/>
        </w:rPr>
        <w:t xml:space="preserve"> Warehouse Distribution and Avg Product ton by Capacity Size</w:t>
      </w:r>
      <w:bookmarkEnd w:id="12"/>
      <w:bookmarkEnd w:id="13"/>
    </w:p>
    <w:p w:rsidR="00FF08E9" w:rsidRDefault="008D12C1" w:rsidP="000A097C">
      <w:pPr>
        <w:spacing w:line="360" w:lineRule="auto"/>
        <w:jc w:val="both"/>
      </w:pPr>
      <w:r>
        <w:t xml:space="preserve">Figure 1 shows the warehouse distribution across different warehouse sizes in the country. </w:t>
      </w:r>
      <w:r w:rsidR="005F21F1">
        <w:t>It can be observed that although the number of type of warehouses differ, especially when comparing Small (4.81K) warehouses to Mid (10.02K) and Large (10.17K) houses, in terms of average product (in ton) delivered, there are all approximately the same - they all get an average of 22,000 products delivered regardless of size.</w:t>
      </w:r>
    </w:p>
    <w:p w:rsidR="00FF08E9" w:rsidRDefault="00FF08E9" w:rsidP="00FF08E9">
      <w:pPr>
        <w:spacing w:line="360" w:lineRule="auto"/>
        <w:jc w:val="center"/>
      </w:pPr>
      <w:r>
        <w:rPr>
          <w:noProof/>
        </w:rPr>
        <w:lastRenderedPageBreak/>
        <w:drawing>
          <wp:inline distT="0" distB="0" distL="0" distR="0" wp14:anchorId="39F6E00B" wp14:editId="4290C2C8">
            <wp:extent cx="5400675" cy="2771775"/>
            <wp:effectExtent l="0" t="0" r="0" b="0"/>
            <wp:docPr id="1912535079" name="Chart 1">
              <a:extLst xmlns:a="http://schemas.openxmlformats.org/drawingml/2006/main">
                <a:ext uri="{FF2B5EF4-FFF2-40B4-BE49-F238E27FC236}">
                  <a16:creationId xmlns:a16="http://schemas.microsoft.com/office/drawing/2014/main" id="{92C6884A-83C7-48DF-A8EB-7414E00D2F5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FF08E9" w:rsidRPr="00E55A23" w:rsidRDefault="00FF08E9" w:rsidP="00E55A23">
      <w:pPr>
        <w:pStyle w:val="Caption"/>
        <w:jc w:val="center"/>
        <w:rPr>
          <w:u w:val="single"/>
        </w:rPr>
      </w:pPr>
      <w:bookmarkStart w:id="14" w:name="_Toc221785896"/>
      <w:bookmarkStart w:id="15" w:name="_Toc222908855"/>
      <w:r w:rsidRPr="00E55A23">
        <w:rPr>
          <w:u w:val="single"/>
        </w:rPr>
        <w:t xml:space="preserve">Fig </w:t>
      </w:r>
      <w:r w:rsidRPr="00E55A23">
        <w:rPr>
          <w:u w:val="single"/>
        </w:rPr>
        <w:fldChar w:fldCharType="begin"/>
      </w:r>
      <w:r w:rsidRPr="00E55A23">
        <w:rPr>
          <w:u w:val="single"/>
        </w:rPr>
        <w:instrText xml:space="preserve"> SEQ Fig \* ARABIC </w:instrText>
      </w:r>
      <w:r w:rsidRPr="00E55A23">
        <w:rPr>
          <w:u w:val="single"/>
        </w:rPr>
        <w:fldChar w:fldCharType="separate"/>
      </w:r>
      <w:r w:rsidR="0073337E">
        <w:rPr>
          <w:noProof/>
          <w:u w:val="single"/>
        </w:rPr>
        <w:t>2</w:t>
      </w:r>
      <w:r w:rsidRPr="00E55A23">
        <w:rPr>
          <w:u w:val="single"/>
        </w:rPr>
        <w:fldChar w:fldCharType="end"/>
      </w:r>
      <w:r w:rsidRPr="00E55A23">
        <w:rPr>
          <w:u w:val="single"/>
        </w:rPr>
        <w:t xml:space="preserve"> Warehouse Distribution and Avg Product ton by Location</w:t>
      </w:r>
      <w:bookmarkEnd w:id="14"/>
      <w:bookmarkEnd w:id="15"/>
    </w:p>
    <w:p w:rsidR="00FF08E9" w:rsidRDefault="000E4AA8" w:rsidP="000E4AA8">
      <w:pPr>
        <w:spacing w:line="360" w:lineRule="auto"/>
        <w:jc w:val="both"/>
      </w:pPr>
      <w:r>
        <w:t xml:space="preserve">Figure 2 shows </w:t>
      </w:r>
      <w:r w:rsidR="0042231E">
        <w:t>the warehouse distribution across Rural and Urban locations in the country. Although they are more warehouses in the Rural area (91.83%) of the country, on average more products get delivered to the Urban area (25K)</w:t>
      </w:r>
      <w:r w:rsidR="002F1817">
        <w:t xml:space="preserve"> than Rural areas.</w:t>
      </w:r>
    </w:p>
    <w:p w:rsidR="002F1817" w:rsidRDefault="002F1817" w:rsidP="002F1817">
      <w:pPr>
        <w:spacing w:line="360" w:lineRule="auto"/>
        <w:jc w:val="center"/>
      </w:pPr>
      <w:r>
        <w:rPr>
          <w:noProof/>
        </w:rPr>
        <w:drawing>
          <wp:inline distT="0" distB="0" distL="0" distR="0" wp14:anchorId="6000DF3A" wp14:editId="0AC24D49">
            <wp:extent cx="5334000" cy="2886075"/>
            <wp:effectExtent l="0" t="0" r="0" b="0"/>
            <wp:docPr id="929323628" name="Chart 1">
              <a:extLst xmlns:a="http://schemas.openxmlformats.org/drawingml/2006/main">
                <a:ext uri="{FF2B5EF4-FFF2-40B4-BE49-F238E27FC236}">
                  <a16:creationId xmlns:a16="http://schemas.microsoft.com/office/drawing/2014/main" id="{E3BFD399-5CEA-45EA-A495-BDF69F6BE1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2F1817" w:rsidRDefault="002F1817" w:rsidP="002F1817">
      <w:pPr>
        <w:pStyle w:val="Caption"/>
        <w:jc w:val="center"/>
        <w:rPr>
          <w:u w:val="single"/>
        </w:rPr>
      </w:pPr>
      <w:bookmarkStart w:id="16" w:name="_Toc221785897"/>
      <w:bookmarkStart w:id="17" w:name="_Toc222908856"/>
      <w:r w:rsidRPr="002F1817">
        <w:rPr>
          <w:u w:val="single"/>
        </w:rPr>
        <w:t xml:space="preserve">Fig </w:t>
      </w:r>
      <w:r w:rsidRPr="002F1817">
        <w:rPr>
          <w:u w:val="single"/>
        </w:rPr>
        <w:fldChar w:fldCharType="begin"/>
      </w:r>
      <w:r w:rsidRPr="002F1817">
        <w:rPr>
          <w:u w:val="single"/>
        </w:rPr>
        <w:instrText xml:space="preserve"> SEQ Fig \* ARABIC </w:instrText>
      </w:r>
      <w:r w:rsidRPr="002F1817">
        <w:rPr>
          <w:u w:val="single"/>
        </w:rPr>
        <w:fldChar w:fldCharType="separate"/>
      </w:r>
      <w:r w:rsidR="0073337E">
        <w:rPr>
          <w:noProof/>
          <w:u w:val="single"/>
        </w:rPr>
        <w:t>3</w:t>
      </w:r>
      <w:r w:rsidRPr="002F1817">
        <w:rPr>
          <w:u w:val="single"/>
        </w:rPr>
        <w:fldChar w:fldCharType="end"/>
      </w:r>
      <w:r w:rsidRPr="002F1817">
        <w:rPr>
          <w:u w:val="single"/>
        </w:rPr>
        <w:t xml:space="preserve"> Warehouse Distribution by Zone</w:t>
      </w:r>
      <w:bookmarkEnd w:id="16"/>
      <w:bookmarkEnd w:id="17"/>
    </w:p>
    <w:p w:rsidR="002F1817" w:rsidRDefault="00B031D0" w:rsidP="00B031D0">
      <w:pPr>
        <w:spacing w:line="360" w:lineRule="auto"/>
        <w:jc w:val="both"/>
      </w:pPr>
      <w:r>
        <w:t xml:space="preserve">Figure 3 shows the warehouse distribution by Regional Zone. We can see that the North zone has more warehouses. Before now we also saw that most warehouses are in Rural areas, going deeper we see that overall, regardless of zone the countries warehouses are situated in the </w:t>
      </w:r>
      <w:r>
        <w:lastRenderedPageBreak/>
        <w:t>Rural areas of these zones. North having more warehouses (10.28K) and East having the least (429).</w:t>
      </w:r>
    </w:p>
    <w:p w:rsidR="0087108C" w:rsidRDefault="0087108C" w:rsidP="005652FC">
      <w:pPr>
        <w:spacing w:line="360" w:lineRule="auto"/>
        <w:jc w:val="center"/>
      </w:pPr>
      <w:r>
        <w:rPr>
          <w:noProof/>
        </w:rPr>
        <w:drawing>
          <wp:inline distT="0" distB="0" distL="0" distR="0" wp14:anchorId="0849AEB7" wp14:editId="33D0C1F5">
            <wp:extent cx="5572125" cy="2943225"/>
            <wp:effectExtent l="0" t="0" r="0" b="0"/>
            <wp:docPr id="542288804" name="Chart 1">
              <a:extLst xmlns:a="http://schemas.openxmlformats.org/drawingml/2006/main">
                <a:ext uri="{FF2B5EF4-FFF2-40B4-BE49-F238E27FC236}">
                  <a16:creationId xmlns:a16="http://schemas.microsoft.com/office/drawing/2014/main" id="{60199FE5-12BC-4D91-98E8-DB8E8447B3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5652FC" w:rsidRPr="005652FC" w:rsidRDefault="005652FC" w:rsidP="005652FC">
      <w:pPr>
        <w:pStyle w:val="Caption"/>
        <w:jc w:val="center"/>
        <w:rPr>
          <w:u w:val="single"/>
        </w:rPr>
      </w:pPr>
      <w:bookmarkStart w:id="18" w:name="_Toc221785898"/>
      <w:bookmarkStart w:id="19" w:name="_Toc222908857"/>
      <w:r w:rsidRPr="005652FC">
        <w:rPr>
          <w:u w:val="single"/>
        </w:rPr>
        <w:t xml:space="preserve">Fig </w:t>
      </w:r>
      <w:r w:rsidRPr="005652FC">
        <w:rPr>
          <w:u w:val="single"/>
        </w:rPr>
        <w:fldChar w:fldCharType="begin"/>
      </w:r>
      <w:r w:rsidRPr="005652FC">
        <w:rPr>
          <w:u w:val="single"/>
        </w:rPr>
        <w:instrText xml:space="preserve"> SEQ Fig \* ARABIC </w:instrText>
      </w:r>
      <w:r w:rsidRPr="005652FC">
        <w:rPr>
          <w:u w:val="single"/>
        </w:rPr>
        <w:fldChar w:fldCharType="separate"/>
      </w:r>
      <w:r w:rsidR="0073337E">
        <w:rPr>
          <w:noProof/>
          <w:u w:val="single"/>
        </w:rPr>
        <w:t>4</w:t>
      </w:r>
      <w:r w:rsidRPr="005652FC">
        <w:rPr>
          <w:u w:val="single"/>
        </w:rPr>
        <w:fldChar w:fldCharType="end"/>
      </w:r>
      <w:r w:rsidRPr="005652FC">
        <w:rPr>
          <w:u w:val="single"/>
        </w:rPr>
        <w:t xml:space="preserve"> Average Product ton delivered by Zone</w:t>
      </w:r>
      <w:bookmarkEnd w:id="18"/>
      <w:bookmarkEnd w:id="19"/>
    </w:p>
    <w:p w:rsidR="00FF08E9" w:rsidRDefault="005652FC" w:rsidP="005652FC">
      <w:pPr>
        <w:spacing w:line="360" w:lineRule="auto"/>
        <w:jc w:val="both"/>
      </w:pPr>
      <w:r>
        <w:t>Figure 4 shows the average weight of product delivered by zone. We see that more East zone has the highest average product weight</w:t>
      </w:r>
      <w:r w:rsidR="00480F63">
        <w:t xml:space="preserve"> delivered.</w:t>
      </w:r>
      <w:r w:rsidR="00773F8E">
        <w:t xml:space="preserve"> Relating this to the number of warehouses per zone, where we observed that East zone has fewer warehouses, this signifies that number of warehouses don’t determine the average weight of products being delivered to that zone, but rather the capacity size of those war</w:t>
      </w:r>
      <w:r w:rsidR="00486101">
        <w:t>e</w:t>
      </w:r>
      <w:r w:rsidR="00773F8E">
        <w:t>houses.</w:t>
      </w:r>
    </w:p>
    <w:p w:rsidR="009D5880" w:rsidRDefault="009D5880" w:rsidP="009D5880">
      <w:pPr>
        <w:spacing w:line="360" w:lineRule="auto"/>
        <w:jc w:val="center"/>
      </w:pPr>
      <w:r>
        <w:rPr>
          <w:noProof/>
        </w:rPr>
        <w:drawing>
          <wp:inline distT="0" distB="0" distL="0" distR="0" wp14:anchorId="31E15B44" wp14:editId="262DD82F">
            <wp:extent cx="5495925" cy="2619375"/>
            <wp:effectExtent l="0" t="0" r="0" b="0"/>
            <wp:docPr id="536164030" name="Chart 1">
              <a:extLst xmlns:a="http://schemas.openxmlformats.org/drawingml/2006/main">
                <a:ext uri="{FF2B5EF4-FFF2-40B4-BE49-F238E27FC236}">
                  <a16:creationId xmlns:a16="http://schemas.microsoft.com/office/drawing/2014/main" id="{73FCC2DD-069D-45BF-BC60-044FDD14FF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9D5880" w:rsidRDefault="009977A4" w:rsidP="009977A4">
      <w:pPr>
        <w:pStyle w:val="Caption"/>
        <w:jc w:val="center"/>
        <w:rPr>
          <w:u w:val="single"/>
        </w:rPr>
      </w:pPr>
      <w:bookmarkStart w:id="20" w:name="_Toc221785899"/>
      <w:bookmarkStart w:id="21" w:name="_Toc222908858"/>
      <w:r w:rsidRPr="009977A4">
        <w:rPr>
          <w:u w:val="single"/>
        </w:rPr>
        <w:t xml:space="preserve">Fig </w:t>
      </w:r>
      <w:r w:rsidRPr="009977A4">
        <w:rPr>
          <w:u w:val="single"/>
        </w:rPr>
        <w:fldChar w:fldCharType="begin"/>
      </w:r>
      <w:r w:rsidRPr="009977A4">
        <w:rPr>
          <w:u w:val="single"/>
        </w:rPr>
        <w:instrText xml:space="preserve"> SEQ Fig \* ARABIC </w:instrText>
      </w:r>
      <w:r w:rsidRPr="009977A4">
        <w:rPr>
          <w:u w:val="single"/>
        </w:rPr>
        <w:fldChar w:fldCharType="separate"/>
      </w:r>
      <w:r w:rsidR="0073337E">
        <w:rPr>
          <w:noProof/>
          <w:u w:val="single"/>
        </w:rPr>
        <w:t>5</w:t>
      </w:r>
      <w:r w:rsidRPr="009977A4">
        <w:rPr>
          <w:u w:val="single"/>
        </w:rPr>
        <w:fldChar w:fldCharType="end"/>
      </w:r>
      <w:r w:rsidRPr="009977A4">
        <w:rPr>
          <w:u w:val="single"/>
        </w:rPr>
        <w:t xml:space="preserve"> Warehouse Distribution by Regional Zone</w:t>
      </w:r>
      <w:bookmarkEnd w:id="20"/>
      <w:bookmarkEnd w:id="21"/>
    </w:p>
    <w:p w:rsidR="009977A4" w:rsidRDefault="009977A4" w:rsidP="00C73852">
      <w:pPr>
        <w:spacing w:line="360" w:lineRule="auto"/>
        <w:jc w:val="both"/>
      </w:pPr>
      <w:r>
        <w:lastRenderedPageBreak/>
        <w:t>Figure 5 shows the warehouse distribution by Regional Zone. Each Region from East, West, North and South is divided into 6 zones (Zone 1-6). The chart shows us the overall distribution of wareh</w:t>
      </w:r>
      <w:r w:rsidR="00C73852">
        <w:t>ouses per zone. Zone 6 being the one with the highest number of warehouses.</w:t>
      </w:r>
    </w:p>
    <w:p w:rsidR="00C73852" w:rsidRDefault="00C73852" w:rsidP="00C73852">
      <w:pPr>
        <w:spacing w:line="360" w:lineRule="auto"/>
        <w:jc w:val="center"/>
      </w:pPr>
      <w:r>
        <w:rPr>
          <w:noProof/>
        </w:rPr>
        <w:drawing>
          <wp:inline distT="0" distB="0" distL="0" distR="0" wp14:anchorId="5BDFA85F" wp14:editId="1568D0D1">
            <wp:extent cx="5495925" cy="2705100"/>
            <wp:effectExtent l="0" t="0" r="0" b="0"/>
            <wp:docPr id="391242958" name="Chart 1">
              <a:extLst xmlns:a="http://schemas.openxmlformats.org/drawingml/2006/main">
                <a:ext uri="{FF2B5EF4-FFF2-40B4-BE49-F238E27FC236}">
                  <a16:creationId xmlns:a16="http://schemas.microsoft.com/office/drawing/2014/main" id="{1686470C-3CD3-4060-83E2-B2701C0785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C73852" w:rsidRDefault="00C73852" w:rsidP="00C73852">
      <w:pPr>
        <w:pStyle w:val="Caption"/>
        <w:jc w:val="center"/>
        <w:rPr>
          <w:u w:val="single"/>
        </w:rPr>
      </w:pPr>
      <w:bookmarkStart w:id="22" w:name="_Toc221785900"/>
      <w:bookmarkStart w:id="23" w:name="_Toc222908859"/>
      <w:r w:rsidRPr="00C73852">
        <w:rPr>
          <w:u w:val="single"/>
        </w:rPr>
        <w:t xml:space="preserve">Fig </w:t>
      </w:r>
      <w:r w:rsidRPr="00C73852">
        <w:rPr>
          <w:u w:val="single"/>
        </w:rPr>
        <w:fldChar w:fldCharType="begin"/>
      </w:r>
      <w:r w:rsidRPr="00C73852">
        <w:rPr>
          <w:u w:val="single"/>
        </w:rPr>
        <w:instrText xml:space="preserve"> SEQ Fig \* ARABIC </w:instrText>
      </w:r>
      <w:r w:rsidRPr="00C73852">
        <w:rPr>
          <w:u w:val="single"/>
        </w:rPr>
        <w:fldChar w:fldCharType="separate"/>
      </w:r>
      <w:r w:rsidR="0073337E">
        <w:rPr>
          <w:noProof/>
          <w:u w:val="single"/>
        </w:rPr>
        <w:t>6</w:t>
      </w:r>
      <w:r w:rsidRPr="00C73852">
        <w:rPr>
          <w:u w:val="single"/>
        </w:rPr>
        <w:fldChar w:fldCharType="end"/>
      </w:r>
      <w:r w:rsidRPr="00C73852">
        <w:rPr>
          <w:u w:val="single"/>
        </w:rPr>
        <w:t xml:space="preserve"> Average Product ton delivered by Regional Zone</w:t>
      </w:r>
      <w:bookmarkEnd w:id="22"/>
      <w:bookmarkEnd w:id="23"/>
    </w:p>
    <w:p w:rsidR="00C73852" w:rsidRPr="00C73852" w:rsidRDefault="00C73852" w:rsidP="00C73852">
      <w:pPr>
        <w:spacing w:line="360" w:lineRule="auto"/>
        <w:jc w:val="both"/>
      </w:pPr>
      <w:r>
        <w:t>Figure 6 shows the average weight of product delivered to each regional zone. We observe the same thing as before – that is the weight of products being delivered isn’t about the number of warehouses in that zone, but rather the capacity size of the warehouses in those zones. Here Zone 2 has the highest average weight of prod</w:t>
      </w:r>
      <w:r w:rsidR="00DC0A72">
        <w:t>uct delivered to it, whereas zone 6 has more warehouses overall.</w:t>
      </w:r>
    </w:p>
    <w:p w:rsidR="00486101" w:rsidRDefault="00486101" w:rsidP="00486101">
      <w:pPr>
        <w:spacing w:line="360" w:lineRule="auto"/>
        <w:jc w:val="center"/>
      </w:pPr>
      <w:r>
        <w:rPr>
          <w:noProof/>
        </w:rPr>
        <w:drawing>
          <wp:inline distT="0" distB="0" distL="0" distR="0" wp14:anchorId="0B29ED08" wp14:editId="55C33103">
            <wp:extent cx="5248275" cy="2571750"/>
            <wp:effectExtent l="0" t="0" r="0" b="0"/>
            <wp:docPr id="270123450" name="Chart 1">
              <a:extLst xmlns:a="http://schemas.openxmlformats.org/drawingml/2006/main">
                <a:ext uri="{FF2B5EF4-FFF2-40B4-BE49-F238E27FC236}">
                  <a16:creationId xmlns:a16="http://schemas.microsoft.com/office/drawing/2014/main" id="{81CBBEA7-2E86-4347-BB08-8E9F625685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E40AFE" w:rsidRPr="00916B09" w:rsidRDefault="00916B09" w:rsidP="00916B09">
      <w:pPr>
        <w:pStyle w:val="Caption"/>
        <w:jc w:val="center"/>
        <w:rPr>
          <w:u w:val="single"/>
        </w:rPr>
      </w:pPr>
      <w:bookmarkStart w:id="24" w:name="_Toc222908860"/>
      <w:r w:rsidRPr="00916B09">
        <w:rPr>
          <w:u w:val="single"/>
        </w:rPr>
        <w:t xml:space="preserve">Fig </w:t>
      </w:r>
      <w:r w:rsidRPr="00916B09">
        <w:rPr>
          <w:u w:val="single"/>
        </w:rPr>
        <w:fldChar w:fldCharType="begin"/>
      </w:r>
      <w:r w:rsidRPr="00916B09">
        <w:rPr>
          <w:u w:val="single"/>
        </w:rPr>
        <w:instrText xml:space="preserve"> SEQ Fig \* ARABIC </w:instrText>
      </w:r>
      <w:r w:rsidRPr="00916B09">
        <w:rPr>
          <w:u w:val="single"/>
        </w:rPr>
        <w:fldChar w:fldCharType="separate"/>
      </w:r>
      <w:r w:rsidR="0073337E">
        <w:rPr>
          <w:noProof/>
          <w:u w:val="single"/>
        </w:rPr>
        <w:t>7</w:t>
      </w:r>
      <w:r w:rsidRPr="00916B09">
        <w:rPr>
          <w:u w:val="single"/>
        </w:rPr>
        <w:fldChar w:fldCharType="end"/>
      </w:r>
      <w:r w:rsidRPr="00916B09">
        <w:rPr>
          <w:u w:val="single"/>
        </w:rPr>
        <w:t xml:space="preserve"> Warehouse Distribution and Avg Product ton by Owner Type</w:t>
      </w:r>
      <w:bookmarkEnd w:id="24"/>
    </w:p>
    <w:p w:rsidR="00122A9B" w:rsidRDefault="00122A9B" w:rsidP="00122A9B">
      <w:pPr>
        <w:spacing w:line="360" w:lineRule="auto"/>
        <w:jc w:val="both"/>
      </w:pPr>
      <w:r>
        <w:lastRenderedPageBreak/>
        <w:t xml:space="preserve">Figure </w:t>
      </w:r>
      <w:r w:rsidR="00DC0A72">
        <w:t>7</w:t>
      </w:r>
      <w:r>
        <w:t xml:space="preserve"> shows the warehouse distribution by owner type,</w:t>
      </w:r>
      <w:r w:rsidR="000F4637">
        <w:t xml:space="preserve"> </w:t>
      </w:r>
      <w:proofErr w:type="gramStart"/>
      <w:r>
        <w:t>We</w:t>
      </w:r>
      <w:proofErr w:type="gramEnd"/>
      <w:r w:rsidR="000F4637">
        <w:t xml:space="preserve"> </w:t>
      </w:r>
      <w:r>
        <w:t>see that Adine Noodles more Company owned</w:t>
      </w:r>
      <w:r w:rsidR="00653ACB">
        <w:t xml:space="preserve"> (54.31%) warehouses than Rented</w:t>
      </w:r>
      <w:r w:rsidR="000F4637">
        <w:t xml:space="preserve"> </w:t>
      </w:r>
      <w:r w:rsidR="00653ACB">
        <w:t>(45.69%)</w:t>
      </w:r>
      <w:r w:rsidR="008B39CE">
        <w:t>. But in terms of average product ton delivered, the average weight of products delivered is almost the same on company owned (22.04K) and Rented</w:t>
      </w:r>
      <w:r w:rsidR="000F4637">
        <w:t xml:space="preserve"> </w:t>
      </w:r>
      <w:r w:rsidR="008B39CE">
        <w:t>(22.18K) warehouses.</w:t>
      </w:r>
    </w:p>
    <w:p w:rsidR="00FF08E9" w:rsidRDefault="00540DC6" w:rsidP="00540DC6">
      <w:pPr>
        <w:spacing w:line="360" w:lineRule="auto"/>
        <w:jc w:val="center"/>
      </w:pPr>
      <w:r>
        <w:rPr>
          <w:noProof/>
        </w:rPr>
        <w:drawing>
          <wp:inline distT="0" distB="0" distL="0" distR="0" wp14:anchorId="625027CF" wp14:editId="5BE01642">
            <wp:extent cx="5400675" cy="2724150"/>
            <wp:effectExtent l="0" t="0" r="0" b="0"/>
            <wp:docPr id="859385035" name="Chart 1">
              <a:extLst xmlns:a="http://schemas.openxmlformats.org/drawingml/2006/main">
                <a:ext uri="{FF2B5EF4-FFF2-40B4-BE49-F238E27FC236}">
                  <a16:creationId xmlns:a16="http://schemas.microsoft.com/office/drawing/2014/main" id="{2549A8B5-10E3-4EA6-A8A6-5A81E4B732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540DC6" w:rsidRPr="00916B09" w:rsidRDefault="00916B09" w:rsidP="00916B09">
      <w:pPr>
        <w:pStyle w:val="Caption"/>
        <w:jc w:val="center"/>
        <w:rPr>
          <w:u w:val="single"/>
        </w:rPr>
      </w:pPr>
      <w:bookmarkStart w:id="25" w:name="_Toc222908861"/>
      <w:r w:rsidRPr="00916B09">
        <w:rPr>
          <w:u w:val="single"/>
        </w:rPr>
        <w:t xml:space="preserve">Fig </w:t>
      </w:r>
      <w:r w:rsidRPr="00916B09">
        <w:rPr>
          <w:u w:val="single"/>
        </w:rPr>
        <w:fldChar w:fldCharType="begin"/>
      </w:r>
      <w:r w:rsidRPr="00916B09">
        <w:rPr>
          <w:u w:val="single"/>
        </w:rPr>
        <w:instrText xml:space="preserve"> SEQ Fig \* ARABIC </w:instrText>
      </w:r>
      <w:r w:rsidRPr="00916B09">
        <w:rPr>
          <w:u w:val="single"/>
        </w:rPr>
        <w:fldChar w:fldCharType="separate"/>
      </w:r>
      <w:r w:rsidR="0073337E">
        <w:rPr>
          <w:noProof/>
          <w:u w:val="single"/>
        </w:rPr>
        <w:t>8</w:t>
      </w:r>
      <w:r w:rsidRPr="00916B09">
        <w:rPr>
          <w:u w:val="single"/>
        </w:rPr>
        <w:fldChar w:fldCharType="end"/>
      </w:r>
      <w:r w:rsidRPr="00916B09">
        <w:rPr>
          <w:u w:val="single"/>
        </w:rPr>
        <w:t xml:space="preserve"> Warehouse Distribution by Government Certificate</w:t>
      </w:r>
      <w:bookmarkEnd w:id="25"/>
    </w:p>
    <w:p w:rsidR="00926C53" w:rsidRDefault="00926C53" w:rsidP="00926C53">
      <w:pPr>
        <w:spacing w:line="360" w:lineRule="auto"/>
        <w:jc w:val="both"/>
      </w:pPr>
      <w:r>
        <w:t xml:space="preserve">Figure </w:t>
      </w:r>
      <w:r w:rsidR="00131122">
        <w:t>8</w:t>
      </w:r>
      <w:r>
        <w:t xml:space="preserve"> shows the warehouse distribution by warehouse that hav</w:t>
      </w:r>
      <w:r w:rsidR="00A759E1">
        <w:t>e gone through government checks in the last 3 months. We see that we have more warehouses operating under C certificates (5.5K) and a few of them (NA - 908) whose certification isn’t recorded yet.</w:t>
      </w:r>
    </w:p>
    <w:p w:rsidR="00A759E1" w:rsidRDefault="00A759E1" w:rsidP="00A759E1">
      <w:pPr>
        <w:spacing w:line="360" w:lineRule="auto"/>
        <w:jc w:val="center"/>
      </w:pPr>
      <w:r>
        <w:rPr>
          <w:noProof/>
        </w:rPr>
        <w:drawing>
          <wp:inline distT="0" distB="0" distL="0" distR="0" wp14:anchorId="1D2D685B" wp14:editId="1FD9C04C">
            <wp:extent cx="5429250" cy="2790825"/>
            <wp:effectExtent l="0" t="0" r="0" b="0"/>
            <wp:docPr id="370293663" name="Chart 1">
              <a:extLst xmlns:a="http://schemas.openxmlformats.org/drawingml/2006/main">
                <a:ext uri="{FF2B5EF4-FFF2-40B4-BE49-F238E27FC236}">
                  <a16:creationId xmlns:a16="http://schemas.microsoft.com/office/drawing/2014/main" id="{D1D0F291-39BA-42F9-8AE3-F29974E41C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916B09" w:rsidRPr="00916B09" w:rsidRDefault="00916B09" w:rsidP="00916B09">
      <w:pPr>
        <w:pStyle w:val="Caption"/>
        <w:jc w:val="center"/>
        <w:rPr>
          <w:u w:val="single"/>
        </w:rPr>
      </w:pPr>
      <w:bookmarkStart w:id="26" w:name="_Toc222908862"/>
      <w:r w:rsidRPr="00916B09">
        <w:rPr>
          <w:u w:val="single"/>
        </w:rPr>
        <w:t xml:space="preserve">Fig </w:t>
      </w:r>
      <w:r w:rsidRPr="00916B09">
        <w:rPr>
          <w:u w:val="single"/>
        </w:rPr>
        <w:fldChar w:fldCharType="begin"/>
      </w:r>
      <w:r w:rsidRPr="00916B09">
        <w:rPr>
          <w:u w:val="single"/>
        </w:rPr>
        <w:instrText xml:space="preserve"> SEQ Fig \* ARABIC </w:instrText>
      </w:r>
      <w:r w:rsidRPr="00916B09">
        <w:rPr>
          <w:u w:val="single"/>
        </w:rPr>
        <w:fldChar w:fldCharType="separate"/>
      </w:r>
      <w:r w:rsidR="0073337E">
        <w:rPr>
          <w:noProof/>
          <w:u w:val="single"/>
        </w:rPr>
        <w:t>9</w:t>
      </w:r>
      <w:r w:rsidRPr="00916B09">
        <w:rPr>
          <w:u w:val="single"/>
        </w:rPr>
        <w:fldChar w:fldCharType="end"/>
      </w:r>
      <w:r w:rsidRPr="00916B09">
        <w:rPr>
          <w:u w:val="single"/>
        </w:rPr>
        <w:t xml:space="preserve"> Average Product ton distribution by Government Certificate</w:t>
      </w:r>
      <w:bookmarkEnd w:id="26"/>
    </w:p>
    <w:p w:rsidR="00131122" w:rsidRDefault="00131122" w:rsidP="00131122">
      <w:pPr>
        <w:spacing w:line="360" w:lineRule="auto"/>
        <w:jc w:val="both"/>
      </w:pPr>
      <w:r>
        <w:lastRenderedPageBreak/>
        <w:t xml:space="preserve">Figure 9 shows the average weight of product delivered to warehouses based on their government certificate, we see </w:t>
      </w:r>
      <w:proofErr w:type="gramStart"/>
      <w:r>
        <w:t>that warehouses</w:t>
      </w:r>
      <w:proofErr w:type="gramEnd"/>
      <w:r>
        <w:t xml:space="preserve"> with highest issues certificate – A+ also has the highest average weight of product being delivered. Also, we observe it all through – that the higher the government certificate the higher the average weight of product being delivered.</w:t>
      </w:r>
    </w:p>
    <w:p w:rsidR="005D6686" w:rsidRDefault="005D6686" w:rsidP="005D6686">
      <w:pPr>
        <w:pStyle w:val="Heading1"/>
        <w:spacing w:line="360" w:lineRule="auto"/>
        <w:rPr>
          <w:sz w:val="24"/>
          <w:szCs w:val="24"/>
          <w:u w:val="single"/>
        </w:rPr>
      </w:pPr>
      <w:bookmarkStart w:id="27" w:name="_Toc222910812"/>
      <w:r w:rsidRPr="005D6686">
        <w:rPr>
          <w:sz w:val="24"/>
          <w:szCs w:val="24"/>
          <w:u w:val="single"/>
        </w:rPr>
        <w:t>STATISTICAL ANALYSIS</w:t>
      </w:r>
      <w:bookmarkEnd w:id="27"/>
    </w:p>
    <w:p w:rsidR="009C6DFE" w:rsidRPr="009C6DFE" w:rsidRDefault="009C6DFE" w:rsidP="009C6DFE">
      <w:pPr>
        <w:pStyle w:val="Heading2"/>
        <w:spacing w:line="360" w:lineRule="auto"/>
        <w:rPr>
          <w:sz w:val="22"/>
          <w:szCs w:val="22"/>
          <w:u w:val="single"/>
        </w:rPr>
      </w:pPr>
      <w:bookmarkStart w:id="28" w:name="_Toc222910813"/>
      <w:r w:rsidRPr="009C6DFE">
        <w:rPr>
          <w:sz w:val="22"/>
          <w:szCs w:val="22"/>
          <w:u w:val="single"/>
        </w:rPr>
        <w:t>Correlation Heatmap</w:t>
      </w:r>
      <w:bookmarkEnd w:id="28"/>
    </w:p>
    <w:p w:rsidR="0047335B" w:rsidRPr="0047335B" w:rsidRDefault="0047335B" w:rsidP="0047335B">
      <w:pPr>
        <w:jc w:val="center"/>
      </w:pPr>
      <w:r>
        <w:rPr>
          <w:noProof/>
        </w:rPr>
        <w:drawing>
          <wp:inline distT="0" distB="0" distL="0" distR="0">
            <wp:extent cx="6448425" cy="2724150"/>
            <wp:effectExtent l="0" t="0" r="0" b="0"/>
            <wp:docPr id="148773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37996" name="Picture 1487737996"/>
                    <pic:cNvPicPr/>
                  </pic:nvPicPr>
                  <pic:blipFill>
                    <a:blip r:embed="rId20">
                      <a:extLst>
                        <a:ext uri="{28A0092B-C50C-407E-A947-70E740481C1C}">
                          <a14:useLocalDpi xmlns:a14="http://schemas.microsoft.com/office/drawing/2010/main" val="0"/>
                        </a:ext>
                      </a:extLst>
                    </a:blip>
                    <a:stretch>
                      <a:fillRect/>
                    </a:stretch>
                  </pic:blipFill>
                  <pic:spPr>
                    <a:xfrm>
                      <a:off x="0" y="0"/>
                      <a:ext cx="6448425" cy="2724150"/>
                    </a:xfrm>
                    <a:prstGeom prst="rect">
                      <a:avLst/>
                    </a:prstGeom>
                  </pic:spPr>
                </pic:pic>
              </a:graphicData>
            </a:graphic>
          </wp:inline>
        </w:drawing>
      </w:r>
    </w:p>
    <w:p w:rsidR="00A759E1" w:rsidRPr="00916B09" w:rsidRDefault="00916B09" w:rsidP="00916B09">
      <w:pPr>
        <w:pStyle w:val="Caption"/>
        <w:jc w:val="center"/>
        <w:rPr>
          <w:u w:val="single"/>
        </w:rPr>
      </w:pPr>
      <w:bookmarkStart w:id="29" w:name="_Toc222908863"/>
      <w:r w:rsidRPr="00916B09">
        <w:rPr>
          <w:u w:val="single"/>
        </w:rPr>
        <w:t xml:space="preserve">Fig </w:t>
      </w:r>
      <w:r w:rsidRPr="00916B09">
        <w:rPr>
          <w:u w:val="single"/>
        </w:rPr>
        <w:fldChar w:fldCharType="begin"/>
      </w:r>
      <w:r w:rsidRPr="00916B09">
        <w:rPr>
          <w:u w:val="single"/>
        </w:rPr>
        <w:instrText xml:space="preserve"> SEQ Fig \* ARABIC </w:instrText>
      </w:r>
      <w:r w:rsidRPr="00916B09">
        <w:rPr>
          <w:u w:val="single"/>
        </w:rPr>
        <w:fldChar w:fldCharType="separate"/>
      </w:r>
      <w:r w:rsidR="0073337E">
        <w:rPr>
          <w:noProof/>
          <w:u w:val="single"/>
        </w:rPr>
        <w:t>10</w:t>
      </w:r>
      <w:r w:rsidRPr="00916B09">
        <w:rPr>
          <w:u w:val="single"/>
        </w:rPr>
        <w:fldChar w:fldCharType="end"/>
      </w:r>
      <w:r w:rsidRPr="00916B09">
        <w:rPr>
          <w:u w:val="single"/>
        </w:rPr>
        <w:t xml:space="preserve"> Correlation Heatmap Between Numerical Variables in Dataset</w:t>
      </w:r>
      <w:bookmarkEnd w:id="29"/>
    </w:p>
    <w:p w:rsidR="00AF4301" w:rsidRDefault="00916B09" w:rsidP="00735C42">
      <w:pPr>
        <w:spacing w:line="360" w:lineRule="auto"/>
        <w:jc w:val="both"/>
      </w:pPr>
      <w:r>
        <w:t>Figure 10</w:t>
      </w:r>
      <w:r w:rsidR="00735C42">
        <w:t xml:space="preserve"> shows how all numerical variables from the Adine Noodles dataset are affecting each other. Since the variable of focus is Product weight, all detailed explanations will be directed towards other variable relation with product weight</w:t>
      </w:r>
      <w:r w:rsidR="00DE01FF">
        <w:t>, which will in turn be used to build the model to optimize weight of product delivered.</w:t>
      </w:r>
    </w:p>
    <w:p w:rsidR="00DE01FF" w:rsidRDefault="00DE01FF" w:rsidP="00735C42">
      <w:pPr>
        <w:spacing w:line="360" w:lineRule="auto"/>
        <w:jc w:val="both"/>
      </w:pPr>
      <w:r>
        <w:t>From the correlation heatmap, we can see that;</w:t>
      </w:r>
    </w:p>
    <w:p w:rsidR="00DE01FF" w:rsidRDefault="002E75E2" w:rsidP="00DE01FF">
      <w:pPr>
        <w:pStyle w:val="ListParagraph"/>
        <w:numPr>
          <w:ilvl w:val="0"/>
          <w:numId w:val="6"/>
        </w:numPr>
        <w:spacing w:line="360" w:lineRule="auto"/>
        <w:jc w:val="both"/>
      </w:pPr>
      <w:r>
        <w:t>Number of refill request which represents demand, has a</w:t>
      </w:r>
      <w:r w:rsidR="005901C6">
        <w:t xml:space="preserve"> </w:t>
      </w:r>
      <w:r>
        <w:t>negligible relationship with product ton</w:t>
      </w:r>
      <w:r w:rsidR="00B918AE">
        <w:t xml:space="preserve"> (0.001415)</w:t>
      </w:r>
      <w:r>
        <w:t xml:space="preserve"> – indicating that it doesn’t actually have an effect on the supply (weight of product delivered)</w:t>
      </w:r>
    </w:p>
    <w:p w:rsidR="002E75E2" w:rsidRDefault="00B918AE" w:rsidP="00DE01FF">
      <w:pPr>
        <w:pStyle w:val="ListParagraph"/>
        <w:numPr>
          <w:ilvl w:val="0"/>
          <w:numId w:val="6"/>
        </w:numPr>
        <w:spacing w:line="360" w:lineRule="auto"/>
        <w:jc w:val="both"/>
      </w:pPr>
      <w:r>
        <w:t>Number of transport issues reported within the last 3 months has a weak negative relationship with product ton (-0.17399) – indicating that</w:t>
      </w:r>
      <w:r w:rsidR="0020091A">
        <w:t xml:space="preserve"> the more transport issues are reported they is a tendency for the product ton</w:t>
      </w:r>
      <w:r w:rsidR="009C3FAD">
        <w:t xml:space="preserve"> delivered</w:t>
      </w:r>
      <w:r w:rsidR="0020091A">
        <w:t xml:space="preserve"> to reduce and vice versa.</w:t>
      </w:r>
    </w:p>
    <w:p w:rsidR="0020091A" w:rsidRDefault="0020091A" w:rsidP="00DE01FF">
      <w:pPr>
        <w:pStyle w:val="ListParagraph"/>
        <w:numPr>
          <w:ilvl w:val="0"/>
          <w:numId w:val="6"/>
        </w:numPr>
        <w:spacing w:line="360" w:lineRule="auto"/>
        <w:jc w:val="both"/>
      </w:pPr>
      <w:r>
        <w:lastRenderedPageBreak/>
        <w:t>Competitors has an almost</w:t>
      </w:r>
      <w:r w:rsidR="005901C6">
        <w:t xml:space="preserve"> </w:t>
      </w:r>
      <w:r>
        <w:t>negligible relationship with product ton (0.00</w:t>
      </w:r>
      <w:r w:rsidR="009C3FAD">
        <w:t>8884</w:t>
      </w:r>
      <w:r>
        <w:t>)</w:t>
      </w:r>
      <w:r w:rsidR="009C3FAD">
        <w:t xml:space="preserve"> – indicating that warehouse competition doesn’t actually have an effect on the supply (weight of product delivered).</w:t>
      </w:r>
    </w:p>
    <w:p w:rsidR="00524213" w:rsidRDefault="005901C6" w:rsidP="00524213">
      <w:pPr>
        <w:pStyle w:val="ListParagraph"/>
        <w:numPr>
          <w:ilvl w:val="0"/>
          <w:numId w:val="6"/>
        </w:numPr>
        <w:spacing w:line="360" w:lineRule="auto"/>
        <w:jc w:val="both"/>
      </w:pPr>
      <w:r>
        <w:t xml:space="preserve">Retail shop number has a negative but negligible </w:t>
      </w:r>
      <w:r w:rsidR="00524213">
        <w:t>relationship with product ton (-0.00662) – indicating that the number of retail shop connected to the warehouses doesn’t actually have an effect on the supply (weight of product delivered).</w:t>
      </w:r>
    </w:p>
    <w:p w:rsidR="000235AD" w:rsidRDefault="00524213" w:rsidP="000235AD">
      <w:pPr>
        <w:pStyle w:val="ListParagraph"/>
        <w:numPr>
          <w:ilvl w:val="0"/>
          <w:numId w:val="6"/>
        </w:numPr>
        <w:spacing w:line="360" w:lineRule="auto"/>
        <w:jc w:val="both"/>
      </w:pPr>
      <w:r>
        <w:t xml:space="preserve">Number of distributors </w:t>
      </w:r>
      <w:r w:rsidR="00713AF4">
        <w:t xml:space="preserve">has a </w:t>
      </w:r>
      <w:r w:rsidR="000235AD">
        <w:t>negligible relationship with product ton (0.004499) – indicating that number of distributors doesn’t actually have an effect on the supply (weight of product delivered).</w:t>
      </w:r>
    </w:p>
    <w:p w:rsidR="000235AD" w:rsidRDefault="000235AD" w:rsidP="000235AD">
      <w:pPr>
        <w:pStyle w:val="ListParagraph"/>
        <w:numPr>
          <w:ilvl w:val="0"/>
          <w:numId w:val="6"/>
        </w:numPr>
        <w:spacing w:line="360" w:lineRule="auto"/>
        <w:jc w:val="both"/>
      </w:pPr>
      <w:r>
        <w:t>Flood impact notice, Flood proof, electric supply warehouses all have negative but negligible relationship with product ton – indicating that the number of regardless of whether a warehouse was flooded or has flood proof or has electric supply they als</w:t>
      </w:r>
      <w:r w:rsidR="00373EEF">
        <w:t>o</w:t>
      </w:r>
      <w:r>
        <w:t xml:space="preserve"> don’t actually have an effect on the supply (weight of product delivered).</w:t>
      </w:r>
    </w:p>
    <w:p w:rsidR="00373EEF" w:rsidRDefault="00BC1029" w:rsidP="00373EEF">
      <w:pPr>
        <w:pStyle w:val="ListParagraph"/>
        <w:numPr>
          <w:ilvl w:val="0"/>
          <w:numId w:val="6"/>
        </w:numPr>
        <w:spacing w:line="360" w:lineRule="auto"/>
        <w:jc w:val="both"/>
      </w:pPr>
      <w:r>
        <w:t>Distance from hub and number of workers also has a negative but negligible relationship with product ton</w:t>
      </w:r>
      <w:r w:rsidR="00373EEF">
        <w:t xml:space="preserve"> – indicating that they both don’t actually have an effect on the supply (weight of product delivered).</w:t>
      </w:r>
    </w:p>
    <w:p w:rsidR="000235AD" w:rsidRDefault="00BD606E" w:rsidP="000235AD">
      <w:pPr>
        <w:pStyle w:val="ListParagraph"/>
        <w:numPr>
          <w:ilvl w:val="0"/>
          <w:numId w:val="6"/>
        </w:numPr>
        <w:spacing w:line="360" w:lineRule="auto"/>
        <w:jc w:val="both"/>
      </w:pPr>
      <w:r>
        <w:t>Storage issue reported has a strong positive relationship (0.9867) with product ton – indicating that the more storage issues are reported</w:t>
      </w:r>
      <w:r w:rsidR="007E348B">
        <w:t xml:space="preserve"> possibly due to over stocking or products going bad from poor storage</w:t>
      </w:r>
      <w:r>
        <w:t xml:space="preserve">, the </w:t>
      </w:r>
      <w:r w:rsidR="005D4C0A">
        <w:t>tendency for more products to be shipped to those warehouses.</w:t>
      </w:r>
    </w:p>
    <w:p w:rsidR="0014231B" w:rsidRDefault="0014231B" w:rsidP="000235AD">
      <w:pPr>
        <w:pStyle w:val="ListParagraph"/>
        <w:numPr>
          <w:ilvl w:val="0"/>
          <w:numId w:val="6"/>
        </w:numPr>
        <w:spacing w:line="360" w:lineRule="auto"/>
        <w:jc w:val="both"/>
      </w:pPr>
      <w:r>
        <w:t xml:space="preserve">Temperature regulation has a weak positive relationship with product ton (0.1016) </w:t>
      </w:r>
      <w:r w:rsidR="007E348B">
        <w:t>–</w:t>
      </w:r>
      <w:r>
        <w:t xml:space="preserve"> indicating</w:t>
      </w:r>
      <w:r w:rsidR="007E348B">
        <w:t xml:space="preserve"> that the more warehouses use temperature regulation, the slight tendency for more products to be delivered.</w:t>
      </w:r>
    </w:p>
    <w:p w:rsidR="007E348B" w:rsidRDefault="007E348B" w:rsidP="000235AD">
      <w:pPr>
        <w:pStyle w:val="ListParagraph"/>
        <w:numPr>
          <w:ilvl w:val="0"/>
          <w:numId w:val="6"/>
        </w:numPr>
        <w:spacing w:line="360" w:lineRule="auto"/>
        <w:jc w:val="both"/>
      </w:pPr>
      <w:r>
        <w:t>Warehouse breakdown has a moderate positive relationship with product ton (0.3426) – indicating that as warehouses report more breakdowns, possibly due to their storage issues, they tend to have more products delivered to them</w:t>
      </w:r>
      <w:r w:rsidR="006C4CC4">
        <w:t>.</w:t>
      </w:r>
    </w:p>
    <w:p w:rsidR="009C6DFE" w:rsidRDefault="006C4CC4" w:rsidP="009C6DFE">
      <w:pPr>
        <w:pStyle w:val="ListParagraph"/>
        <w:numPr>
          <w:ilvl w:val="0"/>
          <w:numId w:val="6"/>
        </w:numPr>
        <w:spacing w:line="360" w:lineRule="auto"/>
        <w:jc w:val="both"/>
      </w:pPr>
      <w:r>
        <w:t xml:space="preserve">Government checks </w:t>
      </w:r>
      <w:proofErr w:type="gramStart"/>
      <w:r>
        <w:t>has</w:t>
      </w:r>
      <w:proofErr w:type="gramEnd"/>
      <w:r>
        <w:t xml:space="preserve"> a negative and negligible relationship with product ton (-0.0085) – indicating that </w:t>
      </w:r>
      <w:r w:rsidR="009C6DFE">
        <w:t xml:space="preserve">government checks doesn’t actually have an effect on the supply (weight of product delivered). We </w:t>
      </w:r>
      <w:proofErr w:type="gramStart"/>
      <w:r w:rsidR="009C6DFE">
        <w:t>cant</w:t>
      </w:r>
      <w:proofErr w:type="gramEnd"/>
      <w:r w:rsidR="009C6DFE">
        <w:t xml:space="preserve"> check based on certificates given due to it being a text variable.</w:t>
      </w:r>
    </w:p>
    <w:p w:rsidR="00104BD1" w:rsidRDefault="00104BD1" w:rsidP="00104BD1">
      <w:pPr>
        <w:spacing w:line="360" w:lineRule="auto"/>
        <w:jc w:val="both"/>
      </w:pPr>
    </w:p>
    <w:p w:rsidR="00104BD1" w:rsidRDefault="00104BD1" w:rsidP="00104BD1">
      <w:pPr>
        <w:spacing w:line="360" w:lineRule="auto"/>
        <w:jc w:val="both"/>
      </w:pPr>
    </w:p>
    <w:p w:rsidR="00104BD1" w:rsidRDefault="006F0C90" w:rsidP="00104BD1">
      <w:pPr>
        <w:pStyle w:val="Heading2"/>
        <w:spacing w:line="360" w:lineRule="auto"/>
        <w:rPr>
          <w:sz w:val="22"/>
          <w:szCs w:val="22"/>
          <w:u w:val="single"/>
        </w:rPr>
      </w:pPr>
      <w:bookmarkStart w:id="30" w:name="_Toc222910814"/>
      <w:r w:rsidRPr="00104BD1">
        <w:rPr>
          <w:sz w:val="22"/>
          <w:szCs w:val="22"/>
          <w:u w:val="single"/>
        </w:rPr>
        <w:lastRenderedPageBreak/>
        <w:t>REGRESSION ANALYSIS</w:t>
      </w:r>
      <w:bookmarkEnd w:id="30"/>
    </w:p>
    <w:p w:rsidR="006F0C90" w:rsidRDefault="006F0C90" w:rsidP="00DD22CE">
      <w:pPr>
        <w:spacing w:line="360" w:lineRule="auto"/>
        <w:jc w:val="both"/>
      </w:pPr>
      <w:r>
        <w:t>Based on the aim of the project to build a model to optimize for delivery of product based on weight, two regression models</w:t>
      </w:r>
      <w:r w:rsidR="00DD22CE">
        <w:t xml:space="preserve"> were built to solve this problem.</w:t>
      </w:r>
    </w:p>
    <w:p w:rsidR="00DD22CE" w:rsidRPr="006F0C90" w:rsidRDefault="00DD22CE" w:rsidP="00DD22CE">
      <w:pPr>
        <w:spacing w:line="360" w:lineRule="auto"/>
        <w:jc w:val="both"/>
      </w:pPr>
      <w:r>
        <w:t>The first model takes into consideration all numerical variables into predicting product weight. While, the second model takes into consideration just the significant variables in terms of correlation (0.1 and above) with product weight</w:t>
      </w:r>
      <w:r w:rsidR="00E1547E">
        <w:t>.</w:t>
      </w:r>
    </w:p>
    <w:p w:rsidR="009C6DFE" w:rsidRDefault="00104BD1" w:rsidP="009C6DFE">
      <w:pPr>
        <w:spacing w:line="360" w:lineRule="auto"/>
        <w:jc w:val="both"/>
      </w:pPr>
      <w:r>
        <w:rPr>
          <w:noProof/>
        </w:rPr>
        <w:drawing>
          <wp:inline distT="0" distB="0" distL="0" distR="0">
            <wp:extent cx="5943600" cy="3361055"/>
            <wp:effectExtent l="0" t="0" r="0" b="0"/>
            <wp:docPr id="1822365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65658" name="Picture 1822365658"/>
                    <pic:cNvPicPr/>
                  </pic:nvPicPr>
                  <pic:blipFill>
                    <a:blip r:embed="rId21">
                      <a:extLst>
                        <a:ext uri="{28A0092B-C50C-407E-A947-70E740481C1C}">
                          <a14:useLocalDpi xmlns:a14="http://schemas.microsoft.com/office/drawing/2010/main" val="0"/>
                        </a:ext>
                      </a:extLst>
                    </a:blip>
                    <a:stretch>
                      <a:fillRect/>
                    </a:stretch>
                  </pic:blipFill>
                  <pic:spPr>
                    <a:xfrm>
                      <a:off x="0" y="0"/>
                      <a:ext cx="5943600" cy="3361055"/>
                    </a:xfrm>
                    <a:prstGeom prst="rect">
                      <a:avLst/>
                    </a:prstGeom>
                  </pic:spPr>
                </pic:pic>
              </a:graphicData>
            </a:graphic>
          </wp:inline>
        </w:drawing>
      </w:r>
    </w:p>
    <w:p w:rsidR="00E1547E" w:rsidRPr="00E1547E" w:rsidRDefault="00E1547E" w:rsidP="00E1547E">
      <w:pPr>
        <w:pStyle w:val="Caption"/>
        <w:jc w:val="center"/>
        <w:rPr>
          <w:u w:val="single"/>
        </w:rPr>
      </w:pPr>
      <w:bookmarkStart w:id="31" w:name="_Toc222908864"/>
      <w:r w:rsidRPr="00E1547E">
        <w:rPr>
          <w:u w:val="single"/>
        </w:rPr>
        <w:t xml:space="preserve">Fig </w:t>
      </w:r>
      <w:r w:rsidRPr="00E1547E">
        <w:rPr>
          <w:u w:val="single"/>
        </w:rPr>
        <w:fldChar w:fldCharType="begin"/>
      </w:r>
      <w:r w:rsidRPr="00E1547E">
        <w:rPr>
          <w:u w:val="single"/>
        </w:rPr>
        <w:instrText xml:space="preserve"> SEQ Fig \* ARABIC </w:instrText>
      </w:r>
      <w:r w:rsidRPr="00E1547E">
        <w:rPr>
          <w:u w:val="single"/>
        </w:rPr>
        <w:fldChar w:fldCharType="separate"/>
      </w:r>
      <w:r w:rsidR="0073337E">
        <w:rPr>
          <w:noProof/>
          <w:u w:val="single"/>
        </w:rPr>
        <w:t>11</w:t>
      </w:r>
      <w:r w:rsidRPr="00E1547E">
        <w:rPr>
          <w:u w:val="single"/>
        </w:rPr>
        <w:fldChar w:fldCharType="end"/>
      </w:r>
      <w:r w:rsidRPr="00E1547E">
        <w:rPr>
          <w:u w:val="single"/>
        </w:rPr>
        <w:t xml:space="preserve"> Regression Model Using all Numerical Variables</w:t>
      </w:r>
      <w:bookmarkEnd w:id="31"/>
    </w:p>
    <w:p w:rsidR="00807773" w:rsidRDefault="00D9091A" w:rsidP="009C6DFE">
      <w:pPr>
        <w:spacing w:line="360" w:lineRule="auto"/>
        <w:jc w:val="both"/>
      </w:pPr>
      <w:r>
        <w:t xml:space="preserve">Figure 11 shows the regression </w:t>
      </w:r>
      <w:r w:rsidR="00C31FF6">
        <w:t>summary</w:t>
      </w:r>
      <w:r>
        <w:t xml:space="preserve"> built using all original numerical variables from the dataset</w:t>
      </w:r>
      <w:r w:rsidR="00807773">
        <w:t>. Based on a Margin of Error of 0.05, we see that our significance level is less than that, so our model is suitable for prediction. R-Squared – 0.97, indicates our 97% variability of our model prediction can be explained by the variables that was used to build it.</w:t>
      </w:r>
    </w:p>
    <w:p w:rsidR="00807773" w:rsidRDefault="00807773" w:rsidP="009C6DFE">
      <w:pPr>
        <w:spacing w:line="360" w:lineRule="auto"/>
        <w:jc w:val="both"/>
      </w:pPr>
      <w:r>
        <w:t>H</w:t>
      </w:r>
      <w:r w:rsidR="00214C81">
        <w:t xml:space="preserve">ere we observe the same effects as we did with the correlation heatmap – refill request(demand), transport issue, </w:t>
      </w:r>
      <w:r w:rsidR="00382093">
        <w:t xml:space="preserve">number of </w:t>
      </w:r>
      <w:r w:rsidR="00214C81">
        <w:t>competitors</w:t>
      </w:r>
      <w:r w:rsidR="00382093">
        <w:t>, number of retail shops, electric supply,</w:t>
      </w:r>
      <w:r w:rsidR="00C524D3">
        <w:t xml:space="preserve"> </w:t>
      </w:r>
      <w:r w:rsidR="00382093">
        <w:t>number of workers, warehouse breakdown, government check all have a negative impact on product weight</w:t>
      </w:r>
      <w:r w:rsidR="005871FF">
        <w:t>. Whereas</w:t>
      </w:r>
      <w:r w:rsidR="00C524D3">
        <w:t xml:space="preserve"> number of distributors, flood impact, flood proof, distance from hub, storage issues, temperature regulation, all impact product weight positively. Storage issues being the variable with the highest level of impact.</w:t>
      </w:r>
    </w:p>
    <w:p w:rsidR="00C31FF6" w:rsidRDefault="00C31FF6" w:rsidP="00C31FF6">
      <w:pPr>
        <w:spacing w:line="360" w:lineRule="auto"/>
        <w:jc w:val="center"/>
      </w:pPr>
      <w:r>
        <w:rPr>
          <w:noProof/>
        </w:rPr>
        <w:lastRenderedPageBreak/>
        <w:drawing>
          <wp:inline distT="0" distB="0" distL="0" distR="0">
            <wp:extent cx="4124325" cy="4233746"/>
            <wp:effectExtent l="0" t="0" r="0" b="0"/>
            <wp:docPr id="140457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76927" name="Picture 1404576927"/>
                    <pic:cNvPicPr/>
                  </pic:nvPicPr>
                  <pic:blipFill>
                    <a:blip r:embed="rId22">
                      <a:extLst>
                        <a:ext uri="{28A0092B-C50C-407E-A947-70E740481C1C}">
                          <a14:useLocalDpi xmlns:a14="http://schemas.microsoft.com/office/drawing/2010/main" val="0"/>
                        </a:ext>
                      </a:extLst>
                    </a:blip>
                    <a:stretch>
                      <a:fillRect/>
                    </a:stretch>
                  </pic:blipFill>
                  <pic:spPr>
                    <a:xfrm>
                      <a:off x="0" y="0"/>
                      <a:ext cx="4126504" cy="4235983"/>
                    </a:xfrm>
                    <a:prstGeom prst="rect">
                      <a:avLst/>
                    </a:prstGeom>
                  </pic:spPr>
                </pic:pic>
              </a:graphicData>
            </a:graphic>
          </wp:inline>
        </w:drawing>
      </w:r>
    </w:p>
    <w:p w:rsidR="00C31FF6" w:rsidRPr="00C31FF6" w:rsidRDefault="00C31FF6" w:rsidP="00C31FF6">
      <w:pPr>
        <w:pStyle w:val="Caption"/>
        <w:jc w:val="center"/>
        <w:rPr>
          <w:u w:val="single"/>
        </w:rPr>
      </w:pPr>
      <w:bookmarkStart w:id="32" w:name="_Toc222908865"/>
      <w:r w:rsidRPr="00C31FF6">
        <w:rPr>
          <w:u w:val="single"/>
        </w:rPr>
        <w:t xml:space="preserve">Fig </w:t>
      </w:r>
      <w:r w:rsidRPr="00C31FF6">
        <w:rPr>
          <w:u w:val="single"/>
        </w:rPr>
        <w:fldChar w:fldCharType="begin"/>
      </w:r>
      <w:r w:rsidRPr="00C31FF6">
        <w:rPr>
          <w:u w:val="single"/>
        </w:rPr>
        <w:instrText xml:space="preserve"> SEQ Fig \* ARABIC </w:instrText>
      </w:r>
      <w:r w:rsidRPr="00C31FF6">
        <w:rPr>
          <w:u w:val="single"/>
        </w:rPr>
        <w:fldChar w:fldCharType="separate"/>
      </w:r>
      <w:r w:rsidR="0073337E">
        <w:rPr>
          <w:noProof/>
          <w:u w:val="single"/>
        </w:rPr>
        <w:t>12</w:t>
      </w:r>
      <w:r w:rsidRPr="00C31FF6">
        <w:rPr>
          <w:u w:val="single"/>
        </w:rPr>
        <w:fldChar w:fldCharType="end"/>
      </w:r>
      <w:r w:rsidRPr="00C31FF6">
        <w:rPr>
          <w:u w:val="single"/>
        </w:rPr>
        <w:t xml:space="preserve"> Regression Model (Formula)</w:t>
      </w:r>
      <w:bookmarkEnd w:id="32"/>
    </w:p>
    <w:p w:rsidR="00C31FF6" w:rsidRDefault="00C31FF6" w:rsidP="00807773">
      <w:pPr>
        <w:spacing w:line="360" w:lineRule="auto"/>
        <w:jc w:val="both"/>
      </w:pPr>
      <w:r>
        <w:t>Figure 12 shows the regression model gotten from the regression summary</w:t>
      </w:r>
      <w:r w:rsidR="00E1160D">
        <w:t>, the placing of the coefficient of each variable into the model</w:t>
      </w:r>
      <w:r>
        <w:t>. The minimum and maximum of each variable are noted, which will be used for prediction.</w:t>
      </w:r>
    </w:p>
    <w:p w:rsidR="00C31FF6" w:rsidRDefault="00C31FF6" w:rsidP="00C31FF6">
      <w:pPr>
        <w:spacing w:line="360" w:lineRule="auto"/>
        <w:jc w:val="center"/>
      </w:pPr>
      <w:r>
        <w:rPr>
          <w:noProof/>
        </w:rPr>
        <w:lastRenderedPageBreak/>
        <w:drawing>
          <wp:inline distT="0" distB="0" distL="0" distR="0">
            <wp:extent cx="5086350" cy="3855922"/>
            <wp:effectExtent l="0" t="0" r="0" b="0"/>
            <wp:docPr id="1931031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31382" name="Picture 1931031382"/>
                    <pic:cNvPicPr/>
                  </pic:nvPicPr>
                  <pic:blipFill>
                    <a:blip r:embed="rId23">
                      <a:extLst>
                        <a:ext uri="{28A0092B-C50C-407E-A947-70E740481C1C}">
                          <a14:useLocalDpi xmlns:a14="http://schemas.microsoft.com/office/drawing/2010/main" val="0"/>
                        </a:ext>
                      </a:extLst>
                    </a:blip>
                    <a:stretch>
                      <a:fillRect/>
                    </a:stretch>
                  </pic:blipFill>
                  <pic:spPr>
                    <a:xfrm>
                      <a:off x="0" y="0"/>
                      <a:ext cx="5089129" cy="3858029"/>
                    </a:xfrm>
                    <a:prstGeom prst="rect">
                      <a:avLst/>
                    </a:prstGeom>
                  </pic:spPr>
                </pic:pic>
              </a:graphicData>
            </a:graphic>
          </wp:inline>
        </w:drawing>
      </w:r>
    </w:p>
    <w:p w:rsidR="00C31FF6" w:rsidRPr="00C31FF6" w:rsidRDefault="00C31FF6" w:rsidP="00C31FF6">
      <w:pPr>
        <w:pStyle w:val="Caption"/>
        <w:jc w:val="center"/>
        <w:rPr>
          <w:u w:val="single"/>
        </w:rPr>
      </w:pPr>
      <w:bookmarkStart w:id="33" w:name="_Toc222908866"/>
      <w:r w:rsidRPr="00C31FF6">
        <w:rPr>
          <w:u w:val="single"/>
        </w:rPr>
        <w:t xml:space="preserve">Fig </w:t>
      </w:r>
      <w:r w:rsidRPr="00C31FF6">
        <w:rPr>
          <w:u w:val="single"/>
        </w:rPr>
        <w:fldChar w:fldCharType="begin"/>
      </w:r>
      <w:r w:rsidRPr="00C31FF6">
        <w:rPr>
          <w:u w:val="single"/>
        </w:rPr>
        <w:instrText xml:space="preserve"> SEQ Fig \* ARABIC </w:instrText>
      </w:r>
      <w:r w:rsidRPr="00C31FF6">
        <w:rPr>
          <w:u w:val="single"/>
        </w:rPr>
        <w:fldChar w:fldCharType="separate"/>
      </w:r>
      <w:r w:rsidR="0073337E">
        <w:rPr>
          <w:noProof/>
          <w:u w:val="single"/>
        </w:rPr>
        <w:t>13</w:t>
      </w:r>
      <w:r w:rsidRPr="00C31FF6">
        <w:rPr>
          <w:u w:val="single"/>
        </w:rPr>
        <w:fldChar w:fldCharType="end"/>
      </w:r>
      <w:r w:rsidRPr="00C31FF6">
        <w:rPr>
          <w:u w:val="single"/>
        </w:rPr>
        <w:t xml:space="preserve"> Three different Predictions from Model</w:t>
      </w:r>
      <w:r w:rsidR="00C34E88">
        <w:rPr>
          <w:u w:val="single"/>
        </w:rPr>
        <w:t xml:space="preserve"> 1</w:t>
      </w:r>
      <w:bookmarkEnd w:id="33"/>
    </w:p>
    <w:p w:rsidR="00E1160D" w:rsidRDefault="00E1160D" w:rsidP="00807773">
      <w:pPr>
        <w:spacing w:line="360" w:lineRule="auto"/>
        <w:jc w:val="both"/>
      </w:pPr>
      <w:r>
        <w:t xml:space="preserve">Figure 13 shows the prediction gotten from the model. </w:t>
      </w:r>
    </w:p>
    <w:p w:rsidR="00C31FF6" w:rsidRDefault="00E1160D" w:rsidP="00E1160D">
      <w:pPr>
        <w:pStyle w:val="ListParagraph"/>
        <w:numPr>
          <w:ilvl w:val="0"/>
          <w:numId w:val="7"/>
        </w:numPr>
        <w:spacing w:line="360" w:lineRule="auto"/>
        <w:jc w:val="both"/>
      </w:pPr>
      <w:r>
        <w:t>P1 (Prediction 1) was gotten using the average value of each variable to predict the product weight. We see that after using the average of each variable, the product weight predicted (~22K</w:t>
      </w:r>
      <w:r w:rsidR="00DD0C38">
        <w:t xml:space="preserve"> ton</w:t>
      </w:r>
      <w:r>
        <w:t>) is similar to the actual average product weight (~22K</w:t>
      </w:r>
      <w:r w:rsidR="00DD0C38">
        <w:t xml:space="preserve"> ton</w:t>
      </w:r>
      <w:r>
        <w:t>) of the data.</w:t>
      </w:r>
    </w:p>
    <w:p w:rsidR="00E1160D" w:rsidRDefault="004A23D5" w:rsidP="00E1160D">
      <w:pPr>
        <w:pStyle w:val="ListParagraph"/>
        <w:numPr>
          <w:ilvl w:val="0"/>
          <w:numId w:val="7"/>
        </w:numPr>
        <w:spacing w:line="360" w:lineRule="auto"/>
        <w:jc w:val="both"/>
      </w:pPr>
      <w:r>
        <w:t>P2 (Prediction 2) was gotten using the minimum value of each variable</w:t>
      </w:r>
      <w:r w:rsidR="003E1CB0">
        <w:t xml:space="preserve">. We see that when number of refill requests is </w:t>
      </w:r>
      <w:r w:rsidR="00DD0C38">
        <w:t>0</w:t>
      </w:r>
      <w:r w:rsidR="003E1CB0">
        <w:t xml:space="preserve">, </w:t>
      </w:r>
      <w:r w:rsidR="00DD0C38">
        <w:t>0</w:t>
      </w:r>
      <w:r w:rsidR="003E1CB0">
        <w:t xml:space="preserve"> transport issues, minimum of </w:t>
      </w:r>
      <w:r w:rsidR="00DD0C38">
        <w:t>1</w:t>
      </w:r>
      <w:r w:rsidR="003E1CB0">
        <w:t xml:space="preserve"> competitor, minimum of 1821 retail shops and so on for other variables as seen in figure 13, the product weight predicted (~1356</w:t>
      </w:r>
      <w:r w:rsidR="00DD0C38">
        <w:t xml:space="preserve"> ton</w:t>
      </w:r>
      <w:r w:rsidR="003E1CB0">
        <w:t>) is very close to the intercept (1350</w:t>
      </w:r>
      <w:r w:rsidR="00DD0C38">
        <w:t xml:space="preserve"> ton</w:t>
      </w:r>
      <w:r w:rsidR="003E1CB0">
        <w:t>).</w:t>
      </w:r>
    </w:p>
    <w:p w:rsidR="007108DF" w:rsidRDefault="007108DF" w:rsidP="00E1160D">
      <w:pPr>
        <w:pStyle w:val="ListParagraph"/>
        <w:numPr>
          <w:ilvl w:val="0"/>
          <w:numId w:val="7"/>
        </w:numPr>
        <w:spacing w:line="360" w:lineRule="auto"/>
        <w:jc w:val="both"/>
      </w:pPr>
      <w:r>
        <w:t>P3 (Prediction 3) was gotten using the maximum value of each variable</w:t>
      </w:r>
      <w:r w:rsidR="00DD0C38">
        <w:t>. We see that when maximum number of refill requests which is 8, 5 transport issues, maximum of 10 competitors, maximum of 10000 retail shops and so on for other variables as seen in figure 13, the product weight predicted (~48K ton) is on the high level.</w:t>
      </w:r>
    </w:p>
    <w:p w:rsidR="00F10E39" w:rsidRDefault="00F10E39" w:rsidP="00F10E39">
      <w:pPr>
        <w:spacing w:line="360" w:lineRule="auto"/>
        <w:jc w:val="both"/>
      </w:pPr>
      <w:r>
        <w:t>This model can be used when considering all variables in order to optimize for the best possible product weight to deliver given the change in these variables.</w:t>
      </w:r>
    </w:p>
    <w:p w:rsidR="00807773" w:rsidRDefault="00F10E39" w:rsidP="00807773">
      <w:pPr>
        <w:spacing w:line="360" w:lineRule="auto"/>
        <w:jc w:val="both"/>
      </w:pPr>
      <w:r>
        <w:lastRenderedPageBreak/>
        <w:t>But a</w:t>
      </w:r>
      <w:r w:rsidR="00807773">
        <w:t>s we saw on the correlation heatmap, not all variables have significance in terms of affecting product weight, hence a second model was built for prediction.</w:t>
      </w:r>
    </w:p>
    <w:p w:rsidR="00AF46C0" w:rsidRDefault="00AF46C0" w:rsidP="00AF46C0">
      <w:pPr>
        <w:spacing w:line="360" w:lineRule="auto"/>
        <w:jc w:val="center"/>
      </w:pPr>
      <w:r>
        <w:rPr>
          <w:noProof/>
        </w:rPr>
        <w:drawing>
          <wp:inline distT="0" distB="0" distL="0" distR="0">
            <wp:extent cx="5943600" cy="2656205"/>
            <wp:effectExtent l="0" t="0" r="0" b="0"/>
            <wp:docPr id="15352829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82990" name="Picture 1535282990"/>
                    <pic:cNvPicPr/>
                  </pic:nvPicPr>
                  <pic:blipFill>
                    <a:blip r:embed="rId24">
                      <a:extLst>
                        <a:ext uri="{28A0092B-C50C-407E-A947-70E740481C1C}">
                          <a14:useLocalDpi xmlns:a14="http://schemas.microsoft.com/office/drawing/2010/main" val="0"/>
                        </a:ext>
                      </a:extLst>
                    </a:blip>
                    <a:stretch>
                      <a:fillRect/>
                    </a:stretch>
                  </pic:blipFill>
                  <pic:spPr>
                    <a:xfrm>
                      <a:off x="0" y="0"/>
                      <a:ext cx="5943600" cy="2656205"/>
                    </a:xfrm>
                    <a:prstGeom prst="rect">
                      <a:avLst/>
                    </a:prstGeom>
                  </pic:spPr>
                </pic:pic>
              </a:graphicData>
            </a:graphic>
          </wp:inline>
        </w:drawing>
      </w:r>
    </w:p>
    <w:p w:rsidR="00C34E88" w:rsidRDefault="0034215B" w:rsidP="0034215B">
      <w:pPr>
        <w:pStyle w:val="Caption"/>
        <w:jc w:val="center"/>
        <w:rPr>
          <w:u w:val="single"/>
        </w:rPr>
      </w:pPr>
      <w:bookmarkStart w:id="34" w:name="_Toc222908867"/>
      <w:r w:rsidRPr="0034215B">
        <w:rPr>
          <w:u w:val="single"/>
        </w:rPr>
        <w:t xml:space="preserve">Fig </w:t>
      </w:r>
      <w:r w:rsidRPr="0034215B">
        <w:rPr>
          <w:u w:val="single"/>
        </w:rPr>
        <w:fldChar w:fldCharType="begin"/>
      </w:r>
      <w:r w:rsidRPr="0034215B">
        <w:rPr>
          <w:u w:val="single"/>
        </w:rPr>
        <w:instrText xml:space="preserve"> SEQ Fig \* ARABIC </w:instrText>
      </w:r>
      <w:r w:rsidRPr="0034215B">
        <w:rPr>
          <w:u w:val="single"/>
        </w:rPr>
        <w:fldChar w:fldCharType="separate"/>
      </w:r>
      <w:r w:rsidR="0073337E">
        <w:rPr>
          <w:noProof/>
          <w:u w:val="single"/>
        </w:rPr>
        <w:t>14</w:t>
      </w:r>
      <w:r w:rsidRPr="0034215B">
        <w:rPr>
          <w:u w:val="single"/>
        </w:rPr>
        <w:fldChar w:fldCharType="end"/>
      </w:r>
      <w:r w:rsidRPr="0034215B">
        <w:rPr>
          <w:u w:val="single"/>
        </w:rPr>
        <w:t xml:space="preserve"> Regression Model Using </w:t>
      </w:r>
      <w:proofErr w:type="gramStart"/>
      <w:r w:rsidRPr="0034215B">
        <w:rPr>
          <w:u w:val="single"/>
        </w:rPr>
        <w:t>only</w:t>
      </w:r>
      <w:proofErr w:type="gramEnd"/>
      <w:r w:rsidRPr="0034215B">
        <w:rPr>
          <w:u w:val="single"/>
        </w:rPr>
        <w:t xml:space="preserve"> Significant Variables from Correlation Heatmap</w:t>
      </w:r>
      <w:bookmarkEnd w:id="34"/>
    </w:p>
    <w:p w:rsidR="000517EA" w:rsidRDefault="000517EA" w:rsidP="000517EA">
      <w:pPr>
        <w:spacing w:line="360" w:lineRule="auto"/>
        <w:jc w:val="both"/>
      </w:pPr>
      <w:r>
        <w:t>Figure 14 shows the regression summary built using only relevant numerical variables in terms of correlation (0.1 and above) with product ton. Based on a Margin of Error of 0.05, we see that our significance level is less than that, so our model is suitable for prediction. R-Squared – 0.97, indicates our 97% variability of our model prediction can be explained by the variables that was used to build it. This R-Squared is the same as the first model which involved all variables – this indicates that those variables that were left out in this model are truly not relevant in prediction.</w:t>
      </w:r>
    </w:p>
    <w:p w:rsidR="00B05522" w:rsidRDefault="00B05522" w:rsidP="00B05522">
      <w:pPr>
        <w:spacing w:line="360" w:lineRule="auto"/>
        <w:jc w:val="both"/>
      </w:pPr>
      <w:r>
        <w:t>Here we observe the same effects as we did with the correlation heatmap – transport issue, warehouse breakdown, both have a negative impact on product weight. Whereas</w:t>
      </w:r>
      <w:r w:rsidR="00A16EE3">
        <w:t xml:space="preserve"> </w:t>
      </w:r>
      <w:r>
        <w:t>storage issues</w:t>
      </w:r>
      <w:r w:rsidR="00A16EE3">
        <w:t xml:space="preserve"> and </w:t>
      </w:r>
      <w:r>
        <w:t>temperature regulation</w:t>
      </w:r>
      <w:r w:rsidR="00A16EE3">
        <w:t xml:space="preserve"> both</w:t>
      </w:r>
      <w:r>
        <w:t xml:space="preserve"> impact product weight positively. Storage issues being the variable with the highest level of impact.</w:t>
      </w:r>
    </w:p>
    <w:p w:rsidR="008B33ED" w:rsidRDefault="008B33ED" w:rsidP="00B05522">
      <w:pPr>
        <w:spacing w:line="360" w:lineRule="auto"/>
        <w:jc w:val="both"/>
      </w:pPr>
    </w:p>
    <w:p w:rsidR="008B33ED" w:rsidRDefault="008B33ED" w:rsidP="00B05522">
      <w:pPr>
        <w:spacing w:line="360" w:lineRule="auto"/>
        <w:jc w:val="both"/>
      </w:pPr>
    </w:p>
    <w:p w:rsidR="008B33ED" w:rsidRDefault="008B33ED" w:rsidP="00B05522">
      <w:pPr>
        <w:spacing w:line="360" w:lineRule="auto"/>
        <w:jc w:val="both"/>
      </w:pPr>
    </w:p>
    <w:p w:rsidR="008B33ED" w:rsidRDefault="008B33ED" w:rsidP="00B05522">
      <w:pPr>
        <w:spacing w:line="360" w:lineRule="auto"/>
        <w:jc w:val="both"/>
      </w:pPr>
    </w:p>
    <w:p w:rsidR="008B33ED" w:rsidRDefault="008B33ED" w:rsidP="00B05522">
      <w:pPr>
        <w:spacing w:line="360" w:lineRule="auto"/>
        <w:jc w:val="both"/>
      </w:pPr>
    </w:p>
    <w:p w:rsidR="008B33ED" w:rsidRDefault="008B33ED" w:rsidP="008B33ED">
      <w:pPr>
        <w:spacing w:line="360" w:lineRule="auto"/>
        <w:jc w:val="center"/>
      </w:pPr>
      <w:r>
        <w:rPr>
          <w:noProof/>
        </w:rPr>
        <w:lastRenderedPageBreak/>
        <w:drawing>
          <wp:inline distT="0" distB="0" distL="0" distR="0">
            <wp:extent cx="4143953" cy="2800741"/>
            <wp:effectExtent l="0" t="0" r="0" b="0"/>
            <wp:docPr id="170527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78057" name="Picture 1705278057"/>
                    <pic:cNvPicPr/>
                  </pic:nvPicPr>
                  <pic:blipFill>
                    <a:blip r:embed="rId25">
                      <a:extLst>
                        <a:ext uri="{28A0092B-C50C-407E-A947-70E740481C1C}">
                          <a14:useLocalDpi xmlns:a14="http://schemas.microsoft.com/office/drawing/2010/main" val="0"/>
                        </a:ext>
                      </a:extLst>
                    </a:blip>
                    <a:stretch>
                      <a:fillRect/>
                    </a:stretch>
                  </pic:blipFill>
                  <pic:spPr>
                    <a:xfrm>
                      <a:off x="0" y="0"/>
                      <a:ext cx="4143953" cy="2800741"/>
                    </a:xfrm>
                    <a:prstGeom prst="rect">
                      <a:avLst/>
                    </a:prstGeom>
                  </pic:spPr>
                </pic:pic>
              </a:graphicData>
            </a:graphic>
          </wp:inline>
        </w:drawing>
      </w:r>
    </w:p>
    <w:p w:rsidR="008B33ED" w:rsidRPr="008B33ED" w:rsidRDefault="008B33ED" w:rsidP="008B33ED">
      <w:pPr>
        <w:pStyle w:val="Caption"/>
        <w:jc w:val="center"/>
        <w:rPr>
          <w:u w:val="single"/>
        </w:rPr>
      </w:pPr>
      <w:bookmarkStart w:id="35" w:name="_Toc222908868"/>
      <w:r w:rsidRPr="008B33ED">
        <w:rPr>
          <w:u w:val="single"/>
        </w:rPr>
        <w:t xml:space="preserve">Fig </w:t>
      </w:r>
      <w:r w:rsidRPr="008B33ED">
        <w:rPr>
          <w:u w:val="single"/>
        </w:rPr>
        <w:fldChar w:fldCharType="begin"/>
      </w:r>
      <w:r w:rsidRPr="008B33ED">
        <w:rPr>
          <w:u w:val="single"/>
        </w:rPr>
        <w:instrText xml:space="preserve"> SEQ Fig \* ARABIC </w:instrText>
      </w:r>
      <w:r w:rsidRPr="008B33ED">
        <w:rPr>
          <w:u w:val="single"/>
        </w:rPr>
        <w:fldChar w:fldCharType="separate"/>
      </w:r>
      <w:r w:rsidR="0073337E">
        <w:rPr>
          <w:noProof/>
          <w:u w:val="single"/>
        </w:rPr>
        <w:t>15</w:t>
      </w:r>
      <w:r w:rsidRPr="008B33ED">
        <w:rPr>
          <w:u w:val="single"/>
        </w:rPr>
        <w:fldChar w:fldCharType="end"/>
      </w:r>
      <w:r w:rsidRPr="008B33ED">
        <w:rPr>
          <w:u w:val="single"/>
        </w:rPr>
        <w:t xml:space="preserve"> Regression Model 2</w:t>
      </w:r>
      <w:bookmarkEnd w:id="35"/>
    </w:p>
    <w:p w:rsidR="004954E5" w:rsidRDefault="004954E5" w:rsidP="004954E5">
      <w:pPr>
        <w:spacing w:line="360" w:lineRule="auto"/>
        <w:jc w:val="both"/>
      </w:pPr>
      <w:r>
        <w:t>Figure 15 shows the regression model gotten from the regression summary, the placing of the coefficient of each variable into the model. The minimum and maximum of each variable are noted, which will be used for prediction.</w:t>
      </w:r>
    </w:p>
    <w:p w:rsidR="004954E5" w:rsidRDefault="004954E5" w:rsidP="004954E5">
      <w:pPr>
        <w:spacing w:line="360" w:lineRule="auto"/>
        <w:jc w:val="center"/>
      </w:pPr>
      <w:r>
        <w:rPr>
          <w:noProof/>
        </w:rPr>
        <w:drawing>
          <wp:inline distT="0" distB="0" distL="0" distR="0">
            <wp:extent cx="5448300" cy="2273935"/>
            <wp:effectExtent l="0" t="0" r="0" b="0"/>
            <wp:docPr id="1223021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21217" name="Picture 1223021217"/>
                    <pic:cNvPicPr/>
                  </pic:nvPicPr>
                  <pic:blipFill>
                    <a:blip r:embed="rId26">
                      <a:extLst>
                        <a:ext uri="{28A0092B-C50C-407E-A947-70E740481C1C}">
                          <a14:useLocalDpi xmlns:a14="http://schemas.microsoft.com/office/drawing/2010/main" val="0"/>
                        </a:ext>
                      </a:extLst>
                    </a:blip>
                    <a:stretch>
                      <a:fillRect/>
                    </a:stretch>
                  </pic:blipFill>
                  <pic:spPr>
                    <a:xfrm>
                      <a:off x="0" y="0"/>
                      <a:ext cx="5448300" cy="2273935"/>
                    </a:xfrm>
                    <a:prstGeom prst="rect">
                      <a:avLst/>
                    </a:prstGeom>
                  </pic:spPr>
                </pic:pic>
              </a:graphicData>
            </a:graphic>
          </wp:inline>
        </w:drawing>
      </w:r>
    </w:p>
    <w:p w:rsidR="004954E5" w:rsidRDefault="004954E5" w:rsidP="004954E5">
      <w:pPr>
        <w:pStyle w:val="Caption"/>
        <w:jc w:val="center"/>
        <w:rPr>
          <w:u w:val="single"/>
        </w:rPr>
      </w:pPr>
      <w:bookmarkStart w:id="36" w:name="_Toc222908869"/>
      <w:r w:rsidRPr="004954E5">
        <w:rPr>
          <w:u w:val="single"/>
        </w:rPr>
        <w:t xml:space="preserve">Fig </w:t>
      </w:r>
      <w:r w:rsidRPr="004954E5">
        <w:rPr>
          <w:u w:val="single"/>
        </w:rPr>
        <w:fldChar w:fldCharType="begin"/>
      </w:r>
      <w:r w:rsidRPr="004954E5">
        <w:rPr>
          <w:u w:val="single"/>
        </w:rPr>
        <w:instrText xml:space="preserve"> SEQ Fig \* ARABIC </w:instrText>
      </w:r>
      <w:r w:rsidRPr="004954E5">
        <w:rPr>
          <w:u w:val="single"/>
        </w:rPr>
        <w:fldChar w:fldCharType="separate"/>
      </w:r>
      <w:r w:rsidR="0073337E">
        <w:rPr>
          <w:noProof/>
          <w:u w:val="single"/>
        </w:rPr>
        <w:t>16</w:t>
      </w:r>
      <w:r w:rsidRPr="004954E5">
        <w:rPr>
          <w:u w:val="single"/>
        </w:rPr>
        <w:fldChar w:fldCharType="end"/>
      </w:r>
      <w:r w:rsidRPr="004954E5">
        <w:rPr>
          <w:u w:val="single"/>
        </w:rPr>
        <w:t xml:space="preserve"> Three different predictions from Model 2</w:t>
      </w:r>
      <w:bookmarkEnd w:id="36"/>
    </w:p>
    <w:p w:rsidR="004954E5" w:rsidRDefault="004954E5" w:rsidP="004954E5">
      <w:pPr>
        <w:spacing w:line="360" w:lineRule="auto"/>
        <w:jc w:val="both"/>
      </w:pPr>
      <w:r>
        <w:t>Figure 1</w:t>
      </w:r>
      <w:r w:rsidR="00C63296">
        <w:t>6</w:t>
      </w:r>
      <w:r>
        <w:t xml:space="preserve"> shows the prediction gotten from</w:t>
      </w:r>
      <w:r w:rsidR="00C63296">
        <w:t xml:space="preserve"> </w:t>
      </w:r>
      <w:r>
        <w:t>model</w:t>
      </w:r>
      <w:r w:rsidR="00C63296">
        <w:t xml:space="preserve"> 2</w:t>
      </w:r>
      <w:r>
        <w:t xml:space="preserve">. </w:t>
      </w:r>
    </w:p>
    <w:p w:rsidR="004954E5" w:rsidRDefault="004954E5" w:rsidP="004954E5">
      <w:pPr>
        <w:pStyle w:val="ListParagraph"/>
        <w:numPr>
          <w:ilvl w:val="0"/>
          <w:numId w:val="7"/>
        </w:numPr>
        <w:spacing w:line="360" w:lineRule="auto"/>
        <w:jc w:val="both"/>
      </w:pPr>
      <w:r>
        <w:t xml:space="preserve">P1 (Prediction 1) was gotten using the average value of each variable to predict the product weight. We see that after using the average of each variable, the product weight predicted (~22K ton) is </w:t>
      </w:r>
      <w:r w:rsidR="00C63296">
        <w:t xml:space="preserve">very </w:t>
      </w:r>
      <w:r>
        <w:t>similar to the actual average product weight (~22K ton) of the data</w:t>
      </w:r>
      <w:r w:rsidR="00C63296">
        <w:t xml:space="preserve"> – even closer than model 1.</w:t>
      </w:r>
    </w:p>
    <w:p w:rsidR="004954E5" w:rsidRDefault="004954E5" w:rsidP="004954E5">
      <w:pPr>
        <w:pStyle w:val="ListParagraph"/>
        <w:numPr>
          <w:ilvl w:val="0"/>
          <w:numId w:val="7"/>
        </w:numPr>
        <w:spacing w:line="360" w:lineRule="auto"/>
        <w:jc w:val="both"/>
      </w:pPr>
      <w:r>
        <w:lastRenderedPageBreak/>
        <w:t xml:space="preserve">P2 (Prediction 2) was gotten using the minimum value of each variable. </w:t>
      </w:r>
      <w:r w:rsidR="00C63296">
        <w:t xml:space="preserve">For this model, the minimum value of the variables </w:t>
      </w:r>
      <w:proofErr w:type="gramStart"/>
      <w:r w:rsidR="00C63296">
        <w:t>are</w:t>
      </w:r>
      <w:proofErr w:type="gramEnd"/>
      <w:r w:rsidR="00C63296">
        <w:t xml:space="preserve"> all 0, hence the predicted product ton is equal to the intercept of the model.</w:t>
      </w:r>
    </w:p>
    <w:p w:rsidR="004954E5" w:rsidRDefault="004954E5" w:rsidP="004954E5">
      <w:pPr>
        <w:pStyle w:val="ListParagraph"/>
        <w:numPr>
          <w:ilvl w:val="0"/>
          <w:numId w:val="7"/>
        </w:numPr>
        <w:spacing w:line="360" w:lineRule="auto"/>
        <w:jc w:val="both"/>
      </w:pPr>
      <w:r>
        <w:t>P3 (Prediction 3) was gotten using the maximum value of each variable. We see that the product weight predicted (~48K ton) is on the high level</w:t>
      </w:r>
      <w:r w:rsidR="00C63296">
        <w:t xml:space="preserve"> – which is similar to model 1.</w:t>
      </w:r>
    </w:p>
    <w:p w:rsidR="0002313D" w:rsidRDefault="004954E5" w:rsidP="00544178">
      <w:pPr>
        <w:spacing w:line="360" w:lineRule="auto"/>
        <w:jc w:val="both"/>
      </w:pPr>
      <w:r>
        <w:t>This model</w:t>
      </w:r>
      <w:r w:rsidR="00682FCF">
        <w:t xml:space="preserve"> seems better than model 1, because of the focus on key variables to predict product ton and from this we see that the accuracy is even better than model 1.</w:t>
      </w:r>
      <w:r>
        <w:t xml:space="preserve"> </w:t>
      </w:r>
    </w:p>
    <w:p w:rsidR="0002313D" w:rsidRDefault="0002313D" w:rsidP="0002313D">
      <w:pPr>
        <w:pStyle w:val="Heading1"/>
        <w:spacing w:line="360" w:lineRule="auto"/>
        <w:rPr>
          <w:sz w:val="24"/>
          <w:szCs w:val="24"/>
          <w:u w:val="single"/>
        </w:rPr>
      </w:pPr>
      <w:bookmarkStart w:id="37" w:name="_Toc222910815"/>
      <w:r w:rsidRPr="0002313D">
        <w:rPr>
          <w:sz w:val="24"/>
          <w:szCs w:val="24"/>
          <w:u w:val="single"/>
        </w:rPr>
        <w:t>CONCLUSIONS</w:t>
      </w:r>
      <w:bookmarkEnd w:id="37"/>
    </w:p>
    <w:p w:rsidR="00544178" w:rsidRDefault="00544178" w:rsidP="00544178">
      <w:pPr>
        <w:spacing w:line="360" w:lineRule="auto"/>
        <w:jc w:val="both"/>
      </w:pPr>
      <w:r>
        <w:t>In conclusion, from the correlation heatmap and from the predictive model, we see that the only variables that have a significant impact on product weight to be delivered are:</w:t>
      </w:r>
    </w:p>
    <w:p w:rsidR="00544178" w:rsidRDefault="00544178" w:rsidP="00544178">
      <w:pPr>
        <w:pStyle w:val="ListParagraph"/>
        <w:numPr>
          <w:ilvl w:val="0"/>
          <w:numId w:val="8"/>
        </w:numPr>
        <w:spacing w:line="360" w:lineRule="auto"/>
        <w:jc w:val="both"/>
      </w:pPr>
      <w:r>
        <w:t>Number of transport issues reported – which for every increase in transport issues, the product weight delivered is reduced.</w:t>
      </w:r>
      <w:r w:rsidR="00326BA8">
        <w:t xml:space="preserve"> Meaning, if </w:t>
      </w:r>
      <w:r w:rsidR="00FA4AD2">
        <w:t>possibly</w:t>
      </w:r>
      <w:r w:rsidR="00326BA8">
        <w:t xml:space="preserve"> there is vehicle breakdown or road blockage, this may lead to loosing of products.</w:t>
      </w:r>
    </w:p>
    <w:p w:rsidR="00544178" w:rsidRDefault="00326BA8" w:rsidP="00544178">
      <w:pPr>
        <w:pStyle w:val="ListParagraph"/>
        <w:numPr>
          <w:ilvl w:val="0"/>
          <w:numId w:val="8"/>
        </w:numPr>
        <w:spacing w:line="360" w:lineRule="auto"/>
        <w:jc w:val="both"/>
      </w:pPr>
      <w:r>
        <w:t>Number of storage issues reported – which for every increase in storage issues, the product weight delivered is increased. Possible meaning that when storage issues are reported, instead of more products (Quantity) to be delivered, only h</w:t>
      </w:r>
      <w:r w:rsidR="00FA4AD2">
        <w:t>eavier shipments are delivered.</w:t>
      </w:r>
    </w:p>
    <w:p w:rsidR="00FA4AD2" w:rsidRDefault="00FA4AD2" w:rsidP="00544178">
      <w:pPr>
        <w:pStyle w:val="ListParagraph"/>
        <w:numPr>
          <w:ilvl w:val="0"/>
          <w:numId w:val="8"/>
        </w:numPr>
        <w:spacing w:line="360" w:lineRule="auto"/>
        <w:jc w:val="both"/>
      </w:pPr>
      <w:r>
        <w:t>Temperature regulated machineries – which for every increase, the product weight delivered is increased. Possible meaning that, the more warehouses have temperature regulated machines, the more products get delivered there – possibly more frozen goods.</w:t>
      </w:r>
    </w:p>
    <w:p w:rsidR="00FA4AD2" w:rsidRDefault="00FA4AD2" w:rsidP="00544178">
      <w:pPr>
        <w:pStyle w:val="ListParagraph"/>
        <w:numPr>
          <w:ilvl w:val="0"/>
          <w:numId w:val="8"/>
        </w:numPr>
        <w:spacing w:line="360" w:lineRule="auto"/>
        <w:jc w:val="both"/>
      </w:pPr>
      <w:r>
        <w:t>Warehouse breakdowns – which for every reported warehouse breakdown, the product weight delivered is reduced. Meaning, for every reported warehouse breakdown, less products will be delivered there due to the breakdown.</w:t>
      </w:r>
    </w:p>
    <w:p w:rsidR="00542641" w:rsidRDefault="00542641" w:rsidP="00542641">
      <w:pPr>
        <w:pStyle w:val="ListParagraph"/>
        <w:numPr>
          <w:ilvl w:val="0"/>
          <w:numId w:val="8"/>
        </w:numPr>
        <w:spacing w:line="360" w:lineRule="auto"/>
        <w:jc w:val="both"/>
      </w:pPr>
      <w:r>
        <w:t>Model to be used to optimize for future deliveries with an R-Square of 0.97 is:</w:t>
      </w:r>
    </w:p>
    <w:p w:rsidR="00542641" w:rsidRDefault="00542641" w:rsidP="00542641">
      <w:pPr>
        <w:pStyle w:val="ListParagraph"/>
        <w:spacing w:line="360" w:lineRule="auto"/>
        <w:jc w:val="both"/>
      </w:pPr>
      <w:r w:rsidRPr="00542641">
        <w:t>y = (-300.25</w:t>
      </w:r>
      <w:r w:rsidRPr="00542641">
        <w:rPr>
          <w:b/>
          <w:bCs/>
        </w:rPr>
        <w:t>X</w:t>
      </w:r>
      <m:oMath>
        <m:r>
          <m:rPr>
            <m:sty m:val="bi"/>
          </m:rPr>
          <w:rPr>
            <w:rFonts w:ascii="Cambria Math" w:hAnsi="Cambria Math"/>
          </w:rPr>
          <m:t>1</m:t>
        </m:r>
      </m:oMath>
      <w:r w:rsidRPr="00542641">
        <w:t>) + (1257.32</w:t>
      </w:r>
      <w:r w:rsidR="00B23ADD" w:rsidRPr="00B23ADD">
        <w:rPr>
          <w:b/>
          <w:bCs/>
        </w:rPr>
        <w:t xml:space="preserve"> </w:t>
      </w:r>
      <w:r w:rsidR="00B23ADD" w:rsidRPr="00542641">
        <w:rPr>
          <w:b/>
          <w:bCs/>
        </w:rPr>
        <w:t>X</w:t>
      </w:r>
      <m:oMath>
        <m:r>
          <m:rPr>
            <m:sty m:val="bi"/>
          </m:rPr>
          <w:rPr>
            <w:rFonts w:ascii="Cambria Math" w:hAnsi="Cambria Math"/>
          </w:rPr>
          <m:t>2</m:t>
        </m:r>
      </m:oMath>
      <w:r w:rsidRPr="00542641">
        <w:t>) + (943.82</w:t>
      </w:r>
      <w:r w:rsidR="00B23ADD" w:rsidRPr="00B23ADD">
        <w:rPr>
          <w:b/>
          <w:bCs/>
        </w:rPr>
        <w:t xml:space="preserve"> </w:t>
      </w:r>
      <w:r w:rsidR="00B23ADD" w:rsidRPr="00542641">
        <w:rPr>
          <w:b/>
          <w:bCs/>
        </w:rPr>
        <w:t>X</w:t>
      </w:r>
      <m:oMath>
        <m:r>
          <m:rPr>
            <m:sty m:val="bi"/>
          </m:rPr>
          <w:rPr>
            <w:rFonts w:ascii="Cambria Math" w:hAnsi="Cambria Math"/>
          </w:rPr>
          <m:t>3</m:t>
        </m:r>
      </m:oMath>
      <w:r w:rsidRPr="00542641">
        <w:t>) - (228.04</w:t>
      </w:r>
      <w:r w:rsidR="00B23ADD" w:rsidRPr="00B23ADD">
        <w:rPr>
          <w:b/>
          <w:bCs/>
        </w:rPr>
        <w:t xml:space="preserve"> </w:t>
      </w:r>
      <w:proofErr w:type="spellStart"/>
      <w:r w:rsidR="00B23ADD" w:rsidRPr="00542641">
        <w:rPr>
          <w:b/>
          <w:bCs/>
        </w:rPr>
        <w:t>X</w:t>
      </w:r>
      <w:proofErr w:type="spellEnd"/>
      <m:oMath>
        <m:r>
          <m:rPr>
            <m:sty m:val="bi"/>
          </m:rPr>
          <w:rPr>
            <w:rFonts w:ascii="Cambria Math" w:hAnsi="Cambria Math"/>
          </w:rPr>
          <m:t>4</m:t>
        </m:r>
      </m:oMath>
      <w:r w:rsidRPr="00542641">
        <w:t>) + 1304.36</w:t>
      </w:r>
    </w:p>
    <w:p w:rsidR="00542641" w:rsidRDefault="00542641" w:rsidP="00542641">
      <w:pPr>
        <w:pStyle w:val="ListParagraph"/>
        <w:spacing w:line="360" w:lineRule="auto"/>
        <w:jc w:val="both"/>
      </w:pPr>
      <w:proofErr w:type="gramStart"/>
      <w:r>
        <w:t>where</w:t>
      </w:r>
      <w:proofErr w:type="gramEnd"/>
      <w:r>
        <w:t>,</w:t>
      </w:r>
    </w:p>
    <w:p w:rsidR="00542641" w:rsidRDefault="00542641" w:rsidP="00996B5D">
      <w:pPr>
        <w:pStyle w:val="ListParagraph"/>
        <w:spacing w:line="276" w:lineRule="auto"/>
        <w:jc w:val="both"/>
      </w:pPr>
      <w:r>
        <w:tab/>
        <w:t>y = product weight</w:t>
      </w:r>
    </w:p>
    <w:p w:rsidR="00542641" w:rsidRDefault="00542641" w:rsidP="00996B5D">
      <w:pPr>
        <w:pStyle w:val="ListParagraph"/>
        <w:spacing w:line="276" w:lineRule="auto"/>
        <w:jc w:val="both"/>
      </w:pPr>
      <w:r>
        <w:tab/>
      </w:r>
      <w:r w:rsidR="00B23ADD" w:rsidRPr="00542641">
        <w:rPr>
          <w:b/>
          <w:bCs/>
        </w:rPr>
        <w:t>X</w:t>
      </w:r>
      <m:oMath>
        <m:r>
          <m:rPr>
            <m:sty m:val="bi"/>
          </m:rPr>
          <w:rPr>
            <w:rFonts w:ascii="Cambria Math" w:hAnsi="Cambria Math"/>
          </w:rPr>
          <m:t>1</m:t>
        </m:r>
      </m:oMath>
      <w:r>
        <w:t xml:space="preserve"> = </w:t>
      </w:r>
      <w:r w:rsidR="00B9592E">
        <w:t>number</w:t>
      </w:r>
      <w:r w:rsidR="00A645A5">
        <w:t xml:space="preserve"> of transport issues</w:t>
      </w:r>
    </w:p>
    <w:p w:rsidR="00542641" w:rsidRDefault="00542641" w:rsidP="00996B5D">
      <w:pPr>
        <w:pStyle w:val="ListParagraph"/>
        <w:spacing w:line="276" w:lineRule="auto"/>
        <w:jc w:val="both"/>
      </w:pPr>
      <w:r>
        <w:tab/>
      </w:r>
      <w:r w:rsidR="00B23ADD" w:rsidRPr="00542641">
        <w:rPr>
          <w:b/>
          <w:bCs/>
        </w:rPr>
        <w:t>X</w:t>
      </w:r>
      <m:oMath>
        <m:r>
          <m:rPr>
            <m:sty m:val="bi"/>
          </m:rPr>
          <w:rPr>
            <w:rFonts w:ascii="Cambria Math" w:hAnsi="Cambria Math"/>
          </w:rPr>
          <m:t>2</m:t>
        </m:r>
      </m:oMath>
      <w:r w:rsidR="00A645A5">
        <w:t xml:space="preserve"> = storage issues reported</w:t>
      </w:r>
    </w:p>
    <w:p w:rsidR="00542641" w:rsidRDefault="00542641" w:rsidP="00996B5D">
      <w:pPr>
        <w:pStyle w:val="ListParagraph"/>
        <w:spacing w:line="276" w:lineRule="auto"/>
        <w:jc w:val="both"/>
      </w:pPr>
      <w:r>
        <w:tab/>
      </w:r>
      <w:r w:rsidR="00B23ADD" w:rsidRPr="00542641">
        <w:rPr>
          <w:b/>
          <w:bCs/>
        </w:rPr>
        <w:t>X</w:t>
      </w:r>
      <m:oMath>
        <m:r>
          <m:rPr>
            <m:sty m:val="bi"/>
          </m:rPr>
          <w:rPr>
            <w:rFonts w:ascii="Cambria Math" w:hAnsi="Cambria Math"/>
          </w:rPr>
          <m:t>3</m:t>
        </m:r>
      </m:oMath>
      <w:r w:rsidR="00A645A5">
        <w:t xml:space="preserve"> = temperature regulated machines</w:t>
      </w:r>
    </w:p>
    <w:p w:rsidR="00542641" w:rsidRPr="00544178" w:rsidRDefault="00542641" w:rsidP="00996B5D">
      <w:pPr>
        <w:pStyle w:val="ListParagraph"/>
        <w:spacing w:line="276" w:lineRule="auto"/>
        <w:jc w:val="both"/>
      </w:pPr>
      <w:r>
        <w:tab/>
      </w:r>
      <w:r w:rsidR="00B23ADD" w:rsidRPr="00542641">
        <w:rPr>
          <w:b/>
          <w:bCs/>
        </w:rPr>
        <w:t>X</w:t>
      </w:r>
      <m:oMath>
        <m:r>
          <m:rPr>
            <m:sty m:val="bi"/>
          </m:rPr>
          <w:rPr>
            <w:rFonts w:ascii="Cambria Math" w:hAnsi="Cambria Math"/>
          </w:rPr>
          <m:t>4</m:t>
        </m:r>
      </m:oMath>
      <w:r w:rsidR="00A645A5">
        <w:t xml:space="preserve"> = warehouse breakdown</w:t>
      </w:r>
    </w:p>
    <w:p w:rsidR="00184C94" w:rsidRDefault="00184C94" w:rsidP="00184C94">
      <w:pPr>
        <w:pStyle w:val="Heading1"/>
        <w:spacing w:line="360" w:lineRule="auto"/>
        <w:rPr>
          <w:sz w:val="24"/>
          <w:szCs w:val="24"/>
          <w:u w:val="single"/>
        </w:rPr>
      </w:pPr>
      <w:bookmarkStart w:id="38" w:name="_Toc222910816"/>
      <w:r>
        <w:rPr>
          <w:sz w:val="24"/>
          <w:szCs w:val="24"/>
          <w:u w:val="single"/>
        </w:rPr>
        <w:lastRenderedPageBreak/>
        <w:t>RECOMMENDATIONS</w:t>
      </w:r>
      <w:bookmarkEnd w:id="38"/>
    </w:p>
    <w:p w:rsidR="003234C6" w:rsidRPr="00AD33C6" w:rsidRDefault="003234C6" w:rsidP="003234C6">
      <w:pPr>
        <w:pStyle w:val="ListParagraph"/>
        <w:numPr>
          <w:ilvl w:val="0"/>
          <w:numId w:val="9"/>
        </w:numPr>
        <w:rPr>
          <w:b/>
          <w:bCs/>
          <w:u w:val="single"/>
        </w:rPr>
      </w:pPr>
      <w:r w:rsidRPr="00AD33C6">
        <w:rPr>
          <w:b/>
          <w:bCs/>
          <w:u w:val="single"/>
        </w:rPr>
        <w:t>Reduce Transport Issues (Highest Operational Risk)</w:t>
      </w:r>
    </w:p>
    <w:p w:rsidR="003234C6" w:rsidRDefault="003234C6" w:rsidP="00270C08">
      <w:pPr>
        <w:spacing w:line="360" w:lineRule="auto"/>
        <w:ind w:left="720"/>
        <w:jc w:val="both"/>
      </w:pPr>
      <w:r w:rsidRPr="003234C6">
        <w:t>Impact:</w:t>
      </w:r>
      <w:r w:rsidRPr="003234C6">
        <w:t xml:space="preserve"> </w:t>
      </w:r>
      <w:r w:rsidRPr="003234C6">
        <w:t>Every 1 additional transport issue</w:t>
      </w:r>
      <w:r w:rsidRPr="003234C6">
        <w:rPr>
          <w:rFonts w:ascii="Arial" w:hAnsi="Arial" w:cs="Arial"/>
        </w:rPr>
        <w:t>:</w:t>
      </w:r>
      <w:r w:rsidRPr="003234C6">
        <w:t xml:space="preserve"> ~300</w:t>
      </w:r>
      <w:r w:rsidR="00270C08">
        <w:t>ton</w:t>
      </w:r>
      <w:r w:rsidRPr="003234C6">
        <w:t xml:space="preserve"> reduction in delivered product weight.</w:t>
      </w:r>
    </w:p>
    <w:p w:rsidR="003234C6" w:rsidRDefault="003234C6" w:rsidP="00270C08">
      <w:pPr>
        <w:spacing w:line="360" w:lineRule="auto"/>
        <w:ind w:left="720"/>
        <w:jc w:val="both"/>
      </w:pPr>
      <w:r>
        <w:t>Transport issues can be reduced by scheduling maintenance on vehicles to prevent breakdowns. By enabling real time monitoring using GPS tracking to spot areas of traffic and following back up routes</w:t>
      </w:r>
      <w:r w:rsidR="00AD33C6">
        <w:t>.</w:t>
      </w:r>
    </w:p>
    <w:p w:rsidR="00AD33C6" w:rsidRPr="00AD33C6" w:rsidRDefault="00AD33C6" w:rsidP="00270C08">
      <w:pPr>
        <w:pStyle w:val="ListParagraph"/>
        <w:numPr>
          <w:ilvl w:val="0"/>
          <w:numId w:val="9"/>
        </w:numPr>
        <w:spacing w:line="360" w:lineRule="auto"/>
        <w:jc w:val="both"/>
        <w:rPr>
          <w:b/>
          <w:bCs/>
          <w:u w:val="single"/>
        </w:rPr>
      </w:pPr>
      <w:r w:rsidRPr="00AD33C6">
        <w:rPr>
          <w:b/>
          <w:bCs/>
          <w:u w:val="single"/>
        </w:rPr>
        <w:t>Investigate Storage Issues (Positive but Risky Signal)</w:t>
      </w:r>
    </w:p>
    <w:p w:rsidR="00AD33C6" w:rsidRPr="00AD33C6" w:rsidRDefault="00AD33C6" w:rsidP="00270C08">
      <w:pPr>
        <w:spacing w:line="360" w:lineRule="auto"/>
        <w:ind w:left="720"/>
        <w:jc w:val="both"/>
      </w:pPr>
      <w:r w:rsidRPr="00AD33C6">
        <w:t>Impact:</w:t>
      </w:r>
      <w:r w:rsidR="00270C08">
        <w:t xml:space="preserve"> </w:t>
      </w:r>
      <w:r w:rsidRPr="00AD33C6">
        <w:t>Every 1 additional storage issue</w:t>
      </w:r>
      <w:r w:rsidR="00F63E44">
        <w:t>:</w:t>
      </w:r>
      <w:r w:rsidR="00270C08">
        <w:rPr>
          <w:rFonts w:ascii="Arial" w:hAnsi="Arial" w:cs="Arial"/>
        </w:rPr>
        <w:t xml:space="preserve"> </w:t>
      </w:r>
      <w:r w:rsidRPr="00AD33C6">
        <w:t>~1,257</w:t>
      </w:r>
      <w:r w:rsidR="00270C08">
        <w:t>ton</w:t>
      </w:r>
      <w:r w:rsidRPr="00AD33C6">
        <w:t xml:space="preserve"> increase in delivered weight.</w:t>
      </w:r>
    </w:p>
    <w:p w:rsidR="00AD33C6" w:rsidRPr="00AD33C6" w:rsidRDefault="00AD33C6" w:rsidP="00270C08">
      <w:pPr>
        <w:spacing w:line="360" w:lineRule="auto"/>
        <w:ind w:left="720"/>
        <w:jc w:val="both"/>
      </w:pPr>
      <w:r w:rsidRPr="00AD33C6">
        <w:t>This suggests:</w:t>
      </w:r>
    </w:p>
    <w:p w:rsidR="00AD33C6" w:rsidRPr="00AD33C6" w:rsidRDefault="00AD33C6" w:rsidP="00270C08">
      <w:pPr>
        <w:numPr>
          <w:ilvl w:val="0"/>
          <w:numId w:val="10"/>
        </w:numPr>
        <w:tabs>
          <w:tab w:val="clear" w:pos="720"/>
          <w:tab w:val="num" w:pos="1440"/>
        </w:tabs>
        <w:spacing w:line="360" w:lineRule="auto"/>
        <w:ind w:left="1440"/>
        <w:jc w:val="both"/>
      </w:pPr>
      <w:r w:rsidRPr="00AD33C6">
        <w:t>Heavier shipments are prioritized when storage problems occur</w:t>
      </w:r>
    </w:p>
    <w:p w:rsidR="00AD33C6" w:rsidRDefault="00AD33C6" w:rsidP="00270C08">
      <w:pPr>
        <w:numPr>
          <w:ilvl w:val="0"/>
          <w:numId w:val="10"/>
        </w:numPr>
        <w:tabs>
          <w:tab w:val="clear" w:pos="720"/>
          <w:tab w:val="num" w:pos="1440"/>
        </w:tabs>
        <w:spacing w:line="360" w:lineRule="auto"/>
        <w:ind w:left="1440"/>
        <w:jc w:val="both"/>
      </w:pPr>
      <w:r w:rsidRPr="00AD33C6">
        <w:t>Or inventory reallocation happens when issues are reported</w:t>
      </w:r>
    </w:p>
    <w:p w:rsidR="00270C08" w:rsidRDefault="00270C08" w:rsidP="00270C08">
      <w:pPr>
        <w:spacing w:line="360" w:lineRule="auto"/>
        <w:ind w:left="720"/>
        <w:jc w:val="both"/>
      </w:pPr>
      <w:r>
        <w:t>Storage issues have a positive impact on higher delivery but actionable steps will involves conducting root cause analysis on why – issues like inventory mismanagement, capacity overflow, misalignment between demand and inflow</w:t>
      </w:r>
      <w:r w:rsidR="006A3AA4">
        <w:t xml:space="preserve">. Introducing a warehouse management system can also help to be able to track effectively products causing the storage issues. </w:t>
      </w:r>
    </w:p>
    <w:p w:rsidR="00F63E44" w:rsidRPr="00F63E44" w:rsidRDefault="00F63E44" w:rsidP="00F63E44">
      <w:pPr>
        <w:pStyle w:val="ListParagraph"/>
        <w:numPr>
          <w:ilvl w:val="0"/>
          <w:numId w:val="9"/>
        </w:numPr>
        <w:spacing w:line="360" w:lineRule="auto"/>
        <w:jc w:val="both"/>
        <w:rPr>
          <w:b/>
          <w:bCs/>
          <w:u w:val="single"/>
        </w:rPr>
      </w:pPr>
      <w:r w:rsidRPr="00F63E44">
        <w:rPr>
          <w:b/>
          <w:bCs/>
          <w:u w:val="single"/>
        </w:rPr>
        <w:t>Increase Temperature-Regulated Machinery (Growth Lever)</w:t>
      </w:r>
    </w:p>
    <w:p w:rsidR="00F63E44" w:rsidRPr="00F63E44" w:rsidRDefault="00F63E44" w:rsidP="00F63E44">
      <w:pPr>
        <w:spacing w:line="360" w:lineRule="auto"/>
        <w:ind w:left="720"/>
        <w:jc w:val="both"/>
      </w:pPr>
      <w:r w:rsidRPr="00F63E44">
        <w:t>Impact:</w:t>
      </w:r>
      <w:r w:rsidRPr="00F63E44">
        <w:t xml:space="preserve"> </w:t>
      </w:r>
      <w:r w:rsidRPr="00F63E44">
        <w:t xml:space="preserve">Every 1 additional machine </w:t>
      </w:r>
      <w:r w:rsidRPr="00F63E44">
        <w:rPr>
          <w:rFonts w:ascii="Arial" w:hAnsi="Arial" w:cs="Arial"/>
        </w:rPr>
        <w:t>→</w:t>
      </w:r>
      <w:r w:rsidRPr="00F63E44">
        <w:t xml:space="preserve"> ~944</w:t>
      </w:r>
      <w:r w:rsidR="00B23ADD">
        <w:t>ton</w:t>
      </w:r>
      <w:r w:rsidRPr="00F63E44">
        <w:t xml:space="preserve"> increase in delivered weight.</w:t>
      </w:r>
    </w:p>
    <w:p w:rsidR="00F63E44" w:rsidRDefault="00F63E44" w:rsidP="00F63E44">
      <w:pPr>
        <w:spacing w:line="360" w:lineRule="auto"/>
        <w:ind w:left="720"/>
        <w:jc w:val="both"/>
      </w:pPr>
      <w:r w:rsidRPr="00F63E44">
        <w:t>This is a clear investment opportunity</w:t>
      </w:r>
      <w:r>
        <w:t xml:space="preserve"> into more machines. </w:t>
      </w:r>
    </w:p>
    <w:p w:rsidR="00F63E44" w:rsidRPr="00F63E44" w:rsidRDefault="00F63E44" w:rsidP="00F63E44">
      <w:pPr>
        <w:spacing w:line="360" w:lineRule="auto"/>
        <w:ind w:left="720"/>
        <w:jc w:val="both"/>
      </w:pPr>
      <w:r w:rsidRPr="00F63E44">
        <w:t>A</w:t>
      </w:r>
      <w:r>
        <w:t>ctionable steps involve, a</w:t>
      </w:r>
      <w:r w:rsidRPr="00F63E44">
        <w:t>dd</w:t>
      </w:r>
      <w:r>
        <w:t>ing</w:t>
      </w:r>
      <w:r w:rsidRPr="00F63E44">
        <w:t xml:space="preserve"> temperature-controlled units in:</w:t>
      </w:r>
    </w:p>
    <w:p w:rsidR="00F63E44" w:rsidRPr="00F63E44" w:rsidRDefault="00F63E44" w:rsidP="00F63E44">
      <w:pPr>
        <w:numPr>
          <w:ilvl w:val="0"/>
          <w:numId w:val="11"/>
        </w:numPr>
        <w:tabs>
          <w:tab w:val="num" w:pos="720"/>
        </w:tabs>
        <w:spacing w:line="360" w:lineRule="auto"/>
        <w:jc w:val="both"/>
      </w:pPr>
      <w:r w:rsidRPr="00F63E44">
        <w:t>High-demand regions</w:t>
      </w:r>
    </w:p>
    <w:p w:rsidR="00F63E44" w:rsidRPr="00F63E44" w:rsidRDefault="00F63E44" w:rsidP="00F63E44">
      <w:pPr>
        <w:numPr>
          <w:ilvl w:val="0"/>
          <w:numId w:val="11"/>
        </w:numPr>
        <w:tabs>
          <w:tab w:val="num" w:pos="720"/>
        </w:tabs>
        <w:spacing w:line="360" w:lineRule="auto"/>
        <w:jc w:val="both"/>
      </w:pPr>
      <w:r w:rsidRPr="00F63E44">
        <w:t>Perishable goods hubs</w:t>
      </w:r>
    </w:p>
    <w:p w:rsidR="00F63E44" w:rsidRPr="00F63E44" w:rsidRDefault="00F63E44" w:rsidP="00F63E44">
      <w:pPr>
        <w:spacing w:line="360" w:lineRule="auto"/>
        <w:ind w:left="720"/>
        <w:jc w:val="both"/>
      </w:pPr>
      <w:r w:rsidRPr="00F63E44">
        <w:t>Focus on warehouses with:</w:t>
      </w:r>
    </w:p>
    <w:p w:rsidR="00F63E44" w:rsidRPr="00B23ADD" w:rsidRDefault="00F63E44" w:rsidP="00F63E44">
      <w:pPr>
        <w:numPr>
          <w:ilvl w:val="0"/>
          <w:numId w:val="12"/>
        </w:numPr>
        <w:spacing w:line="360" w:lineRule="auto"/>
        <w:jc w:val="both"/>
        <w:rPr>
          <w:b/>
          <w:bCs/>
        </w:rPr>
      </w:pPr>
      <w:r w:rsidRPr="00F63E44">
        <w:t>High turnover</w:t>
      </w:r>
      <w:r>
        <w:t xml:space="preserve"> and in s</w:t>
      </w:r>
      <w:r w:rsidRPr="00F63E44">
        <w:t>trategic location</w:t>
      </w:r>
      <w:r>
        <w:t>s</w:t>
      </w:r>
      <w:r w:rsidRPr="00F63E44">
        <w:rPr>
          <w:rFonts w:ascii="Times New Roman" w:eastAsia="Times New Roman" w:hAnsi="Times New Roman" w:cs="Times New Roman"/>
          <w:b/>
          <w:bCs/>
          <w:kern w:val="36"/>
          <w:sz w:val="48"/>
          <w:szCs w:val="48"/>
        </w:rPr>
        <w:t xml:space="preserve"> </w:t>
      </w:r>
    </w:p>
    <w:p w:rsidR="00B23ADD" w:rsidRPr="00F63E44" w:rsidRDefault="00B23ADD" w:rsidP="00B23ADD">
      <w:pPr>
        <w:spacing w:line="360" w:lineRule="auto"/>
        <w:ind w:left="1080"/>
        <w:jc w:val="both"/>
        <w:rPr>
          <w:b/>
          <w:bCs/>
        </w:rPr>
      </w:pPr>
    </w:p>
    <w:p w:rsidR="00F63E44" w:rsidRPr="00F22786" w:rsidRDefault="00F63E44" w:rsidP="00F22786">
      <w:pPr>
        <w:pStyle w:val="ListParagraph"/>
        <w:numPr>
          <w:ilvl w:val="0"/>
          <w:numId w:val="9"/>
        </w:numPr>
        <w:spacing w:line="360" w:lineRule="auto"/>
        <w:rPr>
          <w:b/>
          <w:bCs/>
          <w:u w:val="single"/>
        </w:rPr>
      </w:pPr>
      <w:r w:rsidRPr="00F22786">
        <w:rPr>
          <w:b/>
          <w:bCs/>
          <w:u w:val="single"/>
        </w:rPr>
        <w:lastRenderedPageBreak/>
        <w:t>Reduce Warehouse Breakdowns (Stability Factor)</w:t>
      </w:r>
    </w:p>
    <w:p w:rsidR="00F63E44" w:rsidRPr="00F63E44" w:rsidRDefault="00F63E44" w:rsidP="00F63E44">
      <w:pPr>
        <w:spacing w:line="360" w:lineRule="auto"/>
        <w:ind w:left="720"/>
        <w:jc w:val="both"/>
      </w:pPr>
      <w:r w:rsidRPr="00F63E44">
        <w:t>Impact:</w:t>
      </w:r>
      <w:r>
        <w:t xml:space="preserve"> </w:t>
      </w:r>
      <w:r w:rsidRPr="00F63E44">
        <w:t>Every 1 breakdown</w:t>
      </w:r>
      <w:r>
        <w:t xml:space="preserve">: </w:t>
      </w:r>
      <w:r w:rsidRPr="00F63E44">
        <w:t>~228</w:t>
      </w:r>
      <w:r w:rsidR="00B23ADD">
        <w:t>ton</w:t>
      </w:r>
      <w:r w:rsidRPr="00F63E44">
        <w:t xml:space="preserve"> reduction in delivered weight.</w:t>
      </w:r>
    </w:p>
    <w:p w:rsidR="00F22786" w:rsidRDefault="00F63E44" w:rsidP="00F22786">
      <w:pPr>
        <w:spacing w:line="360" w:lineRule="auto"/>
        <w:ind w:left="720"/>
        <w:jc w:val="both"/>
      </w:pPr>
      <w:r w:rsidRPr="00F63E44">
        <w:t>Less severe than transport issues, but still harmful.</w:t>
      </w:r>
      <w:r w:rsidR="00F22786">
        <w:t xml:space="preserve"> Actionable steps involve,</w:t>
      </w:r>
    </w:p>
    <w:p w:rsidR="00F22786" w:rsidRDefault="00F22786" w:rsidP="00F22786">
      <w:pPr>
        <w:tabs>
          <w:tab w:val="num" w:pos="1440"/>
        </w:tabs>
        <w:spacing w:line="360" w:lineRule="auto"/>
        <w:ind w:left="720"/>
        <w:jc w:val="both"/>
      </w:pPr>
      <w:r w:rsidRPr="00F22786">
        <w:t>Preventive Facility Maintenance</w:t>
      </w:r>
      <w:r>
        <w:t xml:space="preserve"> by s</w:t>
      </w:r>
      <w:r w:rsidRPr="00F22786">
        <w:t>chedul</w:t>
      </w:r>
      <w:r>
        <w:t>ing e</w:t>
      </w:r>
      <w:r w:rsidRPr="00F22786">
        <w:t>lectrical system checks</w:t>
      </w:r>
      <w:r>
        <w:t>, c</w:t>
      </w:r>
      <w:r w:rsidRPr="00F22786">
        <w:t>ooling system inspections</w:t>
      </w:r>
      <w:r>
        <w:t>, s</w:t>
      </w:r>
      <w:r w:rsidRPr="00F22786">
        <w:t>tructural audits</w:t>
      </w:r>
      <w:r>
        <w:t>. Use of backup generators.</w:t>
      </w:r>
    </w:p>
    <w:p w:rsidR="003C2DEC" w:rsidRPr="003C2DEC" w:rsidRDefault="003C2DEC" w:rsidP="003C2DEC">
      <w:pPr>
        <w:pStyle w:val="ListParagraph"/>
        <w:numPr>
          <w:ilvl w:val="0"/>
          <w:numId w:val="9"/>
        </w:numPr>
        <w:tabs>
          <w:tab w:val="num" w:pos="1440"/>
        </w:tabs>
        <w:spacing w:line="360" w:lineRule="auto"/>
        <w:jc w:val="both"/>
        <w:rPr>
          <w:b/>
          <w:bCs/>
          <w:u w:val="single"/>
        </w:rPr>
      </w:pPr>
      <w:r w:rsidRPr="003C2DEC">
        <w:rPr>
          <w:b/>
          <w:bCs/>
          <w:u w:val="single"/>
        </w:rPr>
        <w:t>Use the Predictive Model for Operational Planning</w:t>
      </w:r>
    </w:p>
    <w:p w:rsidR="003C2DEC" w:rsidRDefault="003C2DEC" w:rsidP="003C2DEC">
      <w:pPr>
        <w:tabs>
          <w:tab w:val="num" w:pos="1440"/>
        </w:tabs>
        <w:spacing w:line="360" w:lineRule="auto"/>
        <w:ind w:left="720"/>
        <w:jc w:val="both"/>
      </w:pPr>
      <w:r w:rsidRPr="003C2DEC">
        <w:t>With R² = 0.97, this model is highly reliable.</w:t>
      </w:r>
    </w:p>
    <w:p w:rsidR="00147415" w:rsidRPr="00147415" w:rsidRDefault="00147415" w:rsidP="00147415">
      <w:pPr>
        <w:tabs>
          <w:tab w:val="num" w:pos="1440"/>
        </w:tabs>
        <w:spacing w:line="360" w:lineRule="auto"/>
        <w:ind w:left="720"/>
        <w:jc w:val="both"/>
        <w:rPr>
          <w:b/>
          <w:bCs/>
          <w:u w:val="single"/>
        </w:rPr>
      </w:pPr>
      <w:r w:rsidRPr="00147415">
        <w:rPr>
          <w:b/>
          <w:bCs/>
          <w:u w:val="single"/>
        </w:rPr>
        <w:t>Practical Applications:</w:t>
      </w:r>
    </w:p>
    <w:p w:rsidR="00147415" w:rsidRPr="00147415" w:rsidRDefault="00147415" w:rsidP="00147415">
      <w:pPr>
        <w:tabs>
          <w:tab w:val="num" w:pos="1440"/>
        </w:tabs>
        <w:spacing w:line="360" w:lineRule="auto"/>
        <w:ind w:left="720"/>
        <w:jc w:val="both"/>
        <w:rPr>
          <w:b/>
          <w:bCs/>
          <w:u w:val="single"/>
        </w:rPr>
      </w:pPr>
      <w:r w:rsidRPr="00147415">
        <w:rPr>
          <w:b/>
          <w:bCs/>
          <w:u w:val="single"/>
        </w:rPr>
        <w:t>A. Scenario Planning</w:t>
      </w:r>
    </w:p>
    <w:p w:rsidR="00147415" w:rsidRDefault="00147415" w:rsidP="00147415">
      <w:pPr>
        <w:tabs>
          <w:tab w:val="num" w:pos="1440"/>
        </w:tabs>
        <w:spacing w:line="360" w:lineRule="auto"/>
        <w:ind w:left="720"/>
        <w:jc w:val="both"/>
      </w:pPr>
      <w:r w:rsidRPr="00147415">
        <w:t>Before increasing capacity:</w:t>
      </w:r>
    </w:p>
    <w:p w:rsidR="00147415" w:rsidRDefault="00147415" w:rsidP="00147415">
      <w:pPr>
        <w:tabs>
          <w:tab w:val="num" w:pos="1440"/>
        </w:tabs>
        <w:spacing w:line="360" w:lineRule="auto"/>
        <w:ind w:left="720"/>
        <w:jc w:val="both"/>
      </w:pPr>
      <w:r w:rsidRPr="00147415">
        <w:t>Simulate:</w:t>
      </w:r>
    </w:p>
    <w:p w:rsidR="00147415" w:rsidRPr="00147415" w:rsidRDefault="00147415" w:rsidP="00147415">
      <w:pPr>
        <w:numPr>
          <w:ilvl w:val="1"/>
          <w:numId w:val="14"/>
        </w:numPr>
        <w:spacing w:line="360" w:lineRule="auto"/>
        <w:jc w:val="both"/>
      </w:pPr>
      <w:r w:rsidRPr="00147415">
        <w:t>What if transport issues increase by 2?</w:t>
      </w:r>
    </w:p>
    <w:p w:rsidR="00147415" w:rsidRDefault="00147415" w:rsidP="00147415">
      <w:pPr>
        <w:numPr>
          <w:ilvl w:val="1"/>
          <w:numId w:val="14"/>
        </w:numPr>
        <w:spacing w:line="360" w:lineRule="auto"/>
        <w:jc w:val="both"/>
      </w:pPr>
      <w:r w:rsidRPr="00147415">
        <w:t>What if we add 3 temperature machines?</w:t>
      </w:r>
    </w:p>
    <w:p w:rsidR="00147415" w:rsidRPr="00147415" w:rsidRDefault="00147415" w:rsidP="00147415">
      <w:pPr>
        <w:spacing w:line="360" w:lineRule="auto"/>
        <w:ind w:left="720"/>
        <w:jc w:val="both"/>
      </w:pPr>
      <w:r w:rsidRPr="00147415">
        <w:t>Predict delivery outcomes before investing.</w:t>
      </w:r>
    </w:p>
    <w:p w:rsidR="00147415" w:rsidRPr="00147415" w:rsidRDefault="00147415" w:rsidP="00147415">
      <w:pPr>
        <w:tabs>
          <w:tab w:val="num" w:pos="1440"/>
        </w:tabs>
        <w:spacing w:line="360" w:lineRule="auto"/>
        <w:ind w:left="720"/>
        <w:jc w:val="both"/>
        <w:rPr>
          <w:b/>
          <w:bCs/>
          <w:u w:val="single"/>
        </w:rPr>
      </w:pPr>
      <w:r w:rsidRPr="00147415">
        <w:rPr>
          <w:b/>
          <w:bCs/>
          <w:u w:val="single"/>
        </w:rPr>
        <w:t>B. Weekly Performance Dashboard</w:t>
      </w:r>
    </w:p>
    <w:p w:rsidR="00147415" w:rsidRPr="00147415" w:rsidRDefault="00147415" w:rsidP="00147415">
      <w:pPr>
        <w:tabs>
          <w:tab w:val="num" w:pos="1440"/>
        </w:tabs>
        <w:spacing w:line="360" w:lineRule="auto"/>
        <w:ind w:left="720"/>
        <w:jc w:val="both"/>
      </w:pPr>
      <w:r w:rsidRPr="00147415">
        <w:t>Use the equation to:</w:t>
      </w:r>
    </w:p>
    <w:p w:rsidR="00147415" w:rsidRPr="00147415" w:rsidRDefault="00147415" w:rsidP="00147415">
      <w:pPr>
        <w:numPr>
          <w:ilvl w:val="0"/>
          <w:numId w:val="16"/>
        </w:numPr>
        <w:spacing w:line="360" w:lineRule="auto"/>
        <w:jc w:val="both"/>
      </w:pPr>
      <w:r w:rsidRPr="00147415">
        <w:t>Forecast expected delivery weight</w:t>
      </w:r>
    </w:p>
    <w:p w:rsidR="00147415" w:rsidRPr="00147415" w:rsidRDefault="00147415" w:rsidP="00147415">
      <w:pPr>
        <w:numPr>
          <w:ilvl w:val="0"/>
          <w:numId w:val="16"/>
        </w:numPr>
        <w:spacing w:line="360" w:lineRule="auto"/>
        <w:jc w:val="both"/>
      </w:pPr>
      <w:r w:rsidRPr="00147415">
        <w:t>Compare predicted vs actual</w:t>
      </w:r>
    </w:p>
    <w:p w:rsidR="007863F2" w:rsidRPr="007863F2" w:rsidRDefault="007863F2" w:rsidP="007863F2">
      <w:pPr>
        <w:tabs>
          <w:tab w:val="num" w:pos="1440"/>
        </w:tabs>
        <w:spacing w:line="360" w:lineRule="auto"/>
        <w:ind w:left="720"/>
        <w:jc w:val="both"/>
        <w:rPr>
          <w:b/>
          <w:bCs/>
          <w:u w:val="single"/>
        </w:rPr>
      </w:pPr>
      <w:r w:rsidRPr="007863F2">
        <w:rPr>
          <w:b/>
          <w:bCs/>
          <w:u w:val="single"/>
        </w:rPr>
        <w:t xml:space="preserve">C. </w:t>
      </w:r>
      <w:r w:rsidRPr="007863F2">
        <w:rPr>
          <w:b/>
          <w:bCs/>
          <w:u w:val="single"/>
        </w:rPr>
        <w:t>Set Operational Targets</w:t>
      </w:r>
    </w:p>
    <w:p w:rsidR="007863F2" w:rsidRPr="007863F2" w:rsidRDefault="007863F2" w:rsidP="007863F2">
      <w:pPr>
        <w:tabs>
          <w:tab w:val="num" w:pos="1440"/>
        </w:tabs>
        <w:spacing w:line="360" w:lineRule="auto"/>
        <w:ind w:left="720"/>
        <w:jc w:val="both"/>
      </w:pPr>
      <w:r w:rsidRPr="007863F2">
        <w:t>Example:</w:t>
      </w:r>
    </w:p>
    <w:p w:rsidR="007863F2" w:rsidRPr="007863F2" w:rsidRDefault="007863F2" w:rsidP="007863F2">
      <w:pPr>
        <w:numPr>
          <w:ilvl w:val="0"/>
          <w:numId w:val="18"/>
        </w:numPr>
        <w:spacing w:line="360" w:lineRule="auto"/>
        <w:jc w:val="both"/>
      </w:pPr>
      <w:r w:rsidRPr="007863F2">
        <w:t>Transport issues must remain below X to maintain target weight</w:t>
      </w:r>
    </w:p>
    <w:p w:rsidR="007863F2" w:rsidRDefault="007863F2" w:rsidP="007863F2">
      <w:pPr>
        <w:numPr>
          <w:ilvl w:val="0"/>
          <w:numId w:val="18"/>
        </w:numPr>
        <w:spacing w:line="360" w:lineRule="auto"/>
        <w:jc w:val="both"/>
      </w:pPr>
      <w:r w:rsidRPr="007863F2">
        <w:t>Warehouse breakdowns must not exceed Y</w:t>
      </w:r>
    </w:p>
    <w:p w:rsidR="007863F2" w:rsidRDefault="007863F2" w:rsidP="007863F2">
      <w:pPr>
        <w:spacing w:line="360" w:lineRule="auto"/>
        <w:jc w:val="both"/>
      </w:pPr>
    </w:p>
    <w:p w:rsidR="007863F2" w:rsidRDefault="007863F2" w:rsidP="007863F2">
      <w:pPr>
        <w:spacing w:line="360" w:lineRule="auto"/>
        <w:jc w:val="both"/>
      </w:pPr>
    </w:p>
    <w:p w:rsidR="007863F2" w:rsidRPr="007863F2" w:rsidRDefault="007863F2" w:rsidP="007863F2">
      <w:pPr>
        <w:spacing w:line="360" w:lineRule="auto"/>
        <w:jc w:val="both"/>
        <w:rPr>
          <w:u w:val="single"/>
        </w:rPr>
      </w:pPr>
      <w:r w:rsidRPr="007863F2">
        <w:rPr>
          <w:u w:val="single"/>
        </w:rPr>
        <w:lastRenderedPageBreak/>
        <w:t>Strategic Priority Ranking (Based on Coefficient Magnitude &amp; Risk)</w:t>
      </w:r>
    </w:p>
    <w:tbl>
      <w:tblPr>
        <w:tblStyle w:val="TableGridLight"/>
        <w:tblW w:w="0" w:type="auto"/>
        <w:tblInd w:w="108" w:type="dxa"/>
        <w:tblLook w:val="04A0" w:firstRow="1" w:lastRow="0" w:firstColumn="1" w:lastColumn="0" w:noHBand="0" w:noVBand="1"/>
      </w:tblPr>
      <w:tblGrid>
        <w:gridCol w:w="990"/>
        <w:gridCol w:w="3990"/>
        <w:gridCol w:w="4290"/>
      </w:tblGrid>
      <w:tr w:rsidR="007863F2" w:rsidRPr="007863F2" w:rsidTr="007863F2">
        <w:tc>
          <w:tcPr>
            <w:tcW w:w="990" w:type="dxa"/>
            <w:hideMark/>
          </w:tcPr>
          <w:p w:rsidR="007863F2" w:rsidRPr="007863F2" w:rsidRDefault="007863F2" w:rsidP="007863F2">
            <w:pPr>
              <w:tabs>
                <w:tab w:val="num" w:pos="1440"/>
              </w:tabs>
              <w:spacing w:after="160" w:line="360" w:lineRule="auto"/>
              <w:jc w:val="both"/>
              <w:rPr>
                <w:b/>
                <w:bCs/>
              </w:rPr>
            </w:pPr>
            <w:r w:rsidRPr="007863F2">
              <w:rPr>
                <w:b/>
                <w:bCs/>
              </w:rPr>
              <w:t>Rank</w:t>
            </w:r>
          </w:p>
        </w:tc>
        <w:tc>
          <w:tcPr>
            <w:tcW w:w="3990" w:type="dxa"/>
            <w:hideMark/>
          </w:tcPr>
          <w:p w:rsidR="007863F2" w:rsidRPr="007863F2" w:rsidRDefault="007863F2" w:rsidP="007863F2">
            <w:pPr>
              <w:tabs>
                <w:tab w:val="num" w:pos="1440"/>
              </w:tabs>
              <w:spacing w:after="160" w:line="360" w:lineRule="auto"/>
              <w:jc w:val="both"/>
              <w:rPr>
                <w:b/>
                <w:bCs/>
              </w:rPr>
            </w:pPr>
            <w:r w:rsidRPr="007863F2">
              <w:rPr>
                <w:b/>
                <w:bCs/>
              </w:rPr>
              <w:t>Focus Area</w:t>
            </w:r>
          </w:p>
        </w:tc>
        <w:tc>
          <w:tcPr>
            <w:tcW w:w="4290" w:type="dxa"/>
            <w:hideMark/>
          </w:tcPr>
          <w:p w:rsidR="007863F2" w:rsidRPr="007863F2" w:rsidRDefault="007863F2" w:rsidP="007863F2">
            <w:pPr>
              <w:tabs>
                <w:tab w:val="num" w:pos="1440"/>
              </w:tabs>
              <w:spacing w:after="160" w:line="360" w:lineRule="auto"/>
              <w:jc w:val="both"/>
              <w:rPr>
                <w:b/>
                <w:bCs/>
              </w:rPr>
            </w:pPr>
            <w:r w:rsidRPr="007863F2">
              <w:rPr>
                <w:b/>
                <w:bCs/>
              </w:rPr>
              <w:t>Action</w:t>
            </w:r>
          </w:p>
        </w:tc>
      </w:tr>
      <w:tr w:rsidR="007863F2" w:rsidRPr="007863F2" w:rsidTr="007863F2">
        <w:tc>
          <w:tcPr>
            <w:tcW w:w="990" w:type="dxa"/>
            <w:hideMark/>
          </w:tcPr>
          <w:p w:rsidR="007863F2" w:rsidRPr="007863F2" w:rsidRDefault="007863F2" w:rsidP="007863F2">
            <w:pPr>
              <w:tabs>
                <w:tab w:val="num" w:pos="1440"/>
              </w:tabs>
              <w:spacing w:after="160" w:line="360" w:lineRule="auto"/>
              <w:jc w:val="both"/>
            </w:pPr>
            <w:r w:rsidRPr="007863F2">
              <w:t>1</w:t>
            </w:r>
          </w:p>
        </w:tc>
        <w:tc>
          <w:tcPr>
            <w:tcW w:w="3990" w:type="dxa"/>
            <w:hideMark/>
          </w:tcPr>
          <w:p w:rsidR="007863F2" w:rsidRPr="007863F2" w:rsidRDefault="007863F2" w:rsidP="007863F2">
            <w:pPr>
              <w:tabs>
                <w:tab w:val="num" w:pos="1440"/>
              </w:tabs>
              <w:spacing w:after="160" w:line="360" w:lineRule="auto"/>
              <w:jc w:val="both"/>
            </w:pPr>
            <w:r w:rsidRPr="007863F2">
              <w:t>Transport Issues</w:t>
            </w:r>
          </w:p>
        </w:tc>
        <w:tc>
          <w:tcPr>
            <w:tcW w:w="4290" w:type="dxa"/>
            <w:hideMark/>
          </w:tcPr>
          <w:p w:rsidR="007863F2" w:rsidRPr="007863F2" w:rsidRDefault="007863F2" w:rsidP="007863F2">
            <w:pPr>
              <w:tabs>
                <w:tab w:val="num" w:pos="1440"/>
              </w:tabs>
              <w:spacing w:after="160" w:line="360" w:lineRule="auto"/>
              <w:jc w:val="both"/>
            </w:pPr>
            <w:r w:rsidRPr="007863F2">
              <w:t>Aggressively reduce</w:t>
            </w:r>
          </w:p>
        </w:tc>
      </w:tr>
      <w:tr w:rsidR="007863F2" w:rsidRPr="007863F2" w:rsidTr="007863F2">
        <w:tc>
          <w:tcPr>
            <w:tcW w:w="990" w:type="dxa"/>
            <w:hideMark/>
          </w:tcPr>
          <w:p w:rsidR="007863F2" w:rsidRPr="007863F2" w:rsidRDefault="007863F2" w:rsidP="007863F2">
            <w:pPr>
              <w:tabs>
                <w:tab w:val="num" w:pos="1440"/>
              </w:tabs>
              <w:spacing w:after="160" w:line="360" w:lineRule="auto"/>
              <w:jc w:val="both"/>
            </w:pPr>
            <w:r w:rsidRPr="007863F2">
              <w:t>2</w:t>
            </w:r>
          </w:p>
        </w:tc>
        <w:tc>
          <w:tcPr>
            <w:tcW w:w="3990" w:type="dxa"/>
            <w:hideMark/>
          </w:tcPr>
          <w:p w:rsidR="007863F2" w:rsidRPr="007863F2" w:rsidRDefault="007863F2" w:rsidP="007863F2">
            <w:pPr>
              <w:tabs>
                <w:tab w:val="num" w:pos="1440"/>
              </w:tabs>
              <w:spacing w:after="160" w:line="360" w:lineRule="auto"/>
              <w:jc w:val="both"/>
            </w:pPr>
            <w:r w:rsidRPr="007863F2">
              <w:t>Temperature Machinery</w:t>
            </w:r>
          </w:p>
        </w:tc>
        <w:tc>
          <w:tcPr>
            <w:tcW w:w="4290" w:type="dxa"/>
            <w:hideMark/>
          </w:tcPr>
          <w:p w:rsidR="007863F2" w:rsidRPr="007863F2" w:rsidRDefault="007863F2" w:rsidP="007863F2">
            <w:pPr>
              <w:tabs>
                <w:tab w:val="num" w:pos="1440"/>
              </w:tabs>
              <w:spacing w:after="160" w:line="360" w:lineRule="auto"/>
              <w:jc w:val="both"/>
            </w:pPr>
            <w:r w:rsidRPr="007863F2">
              <w:t>Invest and expand</w:t>
            </w:r>
          </w:p>
        </w:tc>
      </w:tr>
      <w:tr w:rsidR="007863F2" w:rsidRPr="007863F2" w:rsidTr="007863F2">
        <w:tc>
          <w:tcPr>
            <w:tcW w:w="990" w:type="dxa"/>
            <w:hideMark/>
          </w:tcPr>
          <w:p w:rsidR="007863F2" w:rsidRPr="007863F2" w:rsidRDefault="007863F2" w:rsidP="007863F2">
            <w:pPr>
              <w:tabs>
                <w:tab w:val="num" w:pos="1440"/>
              </w:tabs>
              <w:spacing w:after="160" w:line="360" w:lineRule="auto"/>
              <w:jc w:val="both"/>
            </w:pPr>
            <w:r w:rsidRPr="007863F2">
              <w:t>3</w:t>
            </w:r>
          </w:p>
        </w:tc>
        <w:tc>
          <w:tcPr>
            <w:tcW w:w="3990" w:type="dxa"/>
            <w:hideMark/>
          </w:tcPr>
          <w:p w:rsidR="007863F2" w:rsidRPr="007863F2" w:rsidRDefault="007863F2" w:rsidP="007863F2">
            <w:pPr>
              <w:tabs>
                <w:tab w:val="num" w:pos="1440"/>
              </w:tabs>
              <w:spacing w:after="160" w:line="360" w:lineRule="auto"/>
              <w:jc w:val="both"/>
            </w:pPr>
            <w:r w:rsidRPr="007863F2">
              <w:t>Warehouse Breakdowns</w:t>
            </w:r>
          </w:p>
        </w:tc>
        <w:tc>
          <w:tcPr>
            <w:tcW w:w="4290" w:type="dxa"/>
            <w:hideMark/>
          </w:tcPr>
          <w:p w:rsidR="007863F2" w:rsidRPr="007863F2" w:rsidRDefault="007863F2" w:rsidP="007863F2">
            <w:pPr>
              <w:tabs>
                <w:tab w:val="num" w:pos="1440"/>
              </w:tabs>
              <w:spacing w:after="160" w:line="360" w:lineRule="auto"/>
              <w:jc w:val="both"/>
            </w:pPr>
            <w:r w:rsidRPr="007863F2">
              <w:t>Improve maintenance</w:t>
            </w:r>
          </w:p>
        </w:tc>
      </w:tr>
      <w:tr w:rsidR="007863F2" w:rsidRPr="007863F2" w:rsidTr="007863F2">
        <w:tc>
          <w:tcPr>
            <w:tcW w:w="990" w:type="dxa"/>
            <w:hideMark/>
          </w:tcPr>
          <w:p w:rsidR="007863F2" w:rsidRPr="007863F2" w:rsidRDefault="007863F2" w:rsidP="007863F2">
            <w:pPr>
              <w:tabs>
                <w:tab w:val="num" w:pos="1440"/>
              </w:tabs>
              <w:spacing w:after="160" w:line="360" w:lineRule="auto"/>
              <w:jc w:val="both"/>
            </w:pPr>
            <w:r w:rsidRPr="007863F2">
              <w:t>4</w:t>
            </w:r>
          </w:p>
        </w:tc>
        <w:tc>
          <w:tcPr>
            <w:tcW w:w="3990" w:type="dxa"/>
            <w:hideMark/>
          </w:tcPr>
          <w:p w:rsidR="007863F2" w:rsidRPr="007863F2" w:rsidRDefault="007863F2" w:rsidP="007863F2">
            <w:pPr>
              <w:tabs>
                <w:tab w:val="num" w:pos="1440"/>
              </w:tabs>
              <w:spacing w:after="160" w:line="360" w:lineRule="auto"/>
              <w:jc w:val="both"/>
            </w:pPr>
            <w:r w:rsidRPr="007863F2">
              <w:t>Storage Issues</w:t>
            </w:r>
          </w:p>
        </w:tc>
        <w:tc>
          <w:tcPr>
            <w:tcW w:w="4290" w:type="dxa"/>
            <w:hideMark/>
          </w:tcPr>
          <w:p w:rsidR="007863F2" w:rsidRPr="007863F2" w:rsidRDefault="007863F2" w:rsidP="007863F2">
            <w:pPr>
              <w:tabs>
                <w:tab w:val="num" w:pos="1440"/>
              </w:tabs>
              <w:spacing w:after="160" w:line="360" w:lineRule="auto"/>
              <w:jc w:val="both"/>
            </w:pPr>
            <w:r w:rsidRPr="007863F2">
              <w:t>Investigate &amp; optimize</w:t>
            </w:r>
          </w:p>
        </w:tc>
      </w:tr>
    </w:tbl>
    <w:p w:rsidR="00147415" w:rsidRPr="003C2DEC" w:rsidRDefault="00147415" w:rsidP="007863F2">
      <w:pPr>
        <w:tabs>
          <w:tab w:val="num" w:pos="1440"/>
        </w:tabs>
        <w:spacing w:line="360" w:lineRule="auto"/>
        <w:jc w:val="both"/>
      </w:pPr>
    </w:p>
    <w:p w:rsidR="00F63E44" w:rsidRPr="002177A4" w:rsidRDefault="002177A4" w:rsidP="002177A4">
      <w:pPr>
        <w:pStyle w:val="Heading1"/>
        <w:spacing w:line="360" w:lineRule="auto"/>
        <w:rPr>
          <w:sz w:val="24"/>
          <w:szCs w:val="24"/>
          <w:u w:val="single"/>
        </w:rPr>
      </w:pPr>
      <w:bookmarkStart w:id="39" w:name="_Toc222910817"/>
      <w:r w:rsidRPr="002177A4">
        <w:rPr>
          <w:sz w:val="24"/>
          <w:szCs w:val="24"/>
          <w:u w:val="single"/>
        </w:rPr>
        <w:t>LIMITATIONS</w:t>
      </w:r>
      <w:bookmarkEnd w:id="39"/>
    </w:p>
    <w:p w:rsidR="00F63E44" w:rsidRDefault="002177A4" w:rsidP="00F63E44">
      <w:pPr>
        <w:spacing w:line="360" w:lineRule="auto"/>
        <w:jc w:val="both"/>
      </w:pPr>
      <w:r>
        <w:t>A limitation from this analysis is due to Excel being the tool of use. Due to th</w:t>
      </w:r>
      <w:r w:rsidR="00B23ADD">
        <w:t>ese</w:t>
      </w:r>
      <w:r>
        <w:t xml:space="preserve"> non-numerical variables like warehouse, zone, manager, location </w:t>
      </w:r>
      <w:proofErr w:type="spellStart"/>
      <w:r>
        <w:t>etc</w:t>
      </w:r>
      <w:proofErr w:type="spellEnd"/>
      <w:r>
        <w:t xml:space="preserve"> weren’t involved in building the predictive model. So, this can be analyzed better with python as the tool taken into consideration those variables.</w:t>
      </w:r>
    </w:p>
    <w:p w:rsidR="0073337E" w:rsidRDefault="0073337E" w:rsidP="00F63E44">
      <w:pPr>
        <w:spacing w:line="360" w:lineRule="auto"/>
        <w:jc w:val="both"/>
      </w:pPr>
    </w:p>
    <w:p w:rsidR="0073337E" w:rsidRDefault="0073337E" w:rsidP="00F63E44">
      <w:pPr>
        <w:spacing w:line="360" w:lineRule="auto"/>
        <w:jc w:val="both"/>
      </w:pPr>
    </w:p>
    <w:p w:rsidR="0073337E" w:rsidRDefault="0073337E" w:rsidP="00F63E44">
      <w:pPr>
        <w:spacing w:line="360" w:lineRule="auto"/>
        <w:jc w:val="both"/>
      </w:pPr>
    </w:p>
    <w:p w:rsidR="0073337E" w:rsidRDefault="0073337E" w:rsidP="00F63E44">
      <w:pPr>
        <w:spacing w:line="360" w:lineRule="auto"/>
        <w:jc w:val="both"/>
      </w:pPr>
    </w:p>
    <w:p w:rsidR="0073337E" w:rsidRDefault="0073337E" w:rsidP="00F63E44">
      <w:pPr>
        <w:spacing w:line="360" w:lineRule="auto"/>
        <w:jc w:val="both"/>
      </w:pPr>
    </w:p>
    <w:p w:rsidR="0073337E" w:rsidRDefault="0073337E" w:rsidP="00F63E44">
      <w:pPr>
        <w:spacing w:line="360" w:lineRule="auto"/>
        <w:jc w:val="both"/>
      </w:pPr>
    </w:p>
    <w:p w:rsidR="0073337E" w:rsidRDefault="0073337E" w:rsidP="00F63E44">
      <w:pPr>
        <w:spacing w:line="360" w:lineRule="auto"/>
        <w:jc w:val="both"/>
      </w:pPr>
    </w:p>
    <w:p w:rsidR="0073337E" w:rsidRDefault="0073337E" w:rsidP="00F63E44">
      <w:pPr>
        <w:spacing w:line="360" w:lineRule="auto"/>
        <w:jc w:val="both"/>
      </w:pPr>
    </w:p>
    <w:p w:rsidR="0073337E" w:rsidRDefault="0073337E" w:rsidP="00F63E44">
      <w:pPr>
        <w:spacing w:line="360" w:lineRule="auto"/>
        <w:jc w:val="both"/>
      </w:pPr>
    </w:p>
    <w:p w:rsidR="0073337E" w:rsidRDefault="0073337E" w:rsidP="00F63E44">
      <w:pPr>
        <w:spacing w:line="360" w:lineRule="auto"/>
        <w:jc w:val="both"/>
      </w:pPr>
    </w:p>
    <w:p w:rsidR="0073337E" w:rsidRDefault="0073337E" w:rsidP="00F63E44">
      <w:pPr>
        <w:spacing w:line="360" w:lineRule="auto"/>
        <w:jc w:val="both"/>
      </w:pPr>
    </w:p>
    <w:p w:rsidR="0073337E" w:rsidRDefault="0073337E" w:rsidP="00F63E44">
      <w:pPr>
        <w:spacing w:line="360" w:lineRule="auto"/>
        <w:jc w:val="both"/>
      </w:pPr>
    </w:p>
    <w:p w:rsidR="0073337E" w:rsidRDefault="0073337E" w:rsidP="00F63E44">
      <w:pPr>
        <w:spacing w:line="360" w:lineRule="auto"/>
        <w:jc w:val="both"/>
      </w:pPr>
    </w:p>
    <w:p w:rsidR="0073337E" w:rsidRPr="00F63E44" w:rsidRDefault="0073337E" w:rsidP="0073337E">
      <w:pPr>
        <w:pStyle w:val="Heading1"/>
        <w:spacing w:line="360" w:lineRule="auto"/>
        <w:rPr>
          <w:u w:val="single"/>
        </w:rPr>
      </w:pPr>
      <w:bookmarkStart w:id="40" w:name="_Toc222910818"/>
      <w:r w:rsidRPr="0073337E">
        <w:rPr>
          <w:u w:val="single"/>
        </w:rPr>
        <w:lastRenderedPageBreak/>
        <w:t>APPENDIX</w:t>
      </w:r>
      <w:bookmarkEnd w:id="40"/>
    </w:p>
    <w:p w:rsidR="00F63E44" w:rsidRDefault="0073337E" w:rsidP="0073337E">
      <w:pPr>
        <w:spacing w:line="360" w:lineRule="auto"/>
        <w:jc w:val="both"/>
      </w:pPr>
      <w:r>
        <w:rPr>
          <w:noProof/>
        </w:rPr>
        <w:drawing>
          <wp:inline distT="0" distB="0" distL="0" distR="0">
            <wp:extent cx="5943600" cy="3929380"/>
            <wp:effectExtent l="0" t="0" r="0" b="0"/>
            <wp:docPr id="85149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90560" name="Picture 851490560"/>
                    <pic:cNvPicPr/>
                  </pic:nvPicPr>
                  <pic:blipFill>
                    <a:blip r:embed="rId27">
                      <a:extLst>
                        <a:ext uri="{28A0092B-C50C-407E-A947-70E740481C1C}">
                          <a14:useLocalDpi xmlns:a14="http://schemas.microsoft.com/office/drawing/2010/main" val="0"/>
                        </a:ext>
                      </a:extLst>
                    </a:blip>
                    <a:stretch>
                      <a:fillRect/>
                    </a:stretch>
                  </pic:blipFill>
                  <pic:spPr>
                    <a:xfrm>
                      <a:off x="0" y="0"/>
                      <a:ext cx="5943600" cy="3929380"/>
                    </a:xfrm>
                    <a:prstGeom prst="rect">
                      <a:avLst/>
                    </a:prstGeom>
                  </pic:spPr>
                </pic:pic>
              </a:graphicData>
            </a:graphic>
          </wp:inline>
        </w:drawing>
      </w:r>
    </w:p>
    <w:p w:rsidR="0073337E" w:rsidRPr="00F63E44" w:rsidRDefault="0073337E" w:rsidP="0073337E">
      <w:pPr>
        <w:pStyle w:val="Caption"/>
        <w:jc w:val="center"/>
        <w:rPr>
          <w:u w:val="single"/>
        </w:rPr>
      </w:pPr>
      <w:bookmarkStart w:id="41" w:name="_Toc222908870"/>
      <w:r w:rsidRPr="0073337E">
        <w:rPr>
          <w:u w:val="single"/>
        </w:rPr>
        <w:t xml:space="preserve">Fig </w:t>
      </w:r>
      <w:r w:rsidRPr="0073337E">
        <w:rPr>
          <w:u w:val="single"/>
        </w:rPr>
        <w:fldChar w:fldCharType="begin"/>
      </w:r>
      <w:r w:rsidRPr="0073337E">
        <w:rPr>
          <w:u w:val="single"/>
        </w:rPr>
        <w:instrText xml:space="preserve"> SEQ Fig \* ARABIC </w:instrText>
      </w:r>
      <w:r w:rsidRPr="0073337E">
        <w:rPr>
          <w:u w:val="single"/>
        </w:rPr>
        <w:fldChar w:fldCharType="separate"/>
      </w:r>
      <w:r w:rsidRPr="0073337E">
        <w:rPr>
          <w:noProof/>
          <w:u w:val="single"/>
        </w:rPr>
        <w:t>17</w:t>
      </w:r>
      <w:r w:rsidRPr="0073337E">
        <w:rPr>
          <w:u w:val="single"/>
        </w:rPr>
        <w:fldChar w:fldCharType="end"/>
      </w:r>
      <w:r w:rsidRPr="0073337E">
        <w:rPr>
          <w:u w:val="single"/>
        </w:rPr>
        <w:t xml:space="preserve"> Excel Dashboard Showing Overview of Adine Noodles Dataset</w:t>
      </w:r>
      <w:bookmarkEnd w:id="41"/>
    </w:p>
    <w:p w:rsidR="00F63E44" w:rsidRPr="00AD33C6" w:rsidRDefault="00F63E44" w:rsidP="00F63E44">
      <w:pPr>
        <w:spacing w:line="360" w:lineRule="auto"/>
        <w:jc w:val="both"/>
      </w:pPr>
    </w:p>
    <w:p w:rsidR="00AD33C6" w:rsidRPr="003234C6" w:rsidRDefault="00AD33C6" w:rsidP="00AD33C6"/>
    <w:p w:rsidR="00FB5672" w:rsidRPr="00FB5672" w:rsidRDefault="00FB5672" w:rsidP="00FB5672"/>
    <w:p w:rsidR="00184C94" w:rsidRPr="00184C94" w:rsidRDefault="00184C94" w:rsidP="00184C94"/>
    <w:p w:rsidR="004365BB" w:rsidRDefault="004365BB" w:rsidP="004365BB">
      <w:pPr>
        <w:spacing w:line="360" w:lineRule="auto"/>
        <w:jc w:val="center"/>
      </w:pPr>
    </w:p>
    <w:p w:rsidR="00C34E88" w:rsidRDefault="00C34E88" w:rsidP="00807773">
      <w:pPr>
        <w:spacing w:line="360" w:lineRule="auto"/>
        <w:jc w:val="both"/>
      </w:pPr>
    </w:p>
    <w:p w:rsidR="00807773" w:rsidRDefault="00807773" w:rsidP="00807773">
      <w:pPr>
        <w:spacing w:line="360" w:lineRule="auto"/>
        <w:jc w:val="both"/>
      </w:pPr>
    </w:p>
    <w:p w:rsidR="00807773" w:rsidRDefault="00807773" w:rsidP="009C6DFE">
      <w:pPr>
        <w:spacing w:line="360" w:lineRule="auto"/>
        <w:jc w:val="both"/>
      </w:pPr>
    </w:p>
    <w:p w:rsidR="00665449" w:rsidRDefault="00665449" w:rsidP="000A097C">
      <w:pPr>
        <w:spacing w:line="360" w:lineRule="auto"/>
        <w:jc w:val="both"/>
        <w:rPr>
          <w:u w:val="single"/>
        </w:rPr>
      </w:pPr>
    </w:p>
    <w:p w:rsidR="00D1115D" w:rsidRDefault="00D1115D" w:rsidP="000A097C">
      <w:pPr>
        <w:spacing w:line="360" w:lineRule="auto"/>
        <w:jc w:val="both"/>
      </w:pPr>
    </w:p>
    <w:p w:rsidR="00F93C86" w:rsidRDefault="00F93C86" w:rsidP="00AD32DC">
      <w:pPr>
        <w:spacing w:line="360" w:lineRule="auto"/>
        <w:jc w:val="both"/>
      </w:pPr>
    </w:p>
    <w:p w:rsidR="001F6270" w:rsidRPr="0073337E" w:rsidRDefault="0073337E" w:rsidP="0073337E">
      <w:pPr>
        <w:pStyle w:val="Heading1"/>
        <w:spacing w:line="360" w:lineRule="auto"/>
        <w:rPr>
          <w:sz w:val="24"/>
          <w:szCs w:val="24"/>
          <w:u w:val="single"/>
        </w:rPr>
      </w:pPr>
      <w:bookmarkStart w:id="42" w:name="_Toc222910819"/>
      <w:r w:rsidRPr="0073337E">
        <w:rPr>
          <w:sz w:val="24"/>
          <w:szCs w:val="24"/>
          <w:u w:val="single"/>
        </w:rPr>
        <w:lastRenderedPageBreak/>
        <w:t>REFERENCES</w:t>
      </w:r>
      <w:bookmarkEnd w:id="42"/>
    </w:p>
    <w:p w:rsidR="001F6270" w:rsidRDefault="0073337E" w:rsidP="001F6270">
      <w:r>
        <w:t xml:space="preserve">Cover Page </w:t>
      </w:r>
      <w:r w:rsidR="001F6270" w:rsidRPr="001F6270">
        <w:t xml:space="preserve">Photo by </w:t>
      </w:r>
      <w:hyperlink r:id="rId28" w:history="1">
        <w:r w:rsidR="001F6270" w:rsidRPr="001F6270">
          <w:rPr>
            <w:rStyle w:val="Hyperlink"/>
          </w:rPr>
          <w:t xml:space="preserve">Jeff </w:t>
        </w:r>
        <w:proofErr w:type="spellStart"/>
        <w:r w:rsidR="001F6270" w:rsidRPr="001F6270">
          <w:rPr>
            <w:rStyle w:val="Hyperlink"/>
          </w:rPr>
          <w:t>Siepman</w:t>
        </w:r>
        <w:proofErr w:type="spellEnd"/>
      </w:hyperlink>
      <w:r w:rsidR="001F6270" w:rsidRPr="001F6270">
        <w:t xml:space="preserve"> on </w:t>
      </w:r>
      <w:hyperlink r:id="rId29" w:history="1">
        <w:proofErr w:type="spellStart"/>
        <w:r w:rsidR="001F6270" w:rsidRPr="001F6270">
          <w:rPr>
            <w:rStyle w:val="Hyperlink"/>
          </w:rPr>
          <w:t>Unsplash</w:t>
        </w:r>
        <w:proofErr w:type="spellEnd"/>
      </w:hyperlink>
      <w:r w:rsidR="001F6270" w:rsidRPr="001F6270">
        <w:t xml:space="preserve"> </w:t>
      </w:r>
    </w:p>
    <w:p w:rsidR="00BD256D" w:rsidRPr="00BD256D" w:rsidRDefault="0073337E" w:rsidP="00BD256D">
      <w:r>
        <w:t xml:space="preserve">Dashboard noodles </w:t>
      </w:r>
      <w:r w:rsidR="00BD256D" w:rsidRPr="00BD256D">
        <w:t xml:space="preserve">Photo by </w:t>
      </w:r>
      <w:hyperlink r:id="rId30" w:history="1">
        <w:proofErr w:type="spellStart"/>
        <w:r w:rsidR="00BD256D" w:rsidRPr="00BD256D">
          <w:rPr>
            <w:rStyle w:val="Hyperlink"/>
          </w:rPr>
          <w:t>ikhsan</w:t>
        </w:r>
        <w:proofErr w:type="spellEnd"/>
        <w:r w:rsidR="00BD256D" w:rsidRPr="00BD256D">
          <w:rPr>
            <w:rStyle w:val="Hyperlink"/>
          </w:rPr>
          <w:t xml:space="preserve"> </w:t>
        </w:r>
        <w:proofErr w:type="spellStart"/>
        <w:r w:rsidR="00BD256D" w:rsidRPr="00BD256D">
          <w:rPr>
            <w:rStyle w:val="Hyperlink"/>
          </w:rPr>
          <w:t>baihaqi</w:t>
        </w:r>
        <w:proofErr w:type="spellEnd"/>
      </w:hyperlink>
      <w:r w:rsidR="00BD256D" w:rsidRPr="00BD256D">
        <w:t xml:space="preserve"> on </w:t>
      </w:r>
      <w:hyperlink r:id="rId31" w:history="1">
        <w:proofErr w:type="spellStart"/>
        <w:r w:rsidR="00BD256D" w:rsidRPr="00BD256D">
          <w:rPr>
            <w:rStyle w:val="Hyperlink"/>
          </w:rPr>
          <w:t>Unsplash</w:t>
        </w:r>
        <w:proofErr w:type="spellEnd"/>
      </w:hyperlink>
      <w:r w:rsidR="00BD256D" w:rsidRPr="00BD256D">
        <w:t xml:space="preserve"> </w:t>
      </w:r>
    </w:p>
    <w:p w:rsidR="00BD256D" w:rsidRPr="001F6270" w:rsidRDefault="00BD256D" w:rsidP="001F6270"/>
    <w:p w:rsidR="001F6270" w:rsidRDefault="001F6270"/>
    <w:sectPr w:rsidR="001F6270" w:rsidSect="00954EFF">
      <w:headerReference w:type="even" r:id="rId32"/>
      <w:headerReference w:type="default" r:id="rId33"/>
      <w:footerReference w:type="even" r:id="rId34"/>
      <w:footerReference w:type="default" r:id="rId35"/>
      <w:headerReference w:type="first" r:id="rId36"/>
      <w:footerReference w:type="first" r:id="rId3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A3EC7" w:rsidRDefault="002A3EC7" w:rsidP="000C3CA9">
      <w:pPr>
        <w:spacing w:after="0" w:line="240" w:lineRule="auto"/>
      </w:pPr>
      <w:r>
        <w:separator/>
      </w:r>
    </w:p>
  </w:endnote>
  <w:endnote w:type="continuationSeparator" w:id="0">
    <w:p w:rsidR="002A3EC7" w:rsidRDefault="002A3EC7" w:rsidP="000C3C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Bradley Hand ITC">
    <w:panose1 w:val="03070402050302030203"/>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3CA9" w:rsidRDefault="000C3C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3CA9" w:rsidRDefault="000C3C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3CA9" w:rsidRDefault="000C3C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A3EC7" w:rsidRDefault="002A3EC7" w:rsidP="000C3CA9">
      <w:pPr>
        <w:spacing w:after="0" w:line="240" w:lineRule="auto"/>
      </w:pPr>
      <w:r>
        <w:separator/>
      </w:r>
    </w:p>
  </w:footnote>
  <w:footnote w:type="continuationSeparator" w:id="0">
    <w:p w:rsidR="002A3EC7" w:rsidRDefault="002A3EC7" w:rsidP="000C3C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3CA9" w:rsidRDefault="000C3C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3CA9" w:rsidRDefault="000C3C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3CA9" w:rsidRDefault="000C3C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E5FD5"/>
    <w:multiLevelType w:val="multilevel"/>
    <w:tmpl w:val="8FB6C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B6450D"/>
    <w:multiLevelType w:val="multilevel"/>
    <w:tmpl w:val="864EFF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AC113B0"/>
    <w:multiLevelType w:val="hybridMultilevel"/>
    <w:tmpl w:val="59EC2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DA6573"/>
    <w:multiLevelType w:val="hybridMultilevel"/>
    <w:tmpl w:val="92E4D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4A5604"/>
    <w:multiLevelType w:val="multilevel"/>
    <w:tmpl w:val="2D1C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71584"/>
    <w:multiLevelType w:val="multilevel"/>
    <w:tmpl w:val="2D1C1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45A34"/>
    <w:multiLevelType w:val="multilevel"/>
    <w:tmpl w:val="65445C0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2BEE7DBB"/>
    <w:multiLevelType w:val="hybridMultilevel"/>
    <w:tmpl w:val="A2041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751B2F"/>
    <w:multiLevelType w:val="multilevel"/>
    <w:tmpl w:val="3822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34B34"/>
    <w:multiLevelType w:val="hybridMultilevel"/>
    <w:tmpl w:val="AF68A6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4467D2"/>
    <w:multiLevelType w:val="multilevel"/>
    <w:tmpl w:val="2D1C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F647B0"/>
    <w:multiLevelType w:val="hybridMultilevel"/>
    <w:tmpl w:val="E72AD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4F3370"/>
    <w:multiLevelType w:val="multilevel"/>
    <w:tmpl w:val="A92A2DBE"/>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54F5125F"/>
    <w:multiLevelType w:val="multilevel"/>
    <w:tmpl w:val="E0862FB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76C0A1F"/>
    <w:multiLevelType w:val="hybridMultilevel"/>
    <w:tmpl w:val="A5427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7154EE"/>
    <w:multiLevelType w:val="hybridMultilevel"/>
    <w:tmpl w:val="75BAD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057BD2"/>
    <w:multiLevelType w:val="multilevel"/>
    <w:tmpl w:val="EB8018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6A6D1D6E"/>
    <w:multiLevelType w:val="multilevel"/>
    <w:tmpl w:val="58D8E8E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6B8E646C"/>
    <w:multiLevelType w:val="hybridMultilevel"/>
    <w:tmpl w:val="4C1A1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D92E74"/>
    <w:multiLevelType w:val="multilevel"/>
    <w:tmpl w:val="2D1C162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7F1E7C8B"/>
    <w:multiLevelType w:val="multilevel"/>
    <w:tmpl w:val="866EA7C8"/>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40969044">
    <w:abstractNumId w:val="2"/>
  </w:num>
  <w:num w:numId="2" w16cid:durableId="1678655119">
    <w:abstractNumId w:val="20"/>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2107717">
    <w:abstractNumId w:val="9"/>
  </w:num>
  <w:num w:numId="4" w16cid:durableId="1350646368">
    <w:abstractNumId w:val="18"/>
  </w:num>
  <w:num w:numId="5" w16cid:durableId="543755662">
    <w:abstractNumId w:val="7"/>
  </w:num>
  <w:num w:numId="6" w16cid:durableId="150220573">
    <w:abstractNumId w:val="3"/>
  </w:num>
  <w:num w:numId="7" w16cid:durableId="1374843312">
    <w:abstractNumId w:val="11"/>
  </w:num>
  <w:num w:numId="8" w16cid:durableId="1646087935">
    <w:abstractNumId w:val="14"/>
  </w:num>
  <w:num w:numId="9" w16cid:durableId="1944342177">
    <w:abstractNumId w:val="15"/>
  </w:num>
  <w:num w:numId="10" w16cid:durableId="950938904">
    <w:abstractNumId w:val="8"/>
  </w:num>
  <w:num w:numId="11" w16cid:durableId="1284078415">
    <w:abstractNumId w:val="1"/>
  </w:num>
  <w:num w:numId="12" w16cid:durableId="969094679">
    <w:abstractNumId w:val="16"/>
  </w:num>
  <w:num w:numId="13" w16cid:durableId="1653215704">
    <w:abstractNumId w:val="13"/>
  </w:num>
  <w:num w:numId="14" w16cid:durableId="1921939733">
    <w:abstractNumId w:val="5"/>
  </w:num>
  <w:num w:numId="15" w16cid:durableId="1794640501">
    <w:abstractNumId w:val="17"/>
  </w:num>
  <w:num w:numId="16" w16cid:durableId="417871560">
    <w:abstractNumId w:val="12"/>
  </w:num>
  <w:num w:numId="17" w16cid:durableId="1458527499">
    <w:abstractNumId w:val="19"/>
  </w:num>
  <w:num w:numId="18" w16cid:durableId="974411018">
    <w:abstractNumId w:val="6"/>
  </w:num>
  <w:num w:numId="19" w16cid:durableId="45764494">
    <w:abstractNumId w:val="0"/>
  </w:num>
  <w:num w:numId="20" w16cid:durableId="774208170">
    <w:abstractNumId w:val="10"/>
  </w:num>
  <w:num w:numId="21" w16cid:durableId="242616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954EFF"/>
    <w:rsid w:val="000100EB"/>
    <w:rsid w:val="000120FC"/>
    <w:rsid w:val="0002313D"/>
    <w:rsid w:val="000235AD"/>
    <w:rsid w:val="000330CC"/>
    <w:rsid w:val="00046783"/>
    <w:rsid w:val="000509C0"/>
    <w:rsid w:val="000517EA"/>
    <w:rsid w:val="000521BC"/>
    <w:rsid w:val="00054102"/>
    <w:rsid w:val="00067D62"/>
    <w:rsid w:val="000A097C"/>
    <w:rsid w:val="000C3CA9"/>
    <w:rsid w:val="000C6AB0"/>
    <w:rsid w:val="000E4758"/>
    <w:rsid w:val="000E4AA8"/>
    <w:rsid w:val="000F4637"/>
    <w:rsid w:val="00104BD1"/>
    <w:rsid w:val="0011632F"/>
    <w:rsid w:val="00122A9B"/>
    <w:rsid w:val="00131122"/>
    <w:rsid w:val="0014074C"/>
    <w:rsid w:val="0014231B"/>
    <w:rsid w:val="00147415"/>
    <w:rsid w:val="00154CEE"/>
    <w:rsid w:val="0018213F"/>
    <w:rsid w:val="00184C94"/>
    <w:rsid w:val="00187331"/>
    <w:rsid w:val="00195ECE"/>
    <w:rsid w:val="001B429A"/>
    <w:rsid w:val="001C1A49"/>
    <w:rsid w:val="001D4BDC"/>
    <w:rsid w:val="001E278F"/>
    <w:rsid w:val="001F3935"/>
    <w:rsid w:val="001F6270"/>
    <w:rsid w:val="0020091A"/>
    <w:rsid w:val="00214C81"/>
    <w:rsid w:val="002177A4"/>
    <w:rsid w:val="002303FC"/>
    <w:rsid w:val="00230CCB"/>
    <w:rsid w:val="00234517"/>
    <w:rsid w:val="00236CAE"/>
    <w:rsid w:val="00270C08"/>
    <w:rsid w:val="002A3EC7"/>
    <w:rsid w:val="002B12DF"/>
    <w:rsid w:val="002B789D"/>
    <w:rsid w:val="002D01A2"/>
    <w:rsid w:val="002E6337"/>
    <w:rsid w:val="002E75E2"/>
    <w:rsid w:val="002F1817"/>
    <w:rsid w:val="0032063F"/>
    <w:rsid w:val="003234C6"/>
    <w:rsid w:val="00326BA8"/>
    <w:rsid w:val="0034215B"/>
    <w:rsid w:val="0034567D"/>
    <w:rsid w:val="00345FC9"/>
    <w:rsid w:val="00354029"/>
    <w:rsid w:val="00365674"/>
    <w:rsid w:val="00373EEF"/>
    <w:rsid w:val="00382093"/>
    <w:rsid w:val="003B2801"/>
    <w:rsid w:val="003C2DEC"/>
    <w:rsid w:val="003D66A0"/>
    <w:rsid w:val="003E1CB0"/>
    <w:rsid w:val="004104D2"/>
    <w:rsid w:val="00416FCC"/>
    <w:rsid w:val="0042231E"/>
    <w:rsid w:val="004365BB"/>
    <w:rsid w:val="004714F3"/>
    <w:rsid w:val="0047335B"/>
    <w:rsid w:val="00480F63"/>
    <w:rsid w:val="00486101"/>
    <w:rsid w:val="004954E5"/>
    <w:rsid w:val="004A23D5"/>
    <w:rsid w:val="004F2722"/>
    <w:rsid w:val="004F59D3"/>
    <w:rsid w:val="004F6701"/>
    <w:rsid w:val="0050176B"/>
    <w:rsid w:val="00524213"/>
    <w:rsid w:val="00540DC6"/>
    <w:rsid w:val="00542641"/>
    <w:rsid w:val="00544178"/>
    <w:rsid w:val="0055081A"/>
    <w:rsid w:val="00551FBF"/>
    <w:rsid w:val="005563F2"/>
    <w:rsid w:val="005652FC"/>
    <w:rsid w:val="0057003E"/>
    <w:rsid w:val="00584173"/>
    <w:rsid w:val="005871FF"/>
    <w:rsid w:val="005901C6"/>
    <w:rsid w:val="005A1E24"/>
    <w:rsid w:val="005A32F2"/>
    <w:rsid w:val="005A3430"/>
    <w:rsid w:val="005C5087"/>
    <w:rsid w:val="005D4C0A"/>
    <w:rsid w:val="005D6686"/>
    <w:rsid w:val="005F21F1"/>
    <w:rsid w:val="005F2536"/>
    <w:rsid w:val="006154AC"/>
    <w:rsid w:val="00653ACB"/>
    <w:rsid w:val="00665449"/>
    <w:rsid w:val="00682FCF"/>
    <w:rsid w:val="006A3AA4"/>
    <w:rsid w:val="006A7F9D"/>
    <w:rsid w:val="006C4136"/>
    <w:rsid w:val="006C4CC4"/>
    <w:rsid w:val="006E3DEE"/>
    <w:rsid w:val="006F0C90"/>
    <w:rsid w:val="006F4F58"/>
    <w:rsid w:val="007108DF"/>
    <w:rsid w:val="007126EB"/>
    <w:rsid w:val="00713AF4"/>
    <w:rsid w:val="00716BA4"/>
    <w:rsid w:val="0073337E"/>
    <w:rsid w:val="00735C42"/>
    <w:rsid w:val="00773F8E"/>
    <w:rsid w:val="0078048E"/>
    <w:rsid w:val="007863F2"/>
    <w:rsid w:val="007A112F"/>
    <w:rsid w:val="007D493D"/>
    <w:rsid w:val="007D66D8"/>
    <w:rsid w:val="007E348B"/>
    <w:rsid w:val="00807773"/>
    <w:rsid w:val="00807B20"/>
    <w:rsid w:val="00847BB5"/>
    <w:rsid w:val="00852263"/>
    <w:rsid w:val="00852FED"/>
    <w:rsid w:val="008642E7"/>
    <w:rsid w:val="0087108C"/>
    <w:rsid w:val="008B33ED"/>
    <w:rsid w:val="008B39CE"/>
    <w:rsid w:val="008C4501"/>
    <w:rsid w:val="008D12C1"/>
    <w:rsid w:val="008F1342"/>
    <w:rsid w:val="0090318A"/>
    <w:rsid w:val="00910E96"/>
    <w:rsid w:val="00913294"/>
    <w:rsid w:val="00916B09"/>
    <w:rsid w:val="009259CF"/>
    <w:rsid w:val="00926C53"/>
    <w:rsid w:val="00950A1B"/>
    <w:rsid w:val="00954EFF"/>
    <w:rsid w:val="00981372"/>
    <w:rsid w:val="00996B5D"/>
    <w:rsid w:val="009977A4"/>
    <w:rsid w:val="00997CC5"/>
    <w:rsid w:val="009C3FAD"/>
    <w:rsid w:val="009C6DFE"/>
    <w:rsid w:val="009D5880"/>
    <w:rsid w:val="00A16EE3"/>
    <w:rsid w:val="00A20AA8"/>
    <w:rsid w:val="00A5165B"/>
    <w:rsid w:val="00A54B69"/>
    <w:rsid w:val="00A645A5"/>
    <w:rsid w:val="00A759E1"/>
    <w:rsid w:val="00A76255"/>
    <w:rsid w:val="00A914E9"/>
    <w:rsid w:val="00A94648"/>
    <w:rsid w:val="00AA3D0D"/>
    <w:rsid w:val="00AB4163"/>
    <w:rsid w:val="00AB5867"/>
    <w:rsid w:val="00AD32DC"/>
    <w:rsid w:val="00AD33C6"/>
    <w:rsid w:val="00AE15B2"/>
    <w:rsid w:val="00AE3C28"/>
    <w:rsid w:val="00AF4301"/>
    <w:rsid w:val="00AF46C0"/>
    <w:rsid w:val="00B031D0"/>
    <w:rsid w:val="00B05522"/>
    <w:rsid w:val="00B17DE2"/>
    <w:rsid w:val="00B23ADD"/>
    <w:rsid w:val="00B25AD5"/>
    <w:rsid w:val="00B34F22"/>
    <w:rsid w:val="00B3504C"/>
    <w:rsid w:val="00B6130E"/>
    <w:rsid w:val="00B614FC"/>
    <w:rsid w:val="00B918AE"/>
    <w:rsid w:val="00B9592E"/>
    <w:rsid w:val="00BC1029"/>
    <w:rsid w:val="00BC425E"/>
    <w:rsid w:val="00BD256D"/>
    <w:rsid w:val="00BD606E"/>
    <w:rsid w:val="00C0385B"/>
    <w:rsid w:val="00C31FF6"/>
    <w:rsid w:val="00C34E88"/>
    <w:rsid w:val="00C37CFC"/>
    <w:rsid w:val="00C40A16"/>
    <w:rsid w:val="00C50DF7"/>
    <w:rsid w:val="00C524D3"/>
    <w:rsid w:val="00C63296"/>
    <w:rsid w:val="00C73852"/>
    <w:rsid w:val="00C935CA"/>
    <w:rsid w:val="00D0230F"/>
    <w:rsid w:val="00D1115D"/>
    <w:rsid w:val="00D9091A"/>
    <w:rsid w:val="00DB4B97"/>
    <w:rsid w:val="00DB7CF4"/>
    <w:rsid w:val="00DC0A72"/>
    <w:rsid w:val="00DD0C38"/>
    <w:rsid w:val="00DD22CE"/>
    <w:rsid w:val="00DD76BE"/>
    <w:rsid w:val="00DE01FF"/>
    <w:rsid w:val="00E06604"/>
    <w:rsid w:val="00E1160D"/>
    <w:rsid w:val="00E1547E"/>
    <w:rsid w:val="00E2510C"/>
    <w:rsid w:val="00E40AFE"/>
    <w:rsid w:val="00E46458"/>
    <w:rsid w:val="00E55A23"/>
    <w:rsid w:val="00E72D1A"/>
    <w:rsid w:val="00EB1779"/>
    <w:rsid w:val="00EB4B81"/>
    <w:rsid w:val="00EB7A72"/>
    <w:rsid w:val="00EC0A86"/>
    <w:rsid w:val="00F10E39"/>
    <w:rsid w:val="00F1154D"/>
    <w:rsid w:val="00F22786"/>
    <w:rsid w:val="00F63E44"/>
    <w:rsid w:val="00F72C21"/>
    <w:rsid w:val="00F821EF"/>
    <w:rsid w:val="00F937CA"/>
    <w:rsid w:val="00F93C86"/>
    <w:rsid w:val="00FA4AD2"/>
    <w:rsid w:val="00FB5672"/>
    <w:rsid w:val="00FF08E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1986BA20"/>
  <w15:chartTrackingRefBased/>
  <w15:docId w15:val="{B9B9A995-3744-4E30-A62A-A25985B2A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4E5"/>
  </w:style>
  <w:style w:type="paragraph" w:styleId="Heading1">
    <w:name w:val="heading 1"/>
    <w:basedOn w:val="Normal"/>
    <w:next w:val="Normal"/>
    <w:link w:val="Heading1Char"/>
    <w:uiPriority w:val="9"/>
    <w:qFormat/>
    <w:rsid w:val="00584173"/>
    <w:pPr>
      <w:keepNext/>
      <w:keepLines/>
      <w:spacing w:before="240" w:after="0"/>
      <w:outlineLvl w:val="0"/>
    </w:pPr>
    <w:rPr>
      <w:rFonts w:asciiTheme="majorHAnsi" w:eastAsiaTheme="majorEastAsia" w:hAnsiTheme="majorHAnsi" w:cstheme="majorBidi"/>
      <w:color w:val="B76E0B" w:themeColor="accent1" w:themeShade="BF"/>
      <w:sz w:val="32"/>
      <w:szCs w:val="32"/>
    </w:rPr>
  </w:style>
  <w:style w:type="paragraph" w:styleId="Heading2">
    <w:name w:val="heading 2"/>
    <w:basedOn w:val="Normal"/>
    <w:next w:val="Normal"/>
    <w:link w:val="Heading2Char"/>
    <w:uiPriority w:val="9"/>
    <w:semiHidden/>
    <w:unhideWhenUsed/>
    <w:qFormat/>
    <w:rsid w:val="009C6DFE"/>
    <w:pPr>
      <w:keepNext/>
      <w:keepLines/>
      <w:spacing w:before="40" w:after="0"/>
      <w:outlineLvl w:val="1"/>
    </w:pPr>
    <w:rPr>
      <w:rFonts w:asciiTheme="majorHAnsi" w:eastAsiaTheme="majorEastAsia" w:hAnsiTheme="majorHAnsi" w:cstheme="majorBidi"/>
      <w:color w:val="B76E0B" w:themeColor="accent1" w:themeShade="BF"/>
      <w:sz w:val="26"/>
      <w:szCs w:val="26"/>
    </w:rPr>
  </w:style>
  <w:style w:type="paragraph" w:styleId="Heading3">
    <w:name w:val="heading 3"/>
    <w:basedOn w:val="Normal"/>
    <w:next w:val="Normal"/>
    <w:link w:val="Heading3Char"/>
    <w:uiPriority w:val="9"/>
    <w:semiHidden/>
    <w:unhideWhenUsed/>
    <w:qFormat/>
    <w:rsid w:val="00F22786"/>
    <w:pPr>
      <w:keepNext/>
      <w:keepLines/>
      <w:spacing w:before="40" w:after="0"/>
      <w:outlineLvl w:val="2"/>
    </w:pPr>
    <w:rPr>
      <w:rFonts w:asciiTheme="majorHAnsi" w:eastAsiaTheme="majorEastAsia" w:hAnsiTheme="majorHAnsi" w:cstheme="majorBidi"/>
      <w:color w:val="79490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54EFF"/>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954EFF"/>
    <w:rPr>
      <w:rFonts w:eastAsiaTheme="minorEastAsia"/>
      <w:kern w:val="0"/>
    </w:rPr>
  </w:style>
  <w:style w:type="character" w:styleId="Hyperlink">
    <w:name w:val="Hyperlink"/>
    <w:basedOn w:val="DefaultParagraphFont"/>
    <w:uiPriority w:val="99"/>
    <w:unhideWhenUsed/>
    <w:rsid w:val="001F6270"/>
    <w:rPr>
      <w:color w:val="FFAE3E" w:themeColor="hyperlink"/>
      <w:u w:val="single"/>
    </w:rPr>
  </w:style>
  <w:style w:type="character" w:styleId="UnresolvedMention">
    <w:name w:val="Unresolved Mention"/>
    <w:basedOn w:val="DefaultParagraphFont"/>
    <w:uiPriority w:val="99"/>
    <w:semiHidden/>
    <w:unhideWhenUsed/>
    <w:rsid w:val="001F6270"/>
    <w:rPr>
      <w:color w:val="605E5C"/>
      <w:shd w:val="clear" w:color="auto" w:fill="E1DFDD"/>
    </w:rPr>
  </w:style>
  <w:style w:type="paragraph" w:styleId="Header">
    <w:name w:val="header"/>
    <w:basedOn w:val="Normal"/>
    <w:link w:val="HeaderChar"/>
    <w:uiPriority w:val="99"/>
    <w:unhideWhenUsed/>
    <w:rsid w:val="000C3C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3CA9"/>
  </w:style>
  <w:style w:type="paragraph" w:styleId="Footer">
    <w:name w:val="footer"/>
    <w:basedOn w:val="Normal"/>
    <w:link w:val="FooterChar"/>
    <w:uiPriority w:val="99"/>
    <w:unhideWhenUsed/>
    <w:rsid w:val="000C3C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3CA9"/>
  </w:style>
  <w:style w:type="paragraph" w:styleId="ListParagraph">
    <w:name w:val="List Paragraph"/>
    <w:basedOn w:val="Normal"/>
    <w:uiPriority w:val="34"/>
    <w:qFormat/>
    <w:rsid w:val="00F93C86"/>
    <w:pPr>
      <w:ind w:left="720"/>
      <w:contextualSpacing/>
    </w:pPr>
  </w:style>
  <w:style w:type="table" w:styleId="TableGridLight">
    <w:name w:val="Grid Table Light"/>
    <w:basedOn w:val="TableNormal"/>
    <w:uiPriority w:val="40"/>
    <w:rsid w:val="000541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584173"/>
    <w:rPr>
      <w:rFonts w:asciiTheme="majorHAnsi" w:eastAsiaTheme="majorEastAsia" w:hAnsiTheme="majorHAnsi" w:cstheme="majorBidi"/>
      <w:color w:val="B76E0B" w:themeColor="accent1" w:themeShade="BF"/>
      <w:sz w:val="32"/>
      <w:szCs w:val="32"/>
    </w:rPr>
  </w:style>
  <w:style w:type="paragraph" w:styleId="TOCHeading">
    <w:name w:val="TOC Heading"/>
    <w:basedOn w:val="Heading1"/>
    <w:next w:val="Normal"/>
    <w:uiPriority w:val="39"/>
    <w:unhideWhenUsed/>
    <w:qFormat/>
    <w:rsid w:val="008D12C1"/>
    <w:pPr>
      <w:outlineLvl w:val="9"/>
    </w:pPr>
    <w:rPr>
      <w:kern w:val="0"/>
    </w:rPr>
  </w:style>
  <w:style w:type="paragraph" w:styleId="TOC1">
    <w:name w:val="toc 1"/>
    <w:basedOn w:val="Normal"/>
    <w:next w:val="Normal"/>
    <w:autoRedefine/>
    <w:uiPriority w:val="39"/>
    <w:unhideWhenUsed/>
    <w:rsid w:val="008D12C1"/>
    <w:pPr>
      <w:spacing w:after="100"/>
    </w:pPr>
  </w:style>
  <w:style w:type="paragraph" w:styleId="Caption">
    <w:name w:val="caption"/>
    <w:basedOn w:val="Normal"/>
    <w:next w:val="Normal"/>
    <w:uiPriority w:val="35"/>
    <w:unhideWhenUsed/>
    <w:qFormat/>
    <w:rsid w:val="008D12C1"/>
    <w:pPr>
      <w:spacing w:after="200" w:line="240" w:lineRule="auto"/>
    </w:pPr>
    <w:rPr>
      <w:i/>
      <w:iCs/>
      <w:color w:val="9D360E" w:themeColor="text2"/>
      <w:sz w:val="18"/>
      <w:szCs w:val="18"/>
    </w:rPr>
  </w:style>
  <w:style w:type="paragraph" w:styleId="TableofFigures">
    <w:name w:val="table of figures"/>
    <w:basedOn w:val="Normal"/>
    <w:next w:val="Normal"/>
    <w:uiPriority w:val="99"/>
    <w:unhideWhenUsed/>
    <w:rsid w:val="00916B09"/>
    <w:pPr>
      <w:spacing w:after="0"/>
    </w:pPr>
  </w:style>
  <w:style w:type="character" w:customStyle="1" w:styleId="Heading2Char">
    <w:name w:val="Heading 2 Char"/>
    <w:basedOn w:val="DefaultParagraphFont"/>
    <w:link w:val="Heading2"/>
    <w:uiPriority w:val="9"/>
    <w:semiHidden/>
    <w:rsid w:val="009C6DFE"/>
    <w:rPr>
      <w:rFonts w:asciiTheme="majorHAnsi" w:eastAsiaTheme="majorEastAsia" w:hAnsiTheme="majorHAnsi" w:cstheme="majorBidi"/>
      <w:color w:val="B76E0B" w:themeColor="accent1" w:themeShade="BF"/>
      <w:sz w:val="26"/>
      <w:szCs w:val="26"/>
    </w:rPr>
  </w:style>
  <w:style w:type="paragraph" w:styleId="NormalWeb">
    <w:name w:val="Normal (Web)"/>
    <w:basedOn w:val="Normal"/>
    <w:uiPriority w:val="99"/>
    <w:semiHidden/>
    <w:unhideWhenUsed/>
    <w:rsid w:val="00542641"/>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TOC2">
    <w:name w:val="toc 2"/>
    <w:basedOn w:val="Normal"/>
    <w:next w:val="Normal"/>
    <w:autoRedefine/>
    <w:uiPriority w:val="39"/>
    <w:unhideWhenUsed/>
    <w:rsid w:val="00046783"/>
    <w:pPr>
      <w:spacing w:after="100"/>
      <w:ind w:left="220"/>
    </w:pPr>
  </w:style>
  <w:style w:type="character" w:customStyle="1" w:styleId="Heading3Char">
    <w:name w:val="Heading 3 Char"/>
    <w:basedOn w:val="DefaultParagraphFont"/>
    <w:link w:val="Heading3"/>
    <w:uiPriority w:val="9"/>
    <w:semiHidden/>
    <w:rsid w:val="00F22786"/>
    <w:rPr>
      <w:rFonts w:asciiTheme="majorHAnsi" w:eastAsiaTheme="majorEastAsia" w:hAnsiTheme="majorHAnsi" w:cstheme="majorBidi"/>
      <w:color w:val="794908" w:themeColor="accent1" w:themeShade="7F"/>
      <w:sz w:val="24"/>
      <w:szCs w:val="24"/>
    </w:rPr>
  </w:style>
  <w:style w:type="character" w:styleId="PlaceholderText">
    <w:name w:val="Placeholder Text"/>
    <w:basedOn w:val="DefaultParagraphFont"/>
    <w:uiPriority w:val="99"/>
    <w:semiHidden/>
    <w:rsid w:val="00B23AD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545278">
      <w:bodyDiv w:val="1"/>
      <w:marLeft w:val="0"/>
      <w:marRight w:val="0"/>
      <w:marTop w:val="0"/>
      <w:marBottom w:val="0"/>
      <w:divBdr>
        <w:top w:val="none" w:sz="0" w:space="0" w:color="auto"/>
        <w:left w:val="none" w:sz="0" w:space="0" w:color="auto"/>
        <w:bottom w:val="none" w:sz="0" w:space="0" w:color="auto"/>
        <w:right w:val="none" w:sz="0" w:space="0" w:color="auto"/>
      </w:divBdr>
    </w:div>
    <w:div w:id="119764196">
      <w:bodyDiv w:val="1"/>
      <w:marLeft w:val="0"/>
      <w:marRight w:val="0"/>
      <w:marTop w:val="0"/>
      <w:marBottom w:val="0"/>
      <w:divBdr>
        <w:top w:val="none" w:sz="0" w:space="0" w:color="auto"/>
        <w:left w:val="none" w:sz="0" w:space="0" w:color="auto"/>
        <w:bottom w:val="none" w:sz="0" w:space="0" w:color="auto"/>
        <w:right w:val="none" w:sz="0" w:space="0" w:color="auto"/>
      </w:divBdr>
    </w:div>
    <w:div w:id="130560727">
      <w:bodyDiv w:val="1"/>
      <w:marLeft w:val="0"/>
      <w:marRight w:val="0"/>
      <w:marTop w:val="0"/>
      <w:marBottom w:val="0"/>
      <w:divBdr>
        <w:top w:val="none" w:sz="0" w:space="0" w:color="auto"/>
        <w:left w:val="none" w:sz="0" w:space="0" w:color="auto"/>
        <w:bottom w:val="none" w:sz="0" w:space="0" w:color="auto"/>
        <w:right w:val="none" w:sz="0" w:space="0" w:color="auto"/>
      </w:divBdr>
    </w:div>
    <w:div w:id="145821047">
      <w:bodyDiv w:val="1"/>
      <w:marLeft w:val="0"/>
      <w:marRight w:val="0"/>
      <w:marTop w:val="0"/>
      <w:marBottom w:val="0"/>
      <w:divBdr>
        <w:top w:val="none" w:sz="0" w:space="0" w:color="auto"/>
        <w:left w:val="none" w:sz="0" w:space="0" w:color="auto"/>
        <w:bottom w:val="none" w:sz="0" w:space="0" w:color="auto"/>
        <w:right w:val="none" w:sz="0" w:space="0" w:color="auto"/>
      </w:divBdr>
    </w:div>
    <w:div w:id="281157887">
      <w:bodyDiv w:val="1"/>
      <w:marLeft w:val="0"/>
      <w:marRight w:val="0"/>
      <w:marTop w:val="0"/>
      <w:marBottom w:val="0"/>
      <w:divBdr>
        <w:top w:val="none" w:sz="0" w:space="0" w:color="auto"/>
        <w:left w:val="none" w:sz="0" w:space="0" w:color="auto"/>
        <w:bottom w:val="none" w:sz="0" w:space="0" w:color="auto"/>
        <w:right w:val="none" w:sz="0" w:space="0" w:color="auto"/>
      </w:divBdr>
    </w:div>
    <w:div w:id="353190282">
      <w:bodyDiv w:val="1"/>
      <w:marLeft w:val="0"/>
      <w:marRight w:val="0"/>
      <w:marTop w:val="0"/>
      <w:marBottom w:val="0"/>
      <w:divBdr>
        <w:top w:val="none" w:sz="0" w:space="0" w:color="auto"/>
        <w:left w:val="none" w:sz="0" w:space="0" w:color="auto"/>
        <w:bottom w:val="none" w:sz="0" w:space="0" w:color="auto"/>
        <w:right w:val="none" w:sz="0" w:space="0" w:color="auto"/>
      </w:divBdr>
    </w:div>
    <w:div w:id="385297147">
      <w:bodyDiv w:val="1"/>
      <w:marLeft w:val="0"/>
      <w:marRight w:val="0"/>
      <w:marTop w:val="0"/>
      <w:marBottom w:val="0"/>
      <w:divBdr>
        <w:top w:val="none" w:sz="0" w:space="0" w:color="auto"/>
        <w:left w:val="none" w:sz="0" w:space="0" w:color="auto"/>
        <w:bottom w:val="none" w:sz="0" w:space="0" w:color="auto"/>
        <w:right w:val="none" w:sz="0" w:space="0" w:color="auto"/>
      </w:divBdr>
    </w:div>
    <w:div w:id="419103556">
      <w:bodyDiv w:val="1"/>
      <w:marLeft w:val="0"/>
      <w:marRight w:val="0"/>
      <w:marTop w:val="0"/>
      <w:marBottom w:val="0"/>
      <w:divBdr>
        <w:top w:val="none" w:sz="0" w:space="0" w:color="auto"/>
        <w:left w:val="none" w:sz="0" w:space="0" w:color="auto"/>
        <w:bottom w:val="none" w:sz="0" w:space="0" w:color="auto"/>
        <w:right w:val="none" w:sz="0" w:space="0" w:color="auto"/>
      </w:divBdr>
    </w:div>
    <w:div w:id="475608528">
      <w:bodyDiv w:val="1"/>
      <w:marLeft w:val="0"/>
      <w:marRight w:val="0"/>
      <w:marTop w:val="0"/>
      <w:marBottom w:val="0"/>
      <w:divBdr>
        <w:top w:val="none" w:sz="0" w:space="0" w:color="auto"/>
        <w:left w:val="none" w:sz="0" w:space="0" w:color="auto"/>
        <w:bottom w:val="none" w:sz="0" w:space="0" w:color="auto"/>
        <w:right w:val="none" w:sz="0" w:space="0" w:color="auto"/>
      </w:divBdr>
    </w:div>
    <w:div w:id="555698659">
      <w:bodyDiv w:val="1"/>
      <w:marLeft w:val="0"/>
      <w:marRight w:val="0"/>
      <w:marTop w:val="0"/>
      <w:marBottom w:val="0"/>
      <w:divBdr>
        <w:top w:val="none" w:sz="0" w:space="0" w:color="auto"/>
        <w:left w:val="none" w:sz="0" w:space="0" w:color="auto"/>
        <w:bottom w:val="none" w:sz="0" w:space="0" w:color="auto"/>
        <w:right w:val="none" w:sz="0" w:space="0" w:color="auto"/>
      </w:divBdr>
    </w:div>
    <w:div w:id="720716851">
      <w:bodyDiv w:val="1"/>
      <w:marLeft w:val="0"/>
      <w:marRight w:val="0"/>
      <w:marTop w:val="0"/>
      <w:marBottom w:val="0"/>
      <w:divBdr>
        <w:top w:val="none" w:sz="0" w:space="0" w:color="auto"/>
        <w:left w:val="none" w:sz="0" w:space="0" w:color="auto"/>
        <w:bottom w:val="none" w:sz="0" w:space="0" w:color="auto"/>
        <w:right w:val="none" w:sz="0" w:space="0" w:color="auto"/>
      </w:divBdr>
    </w:div>
    <w:div w:id="761994868">
      <w:bodyDiv w:val="1"/>
      <w:marLeft w:val="0"/>
      <w:marRight w:val="0"/>
      <w:marTop w:val="0"/>
      <w:marBottom w:val="0"/>
      <w:divBdr>
        <w:top w:val="none" w:sz="0" w:space="0" w:color="auto"/>
        <w:left w:val="none" w:sz="0" w:space="0" w:color="auto"/>
        <w:bottom w:val="none" w:sz="0" w:space="0" w:color="auto"/>
        <w:right w:val="none" w:sz="0" w:space="0" w:color="auto"/>
      </w:divBdr>
    </w:div>
    <w:div w:id="838077315">
      <w:bodyDiv w:val="1"/>
      <w:marLeft w:val="0"/>
      <w:marRight w:val="0"/>
      <w:marTop w:val="0"/>
      <w:marBottom w:val="0"/>
      <w:divBdr>
        <w:top w:val="none" w:sz="0" w:space="0" w:color="auto"/>
        <w:left w:val="none" w:sz="0" w:space="0" w:color="auto"/>
        <w:bottom w:val="none" w:sz="0" w:space="0" w:color="auto"/>
        <w:right w:val="none" w:sz="0" w:space="0" w:color="auto"/>
      </w:divBdr>
    </w:div>
    <w:div w:id="974604807">
      <w:bodyDiv w:val="1"/>
      <w:marLeft w:val="0"/>
      <w:marRight w:val="0"/>
      <w:marTop w:val="0"/>
      <w:marBottom w:val="0"/>
      <w:divBdr>
        <w:top w:val="none" w:sz="0" w:space="0" w:color="auto"/>
        <w:left w:val="none" w:sz="0" w:space="0" w:color="auto"/>
        <w:bottom w:val="none" w:sz="0" w:space="0" w:color="auto"/>
        <w:right w:val="none" w:sz="0" w:space="0" w:color="auto"/>
      </w:divBdr>
    </w:div>
    <w:div w:id="1070423832">
      <w:bodyDiv w:val="1"/>
      <w:marLeft w:val="0"/>
      <w:marRight w:val="0"/>
      <w:marTop w:val="0"/>
      <w:marBottom w:val="0"/>
      <w:divBdr>
        <w:top w:val="none" w:sz="0" w:space="0" w:color="auto"/>
        <w:left w:val="none" w:sz="0" w:space="0" w:color="auto"/>
        <w:bottom w:val="none" w:sz="0" w:space="0" w:color="auto"/>
        <w:right w:val="none" w:sz="0" w:space="0" w:color="auto"/>
      </w:divBdr>
    </w:div>
    <w:div w:id="1103958961">
      <w:bodyDiv w:val="1"/>
      <w:marLeft w:val="0"/>
      <w:marRight w:val="0"/>
      <w:marTop w:val="0"/>
      <w:marBottom w:val="0"/>
      <w:divBdr>
        <w:top w:val="none" w:sz="0" w:space="0" w:color="auto"/>
        <w:left w:val="none" w:sz="0" w:space="0" w:color="auto"/>
        <w:bottom w:val="none" w:sz="0" w:space="0" w:color="auto"/>
        <w:right w:val="none" w:sz="0" w:space="0" w:color="auto"/>
      </w:divBdr>
    </w:div>
    <w:div w:id="1113667927">
      <w:bodyDiv w:val="1"/>
      <w:marLeft w:val="0"/>
      <w:marRight w:val="0"/>
      <w:marTop w:val="0"/>
      <w:marBottom w:val="0"/>
      <w:divBdr>
        <w:top w:val="none" w:sz="0" w:space="0" w:color="auto"/>
        <w:left w:val="none" w:sz="0" w:space="0" w:color="auto"/>
        <w:bottom w:val="none" w:sz="0" w:space="0" w:color="auto"/>
        <w:right w:val="none" w:sz="0" w:space="0" w:color="auto"/>
      </w:divBdr>
    </w:div>
    <w:div w:id="1134326161">
      <w:bodyDiv w:val="1"/>
      <w:marLeft w:val="0"/>
      <w:marRight w:val="0"/>
      <w:marTop w:val="0"/>
      <w:marBottom w:val="0"/>
      <w:divBdr>
        <w:top w:val="none" w:sz="0" w:space="0" w:color="auto"/>
        <w:left w:val="none" w:sz="0" w:space="0" w:color="auto"/>
        <w:bottom w:val="none" w:sz="0" w:space="0" w:color="auto"/>
        <w:right w:val="none" w:sz="0" w:space="0" w:color="auto"/>
      </w:divBdr>
    </w:div>
    <w:div w:id="1162507427">
      <w:bodyDiv w:val="1"/>
      <w:marLeft w:val="0"/>
      <w:marRight w:val="0"/>
      <w:marTop w:val="0"/>
      <w:marBottom w:val="0"/>
      <w:divBdr>
        <w:top w:val="none" w:sz="0" w:space="0" w:color="auto"/>
        <w:left w:val="none" w:sz="0" w:space="0" w:color="auto"/>
        <w:bottom w:val="none" w:sz="0" w:space="0" w:color="auto"/>
        <w:right w:val="none" w:sz="0" w:space="0" w:color="auto"/>
      </w:divBdr>
    </w:div>
    <w:div w:id="1277442979">
      <w:bodyDiv w:val="1"/>
      <w:marLeft w:val="0"/>
      <w:marRight w:val="0"/>
      <w:marTop w:val="0"/>
      <w:marBottom w:val="0"/>
      <w:divBdr>
        <w:top w:val="none" w:sz="0" w:space="0" w:color="auto"/>
        <w:left w:val="none" w:sz="0" w:space="0" w:color="auto"/>
        <w:bottom w:val="none" w:sz="0" w:space="0" w:color="auto"/>
        <w:right w:val="none" w:sz="0" w:space="0" w:color="auto"/>
      </w:divBdr>
    </w:div>
    <w:div w:id="1288005219">
      <w:bodyDiv w:val="1"/>
      <w:marLeft w:val="0"/>
      <w:marRight w:val="0"/>
      <w:marTop w:val="0"/>
      <w:marBottom w:val="0"/>
      <w:divBdr>
        <w:top w:val="none" w:sz="0" w:space="0" w:color="auto"/>
        <w:left w:val="none" w:sz="0" w:space="0" w:color="auto"/>
        <w:bottom w:val="none" w:sz="0" w:space="0" w:color="auto"/>
        <w:right w:val="none" w:sz="0" w:space="0" w:color="auto"/>
      </w:divBdr>
    </w:div>
    <w:div w:id="1290936610">
      <w:bodyDiv w:val="1"/>
      <w:marLeft w:val="0"/>
      <w:marRight w:val="0"/>
      <w:marTop w:val="0"/>
      <w:marBottom w:val="0"/>
      <w:divBdr>
        <w:top w:val="none" w:sz="0" w:space="0" w:color="auto"/>
        <w:left w:val="none" w:sz="0" w:space="0" w:color="auto"/>
        <w:bottom w:val="none" w:sz="0" w:space="0" w:color="auto"/>
        <w:right w:val="none" w:sz="0" w:space="0" w:color="auto"/>
      </w:divBdr>
    </w:div>
    <w:div w:id="1378313135">
      <w:bodyDiv w:val="1"/>
      <w:marLeft w:val="0"/>
      <w:marRight w:val="0"/>
      <w:marTop w:val="0"/>
      <w:marBottom w:val="0"/>
      <w:divBdr>
        <w:top w:val="none" w:sz="0" w:space="0" w:color="auto"/>
        <w:left w:val="none" w:sz="0" w:space="0" w:color="auto"/>
        <w:bottom w:val="none" w:sz="0" w:space="0" w:color="auto"/>
        <w:right w:val="none" w:sz="0" w:space="0" w:color="auto"/>
      </w:divBdr>
    </w:div>
    <w:div w:id="1383406303">
      <w:bodyDiv w:val="1"/>
      <w:marLeft w:val="0"/>
      <w:marRight w:val="0"/>
      <w:marTop w:val="0"/>
      <w:marBottom w:val="0"/>
      <w:divBdr>
        <w:top w:val="none" w:sz="0" w:space="0" w:color="auto"/>
        <w:left w:val="none" w:sz="0" w:space="0" w:color="auto"/>
        <w:bottom w:val="none" w:sz="0" w:space="0" w:color="auto"/>
        <w:right w:val="none" w:sz="0" w:space="0" w:color="auto"/>
      </w:divBdr>
    </w:div>
    <w:div w:id="1420905148">
      <w:bodyDiv w:val="1"/>
      <w:marLeft w:val="0"/>
      <w:marRight w:val="0"/>
      <w:marTop w:val="0"/>
      <w:marBottom w:val="0"/>
      <w:divBdr>
        <w:top w:val="none" w:sz="0" w:space="0" w:color="auto"/>
        <w:left w:val="none" w:sz="0" w:space="0" w:color="auto"/>
        <w:bottom w:val="none" w:sz="0" w:space="0" w:color="auto"/>
        <w:right w:val="none" w:sz="0" w:space="0" w:color="auto"/>
      </w:divBdr>
    </w:div>
    <w:div w:id="1443496240">
      <w:bodyDiv w:val="1"/>
      <w:marLeft w:val="0"/>
      <w:marRight w:val="0"/>
      <w:marTop w:val="0"/>
      <w:marBottom w:val="0"/>
      <w:divBdr>
        <w:top w:val="none" w:sz="0" w:space="0" w:color="auto"/>
        <w:left w:val="none" w:sz="0" w:space="0" w:color="auto"/>
        <w:bottom w:val="none" w:sz="0" w:space="0" w:color="auto"/>
        <w:right w:val="none" w:sz="0" w:space="0" w:color="auto"/>
      </w:divBdr>
    </w:div>
    <w:div w:id="1447777719">
      <w:bodyDiv w:val="1"/>
      <w:marLeft w:val="0"/>
      <w:marRight w:val="0"/>
      <w:marTop w:val="0"/>
      <w:marBottom w:val="0"/>
      <w:divBdr>
        <w:top w:val="none" w:sz="0" w:space="0" w:color="auto"/>
        <w:left w:val="none" w:sz="0" w:space="0" w:color="auto"/>
        <w:bottom w:val="none" w:sz="0" w:space="0" w:color="auto"/>
        <w:right w:val="none" w:sz="0" w:space="0" w:color="auto"/>
      </w:divBdr>
    </w:div>
    <w:div w:id="1516966193">
      <w:bodyDiv w:val="1"/>
      <w:marLeft w:val="0"/>
      <w:marRight w:val="0"/>
      <w:marTop w:val="0"/>
      <w:marBottom w:val="0"/>
      <w:divBdr>
        <w:top w:val="none" w:sz="0" w:space="0" w:color="auto"/>
        <w:left w:val="none" w:sz="0" w:space="0" w:color="auto"/>
        <w:bottom w:val="none" w:sz="0" w:space="0" w:color="auto"/>
        <w:right w:val="none" w:sz="0" w:space="0" w:color="auto"/>
      </w:divBdr>
    </w:div>
    <w:div w:id="1559855042">
      <w:bodyDiv w:val="1"/>
      <w:marLeft w:val="0"/>
      <w:marRight w:val="0"/>
      <w:marTop w:val="0"/>
      <w:marBottom w:val="0"/>
      <w:divBdr>
        <w:top w:val="none" w:sz="0" w:space="0" w:color="auto"/>
        <w:left w:val="none" w:sz="0" w:space="0" w:color="auto"/>
        <w:bottom w:val="none" w:sz="0" w:space="0" w:color="auto"/>
        <w:right w:val="none" w:sz="0" w:space="0" w:color="auto"/>
      </w:divBdr>
    </w:div>
    <w:div w:id="1583488564">
      <w:bodyDiv w:val="1"/>
      <w:marLeft w:val="0"/>
      <w:marRight w:val="0"/>
      <w:marTop w:val="0"/>
      <w:marBottom w:val="0"/>
      <w:divBdr>
        <w:top w:val="none" w:sz="0" w:space="0" w:color="auto"/>
        <w:left w:val="none" w:sz="0" w:space="0" w:color="auto"/>
        <w:bottom w:val="none" w:sz="0" w:space="0" w:color="auto"/>
        <w:right w:val="none" w:sz="0" w:space="0" w:color="auto"/>
      </w:divBdr>
    </w:div>
    <w:div w:id="1587424596">
      <w:bodyDiv w:val="1"/>
      <w:marLeft w:val="0"/>
      <w:marRight w:val="0"/>
      <w:marTop w:val="0"/>
      <w:marBottom w:val="0"/>
      <w:divBdr>
        <w:top w:val="none" w:sz="0" w:space="0" w:color="auto"/>
        <w:left w:val="none" w:sz="0" w:space="0" w:color="auto"/>
        <w:bottom w:val="none" w:sz="0" w:space="0" w:color="auto"/>
        <w:right w:val="none" w:sz="0" w:space="0" w:color="auto"/>
      </w:divBdr>
    </w:div>
    <w:div w:id="1659185414">
      <w:bodyDiv w:val="1"/>
      <w:marLeft w:val="0"/>
      <w:marRight w:val="0"/>
      <w:marTop w:val="0"/>
      <w:marBottom w:val="0"/>
      <w:divBdr>
        <w:top w:val="none" w:sz="0" w:space="0" w:color="auto"/>
        <w:left w:val="none" w:sz="0" w:space="0" w:color="auto"/>
        <w:bottom w:val="none" w:sz="0" w:space="0" w:color="auto"/>
        <w:right w:val="none" w:sz="0" w:space="0" w:color="auto"/>
      </w:divBdr>
    </w:div>
    <w:div w:id="1756513483">
      <w:bodyDiv w:val="1"/>
      <w:marLeft w:val="0"/>
      <w:marRight w:val="0"/>
      <w:marTop w:val="0"/>
      <w:marBottom w:val="0"/>
      <w:divBdr>
        <w:top w:val="none" w:sz="0" w:space="0" w:color="auto"/>
        <w:left w:val="none" w:sz="0" w:space="0" w:color="auto"/>
        <w:bottom w:val="none" w:sz="0" w:space="0" w:color="auto"/>
        <w:right w:val="none" w:sz="0" w:space="0" w:color="auto"/>
      </w:divBdr>
    </w:div>
    <w:div w:id="1773087255">
      <w:bodyDiv w:val="1"/>
      <w:marLeft w:val="0"/>
      <w:marRight w:val="0"/>
      <w:marTop w:val="0"/>
      <w:marBottom w:val="0"/>
      <w:divBdr>
        <w:top w:val="none" w:sz="0" w:space="0" w:color="auto"/>
        <w:left w:val="none" w:sz="0" w:space="0" w:color="auto"/>
        <w:bottom w:val="none" w:sz="0" w:space="0" w:color="auto"/>
        <w:right w:val="none" w:sz="0" w:space="0" w:color="auto"/>
      </w:divBdr>
    </w:div>
    <w:div w:id="1859469491">
      <w:bodyDiv w:val="1"/>
      <w:marLeft w:val="0"/>
      <w:marRight w:val="0"/>
      <w:marTop w:val="0"/>
      <w:marBottom w:val="0"/>
      <w:divBdr>
        <w:top w:val="none" w:sz="0" w:space="0" w:color="auto"/>
        <w:left w:val="none" w:sz="0" w:space="0" w:color="auto"/>
        <w:bottom w:val="none" w:sz="0" w:space="0" w:color="auto"/>
        <w:right w:val="none" w:sz="0" w:space="0" w:color="auto"/>
      </w:divBdr>
    </w:div>
    <w:div w:id="1898472186">
      <w:bodyDiv w:val="1"/>
      <w:marLeft w:val="0"/>
      <w:marRight w:val="0"/>
      <w:marTop w:val="0"/>
      <w:marBottom w:val="0"/>
      <w:divBdr>
        <w:top w:val="none" w:sz="0" w:space="0" w:color="auto"/>
        <w:left w:val="none" w:sz="0" w:space="0" w:color="auto"/>
        <w:bottom w:val="none" w:sz="0" w:space="0" w:color="auto"/>
        <w:right w:val="none" w:sz="0" w:space="0" w:color="auto"/>
      </w:divBdr>
    </w:div>
    <w:div w:id="1960990679">
      <w:bodyDiv w:val="1"/>
      <w:marLeft w:val="0"/>
      <w:marRight w:val="0"/>
      <w:marTop w:val="0"/>
      <w:marBottom w:val="0"/>
      <w:divBdr>
        <w:top w:val="none" w:sz="0" w:space="0" w:color="auto"/>
        <w:left w:val="none" w:sz="0" w:space="0" w:color="auto"/>
        <w:bottom w:val="none" w:sz="0" w:space="0" w:color="auto"/>
        <w:right w:val="none" w:sz="0" w:space="0" w:color="auto"/>
      </w:divBdr>
    </w:div>
    <w:div w:id="2015839861">
      <w:bodyDiv w:val="1"/>
      <w:marLeft w:val="0"/>
      <w:marRight w:val="0"/>
      <w:marTop w:val="0"/>
      <w:marBottom w:val="0"/>
      <w:divBdr>
        <w:top w:val="none" w:sz="0" w:space="0" w:color="auto"/>
        <w:left w:val="none" w:sz="0" w:space="0" w:color="auto"/>
        <w:bottom w:val="none" w:sz="0" w:space="0" w:color="auto"/>
        <w:right w:val="none" w:sz="0" w:space="0" w:color="auto"/>
      </w:divBdr>
    </w:div>
    <w:div w:id="2122802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3.xml"/><Relationship Id="rId18" Type="http://schemas.openxmlformats.org/officeDocument/2006/relationships/chart" Target="charts/chart8.xml"/><Relationship Id="rId26" Type="http://schemas.openxmlformats.org/officeDocument/2006/relationships/image" Target="media/image8.png"/><Relationship Id="rId39"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3.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chart" Target="charts/chart2.xml"/><Relationship Id="rId17" Type="http://schemas.openxmlformats.org/officeDocument/2006/relationships/chart" Target="charts/chart7.xml"/><Relationship Id="rId25" Type="http://schemas.openxmlformats.org/officeDocument/2006/relationships/image" Target="media/image7.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6.xml"/><Relationship Id="rId20" Type="http://schemas.openxmlformats.org/officeDocument/2006/relationships/image" Target="media/image2.png"/><Relationship Id="rId29" Type="http://schemas.openxmlformats.org/officeDocument/2006/relationships/hyperlink" Target="https://unsplash.com/photos/white-and-red-noodle-cup-3ZLDdR7x52w?utm_source=unsplash&amp;utm_medium=referral&amp;utm_content=creditCopyTex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24" Type="http://schemas.openxmlformats.org/officeDocument/2006/relationships/image" Target="media/image6.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chart" Target="charts/chart5.xml"/><Relationship Id="rId23" Type="http://schemas.openxmlformats.org/officeDocument/2006/relationships/image" Target="media/image5.png"/><Relationship Id="rId28" Type="http://schemas.openxmlformats.org/officeDocument/2006/relationships/hyperlink" Target="https://unsplash.com/@jeffsiepman?utm_source=unsplash&amp;utm_medium=referral&amp;utm_content=creditCopyText" TargetMode="External"/><Relationship Id="rId36" Type="http://schemas.openxmlformats.org/officeDocument/2006/relationships/header" Target="header3.xml"/><Relationship Id="rId10" Type="http://schemas.openxmlformats.org/officeDocument/2006/relationships/hyperlink" Target="https://www.kaggle.com/datasets/suraj9727/supply-chain-optimization-for-a-fmcg-company" TargetMode="External"/><Relationship Id="rId19" Type="http://schemas.openxmlformats.org/officeDocument/2006/relationships/chart" Target="charts/chart9.xml"/><Relationship Id="rId31" Type="http://schemas.openxmlformats.org/officeDocument/2006/relationships/hyperlink" Target="https://unsplash.com/photos/noodles-with-sliced-lemon-on-black-ceramic-bowl-RwAXb8Hv_sU?utm_source=unsplash&amp;utm_medium=referral&amp;utm_content=creditCopyText"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chart" Target="charts/chart4.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yperlink" Target="https://unsplash.com/@his_and?utm_source=unsplash&amp;utm_medium=referral&amp;utm_content=creditCopyText" TargetMode="External"/><Relationship Id="rId35" Type="http://schemas.openxmlformats.org/officeDocument/2006/relationships/footer" Target="footer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Orhine\Desktop\DA%20Loctech\Portfoilio%20Creation%20Projects\Sales%20FMCG\FMCG_data%20Work.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Orhine\Desktop\DA%20Loctech\Portfoilio%20Creation%20Projects\Sales%20FMCG\FMCG_data%20Work.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Orhine\Desktop\DA%20Loctech\Portfoilio%20Creation%20Projects\Sales%20FMCG\FMCG_data%20Work.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Orhine\Desktop\DA%20Loctech\Portfoilio%20Creation%20Projects\Sales%20FMCG\FMCG_data%20Work.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Orhine\Desktop\DA%20Loctech\Portfoilio%20Creation%20Projects\Sales%20FMCG\FMCG_data%20Work.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Orhine\Desktop\DA%20Loctech\Portfoilio%20Creation%20Projects\Sales%20FMCG\FMCG_data%20Work.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Orhine\Desktop\DA%20Loctech\Portfoilio%20Creation%20Projects\Sales%20FMCG\FMCG_data%20Work.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Orhine\Desktop\DA%20Loctech\Portfoilio%20Creation%20Projects\Sales%20FMCG\FMCG_data%20Work.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Orhine\Desktop\DA%20Loctech\Portfoilio%20Creation%20Projects\Sales%20FMCG\FMCG_data%20Work.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pivotSource>
    <c:name>[FMCG_data Work.xlsx]Analysis!PivotTable6</c:name>
    <c:fmtId val="-1"/>
  </c:pivotSource>
  <c:chart>
    <c:title>
      <c:tx>
        <c:rich>
          <a:bodyPr rot="0" spcFirstLastPara="1" vertOverflow="ellipsis" vert="horz" wrap="square" anchor="ctr" anchorCtr="1"/>
          <a:lstStyle/>
          <a:p>
            <a:pPr>
              <a:defRPr sz="1800" b="0" i="0" u="none" strike="noStrike" kern="1200" spc="0" baseline="0">
                <a:solidFill>
                  <a:srgbClr val="C00000"/>
                </a:solidFill>
                <a:latin typeface="Georgia" panose="02040502050405020303" pitchFamily="18" charset="0"/>
                <a:ea typeface="+mn-ea"/>
                <a:cs typeface="+mn-cs"/>
              </a:defRPr>
            </a:pPr>
            <a:r>
              <a:rPr lang="en-US" sz="1600">
                <a:solidFill>
                  <a:srgbClr val="C00000"/>
                </a:solidFill>
                <a:latin typeface="Georgia" panose="02040502050405020303" pitchFamily="18" charset="0"/>
              </a:rPr>
              <a:t>Warehouse</a:t>
            </a:r>
            <a:r>
              <a:rPr lang="en-US" sz="1600" baseline="0">
                <a:solidFill>
                  <a:srgbClr val="C00000"/>
                </a:solidFill>
                <a:latin typeface="Georgia" panose="02040502050405020303" pitchFamily="18" charset="0"/>
              </a:rPr>
              <a:t> Distribution and Avg Product ton by Capacity Size</a:t>
            </a:r>
            <a:endParaRPr lang="en-US" sz="1600">
              <a:solidFill>
                <a:srgbClr val="C00000"/>
              </a:solidFill>
              <a:latin typeface="Georgia" panose="02040502050405020303" pitchFamily="18" charset="0"/>
            </a:endParaRPr>
          </a:p>
        </c:rich>
      </c:tx>
      <c:layout>
        <c:manualLayout>
          <c:xMode val="edge"/>
          <c:yMode val="edge"/>
          <c:x val="0.13238811494717007"/>
          <c:y val="4.6892736046121604E-2"/>
        </c:manualLayout>
      </c:layout>
      <c:overlay val="0"/>
      <c:spPr>
        <a:noFill/>
        <a:ln>
          <a:noFill/>
        </a:ln>
        <a:effectLst/>
      </c:spPr>
      <c:txPr>
        <a:bodyPr rot="0" spcFirstLastPara="1" vertOverflow="ellipsis" vert="horz" wrap="square" anchor="ctr" anchorCtr="1"/>
        <a:lstStyle/>
        <a:p>
          <a:pPr>
            <a:defRPr sz="1800" b="0" i="0" u="none" strike="noStrike" kern="1200" spc="0" baseline="0">
              <a:solidFill>
                <a:srgbClr val="C00000"/>
              </a:solidFill>
              <a:latin typeface="Georgia" panose="02040502050405020303" pitchFamily="18" charset="0"/>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pivotFmt>
      <c:pivotFmt>
        <c:idx val="3"/>
        <c:spPr>
          <a:solidFill>
            <a:schemeClr val="accent1"/>
          </a:solidFill>
          <a:ln>
            <a:noFill/>
          </a:ln>
          <a:effectLst/>
        </c:spPr>
      </c:pivotFmt>
      <c:pivotFmt>
        <c:idx val="4"/>
        <c:spPr>
          <a:solidFill>
            <a:schemeClr val="accent1"/>
          </a:solidFill>
          <a:ln>
            <a:noFill/>
          </a:ln>
          <a:effectLst/>
        </c:spPr>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8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pivotFmt>
      <c:pivotFmt>
        <c:idx val="7"/>
        <c:spPr>
          <a:solidFill>
            <a:schemeClr val="accent1"/>
          </a:solidFill>
          <a:ln>
            <a:noFill/>
          </a:ln>
          <a:effectLst/>
        </c:spPr>
      </c:pivotFmt>
      <c:pivotFmt>
        <c:idx val="8"/>
        <c:spPr>
          <a:solidFill>
            <a:schemeClr val="accent1"/>
          </a:solidFill>
          <a:ln>
            <a:noFill/>
          </a:ln>
          <a:effectLst/>
        </c:spPr>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8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pivotFmt>
      <c:pivotFmt>
        <c:idx val="12"/>
        <c:spPr>
          <a:solidFill>
            <a:schemeClr val="accent1"/>
          </a:solidFill>
          <a:ln>
            <a:noFill/>
          </a:ln>
          <a:effectLst/>
        </c:spPr>
      </c:pivotFmt>
      <c:pivotFmt>
        <c:idx val="13"/>
        <c:spPr>
          <a:solidFill>
            <a:schemeClr val="accent1"/>
          </a:solidFill>
          <a:ln>
            <a:noFill/>
          </a:ln>
          <a:effectLst/>
        </c:spPr>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8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pivotFmt>
      <c:pivotFmt>
        <c:idx val="16"/>
        <c:spPr>
          <a:solidFill>
            <a:schemeClr val="accent1"/>
          </a:solidFill>
          <a:ln>
            <a:noFill/>
          </a:ln>
          <a:effectLst/>
        </c:spPr>
      </c:pivotFmt>
      <c:pivotFmt>
        <c:idx val="17"/>
        <c:spPr>
          <a:solidFill>
            <a:schemeClr val="accent1"/>
          </a:solidFill>
          <a:ln>
            <a:noFill/>
          </a:ln>
          <a:effectLst/>
        </c:spPr>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8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8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pivotFmt>
      <c:pivotFmt>
        <c:idx val="21"/>
        <c:spPr>
          <a:solidFill>
            <a:schemeClr val="accent1"/>
          </a:solidFill>
          <a:ln>
            <a:noFill/>
          </a:ln>
          <a:effectLst/>
        </c:spPr>
      </c:pivotFmt>
      <c:pivotFmt>
        <c:idx val="22"/>
        <c:spPr>
          <a:solidFill>
            <a:schemeClr val="accent1"/>
          </a:solidFill>
          <a:ln>
            <a:noFill/>
          </a:ln>
          <a:effectLst/>
        </c:spPr>
      </c:pivotFmt>
      <c:pivotFmt>
        <c:idx val="2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8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1"/>
        <c:ser>
          <c:idx val="0"/>
          <c:order val="0"/>
          <c:tx>
            <c:strRef>
              <c:f>Analysis!$J$3</c:f>
              <c:strCache>
                <c:ptCount val="1"/>
                <c:pt idx="0">
                  <c:v>Count of Ware_house_ID</c:v>
                </c:pt>
              </c:strCache>
            </c:strRef>
          </c:tx>
          <c:spPr>
            <a:solidFill>
              <a:schemeClr val="accent1">
                <a:lumMod val="60000"/>
                <a:lumOff val="40000"/>
              </a:schemeClr>
            </a:solidFill>
            <a:ln>
              <a:noFill/>
            </a:ln>
            <a:effectLst/>
          </c:spPr>
          <c:invertIfNegative val="0"/>
          <c:dPt>
            <c:idx val="0"/>
            <c:invertIfNegative val="0"/>
            <c:bubble3D val="0"/>
            <c:spPr>
              <a:solidFill>
                <a:schemeClr val="accent1">
                  <a:lumMod val="60000"/>
                  <a:lumOff val="40000"/>
                </a:schemeClr>
              </a:solidFill>
              <a:ln>
                <a:noFill/>
              </a:ln>
              <a:effectLst/>
            </c:spPr>
            <c:extLst>
              <c:ext xmlns:c16="http://schemas.microsoft.com/office/drawing/2014/chart" uri="{C3380CC4-5D6E-409C-BE32-E72D297353CC}">
                <c16:uniqueId val="{00000001-452E-400B-A261-4622FE7F61B7}"/>
              </c:ext>
            </c:extLst>
          </c:dPt>
          <c:dPt>
            <c:idx val="1"/>
            <c:invertIfNegative val="0"/>
            <c:bubble3D val="0"/>
            <c:spPr>
              <a:solidFill>
                <a:schemeClr val="accent1">
                  <a:lumMod val="60000"/>
                  <a:lumOff val="40000"/>
                </a:schemeClr>
              </a:solidFill>
              <a:ln>
                <a:noFill/>
              </a:ln>
              <a:effectLst/>
            </c:spPr>
            <c:extLst>
              <c:ext xmlns:c16="http://schemas.microsoft.com/office/drawing/2014/chart" uri="{C3380CC4-5D6E-409C-BE32-E72D297353CC}">
                <c16:uniqueId val="{00000003-452E-400B-A261-4622FE7F61B7}"/>
              </c:ext>
            </c:extLst>
          </c:dPt>
          <c:dPt>
            <c:idx val="2"/>
            <c:invertIfNegative val="0"/>
            <c:bubble3D val="0"/>
            <c:spPr>
              <a:solidFill>
                <a:schemeClr val="accent1">
                  <a:lumMod val="60000"/>
                  <a:lumOff val="40000"/>
                </a:schemeClr>
              </a:solidFill>
              <a:ln>
                <a:noFill/>
              </a:ln>
              <a:effectLst/>
            </c:spPr>
            <c:extLst>
              <c:ext xmlns:c16="http://schemas.microsoft.com/office/drawing/2014/chart" uri="{C3380CC4-5D6E-409C-BE32-E72D297353CC}">
                <c16:uniqueId val="{00000005-452E-400B-A261-4622FE7F61B7}"/>
              </c:ext>
            </c:extLst>
          </c:dPt>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Analysis!$I$4:$I$7</c:f>
              <c:strCache>
                <c:ptCount val="3"/>
                <c:pt idx="0">
                  <c:v>Small</c:v>
                </c:pt>
                <c:pt idx="1">
                  <c:v>Large</c:v>
                </c:pt>
                <c:pt idx="2">
                  <c:v>Mid</c:v>
                </c:pt>
              </c:strCache>
            </c:strRef>
          </c:cat>
          <c:val>
            <c:numRef>
              <c:f>Analysis!$J$4:$J$7</c:f>
              <c:numCache>
                <c:formatCode>[&gt;=1000000]\ #.##,,\ "M";[&gt;=1000]\ #.##,\ "K";#</c:formatCode>
                <c:ptCount val="3"/>
                <c:pt idx="0">
                  <c:v>4811</c:v>
                </c:pt>
                <c:pt idx="1">
                  <c:v>10169</c:v>
                </c:pt>
                <c:pt idx="2">
                  <c:v>10020</c:v>
                </c:pt>
              </c:numCache>
            </c:numRef>
          </c:val>
          <c:extLst>
            <c:ext xmlns:c16="http://schemas.microsoft.com/office/drawing/2014/chart" uri="{C3380CC4-5D6E-409C-BE32-E72D297353CC}">
              <c16:uniqueId val="{00000006-452E-400B-A261-4622FE7F61B7}"/>
            </c:ext>
          </c:extLst>
        </c:ser>
        <c:ser>
          <c:idx val="1"/>
          <c:order val="1"/>
          <c:tx>
            <c:strRef>
              <c:f>Analysis!$K$3</c:f>
              <c:strCache>
                <c:ptCount val="1"/>
                <c:pt idx="0">
                  <c:v>Average of product_wg_ton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Analysis!$I$4:$I$7</c:f>
              <c:strCache>
                <c:ptCount val="3"/>
                <c:pt idx="0">
                  <c:v>Small</c:v>
                </c:pt>
                <c:pt idx="1">
                  <c:v>Large</c:v>
                </c:pt>
                <c:pt idx="2">
                  <c:v>Mid</c:v>
                </c:pt>
              </c:strCache>
            </c:strRef>
          </c:cat>
          <c:val>
            <c:numRef>
              <c:f>Analysis!$K$4:$K$7</c:f>
              <c:numCache>
                <c:formatCode>[&gt;=1000000]\ #.##,,\ "M";[&gt;=1000]\ #.##,\ "K";#</c:formatCode>
                <c:ptCount val="3"/>
                <c:pt idx="0">
                  <c:v>21899.591561006029</c:v>
                </c:pt>
                <c:pt idx="1">
                  <c:v>22100.487855246338</c:v>
                </c:pt>
                <c:pt idx="2">
                  <c:v>22202.298103792415</c:v>
                </c:pt>
              </c:numCache>
            </c:numRef>
          </c:val>
          <c:extLst>
            <c:ext xmlns:c16="http://schemas.microsoft.com/office/drawing/2014/chart" uri="{C3380CC4-5D6E-409C-BE32-E72D297353CC}">
              <c16:uniqueId val="{00000007-452E-400B-A261-4622FE7F61B7}"/>
            </c:ext>
          </c:extLst>
        </c:ser>
        <c:dLbls>
          <c:dLblPos val="outEnd"/>
          <c:showLegendKey val="0"/>
          <c:showVal val="1"/>
          <c:showCatName val="0"/>
          <c:showSerName val="0"/>
          <c:showPercent val="0"/>
          <c:showBubbleSize val="0"/>
        </c:dLbls>
        <c:gapWidth val="182"/>
        <c:axId val="567316416"/>
        <c:axId val="567314976"/>
      </c:barChart>
      <c:catAx>
        <c:axId val="567316416"/>
        <c:scaling>
          <c:orientation val="minMax"/>
        </c:scaling>
        <c:delete val="0"/>
        <c:axPos val="l"/>
        <c:numFmt formatCode="General" sourceLinked="1"/>
        <c:majorTickMark val="none"/>
        <c:minorTickMark val="none"/>
        <c:tickLblPos val="nextTo"/>
        <c:spPr>
          <a:noFill/>
          <a:ln w="9525" cap="flat" cmpd="sng" algn="ctr">
            <a:solidFill>
              <a:srgbClr val="C00000"/>
            </a:solidFill>
            <a:round/>
          </a:ln>
          <a:effectLst/>
        </c:spPr>
        <c:txPr>
          <a:bodyPr rot="-60000000" spcFirstLastPara="1" vertOverflow="ellipsis" vert="horz" wrap="square" anchor="ctr" anchorCtr="1"/>
          <a:lstStyle/>
          <a:p>
            <a:pPr>
              <a:defRPr sz="1400" b="0" i="0" u="none" strike="noStrike" kern="1200" baseline="0">
                <a:solidFill>
                  <a:schemeClr val="tx1">
                    <a:lumMod val="65000"/>
                    <a:lumOff val="35000"/>
                  </a:schemeClr>
                </a:solidFill>
                <a:latin typeface="Georgia" panose="02040502050405020303" pitchFamily="18" charset="0"/>
                <a:ea typeface="+mn-ea"/>
                <a:cs typeface="+mn-cs"/>
              </a:defRPr>
            </a:pPr>
            <a:endParaRPr lang="en-US"/>
          </a:p>
        </c:txPr>
        <c:crossAx val="567314976"/>
        <c:crosses val="autoZero"/>
        <c:auto val="1"/>
        <c:lblAlgn val="ctr"/>
        <c:lblOffset val="100"/>
        <c:noMultiLvlLbl val="0"/>
      </c:catAx>
      <c:valAx>
        <c:axId val="567314976"/>
        <c:scaling>
          <c:orientation val="minMax"/>
        </c:scaling>
        <c:delete val="1"/>
        <c:axPos val="b"/>
        <c:numFmt formatCode="[&gt;=1000000]\ #.##,,\ &quot;M&quot;;[&gt;=1000]\ #.##,\ &quot;K&quot;;#" sourceLinked="1"/>
        <c:majorTickMark val="none"/>
        <c:minorTickMark val="none"/>
        <c:tickLblPos val="nextTo"/>
        <c:crossAx val="56731641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Georgia" panose="02040502050405020303" pitchFamily="18" charset="0"/>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2">
        <a:lumMod val="20000"/>
        <a:lumOff val="80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[FMCG_data Work.xlsx]Analysis!PivotTable2</c:name>
    <c:fmtId val="-1"/>
  </c:pivotSource>
  <c:chart>
    <c:title>
      <c:tx>
        <c:rich>
          <a:bodyPr rot="0" spcFirstLastPara="1" vertOverflow="ellipsis" vert="horz" wrap="square" anchor="ctr" anchorCtr="1"/>
          <a:lstStyle/>
          <a:p>
            <a:pPr>
              <a:defRPr sz="1600" b="0" i="0" u="none" strike="noStrike" kern="1200" spc="0" baseline="0">
                <a:solidFill>
                  <a:srgbClr val="C00000"/>
                </a:solidFill>
                <a:latin typeface="Georgia" panose="02040502050405020303" pitchFamily="18" charset="0"/>
                <a:ea typeface="+mn-ea"/>
                <a:cs typeface="+mn-cs"/>
              </a:defRPr>
            </a:pPr>
            <a:r>
              <a:rPr lang="en-US" sz="1600">
                <a:solidFill>
                  <a:srgbClr val="C00000"/>
                </a:solidFill>
                <a:latin typeface="Georgia" panose="02040502050405020303" pitchFamily="18" charset="0"/>
              </a:rPr>
              <a:t>Warehouse</a:t>
            </a:r>
            <a:r>
              <a:rPr lang="en-US" sz="1600" baseline="0">
                <a:solidFill>
                  <a:srgbClr val="C00000"/>
                </a:solidFill>
                <a:latin typeface="Georgia" panose="02040502050405020303" pitchFamily="18" charset="0"/>
              </a:rPr>
              <a:t> Distribution and Avg Product ton by Location</a:t>
            </a:r>
            <a:endParaRPr lang="en-US" sz="1600">
              <a:solidFill>
                <a:srgbClr val="C00000"/>
              </a:solidFill>
              <a:latin typeface="Georgia" panose="02040502050405020303" pitchFamily="18" charset="0"/>
            </a:endParaRPr>
          </a:p>
        </c:rich>
      </c:tx>
      <c:overlay val="0"/>
      <c:spPr>
        <a:noFill/>
        <a:ln>
          <a:noFill/>
        </a:ln>
        <a:effectLst/>
      </c:spPr>
      <c:txPr>
        <a:bodyPr rot="0" spcFirstLastPara="1" vertOverflow="ellipsis" vert="horz" wrap="square" anchor="ctr" anchorCtr="1"/>
        <a:lstStyle/>
        <a:p>
          <a:pPr>
            <a:defRPr sz="1600" b="0" i="0" u="none" strike="noStrike" kern="1200" spc="0" baseline="0">
              <a:solidFill>
                <a:srgbClr val="C00000"/>
              </a:solidFill>
              <a:latin typeface="Georgia" panose="02040502050405020303" pitchFamily="18" charset="0"/>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rgbClr val="EF6C00"/>
          </a:solidFill>
          <a:ln w="19050">
            <a:solidFill>
              <a:schemeClr val="lt1"/>
            </a:solidFill>
          </a:ln>
          <a:effectLst/>
        </c:spPr>
      </c:pivotFmt>
      <c:pivotFmt>
        <c:idx val="8"/>
        <c:spPr>
          <a:solidFill>
            <a:srgbClr val="FBC02D"/>
          </a:solidFill>
          <a:ln w="19050">
            <a:solidFill>
              <a:schemeClr val="lt1"/>
            </a:solidFill>
          </a:ln>
          <a:effectLst/>
        </c:spPr>
        <c:dLbl>
          <c:idx val="0"/>
          <c:layout>
            <c:manualLayout>
              <c:x val="5.9810156869240731E-2"/>
              <c:y val="0.11713415313426312"/>
            </c:manualLayout>
          </c:layout>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0"/>
        <c:spPr>
          <a:solidFill>
            <a:srgbClr val="EF6C00"/>
          </a:solidFill>
          <a:ln w="19050">
            <a:solidFill>
              <a:schemeClr val="lt1"/>
            </a:solidFill>
          </a:ln>
          <a:effectLst/>
        </c:spPr>
        <c:dLbl>
          <c:idx val="0"/>
          <c:layout>
            <c:manualLayout>
              <c:x val="6.3438223857607459E-2"/>
              <c:y val="0.16560050592910472"/>
            </c:manualLayout>
          </c:layout>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4"/>
          </a:solidFill>
          <a:ln w="19050">
            <a:solidFill>
              <a:schemeClr val="lt1"/>
            </a:solidFill>
          </a:ln>
          <a:effectLst/>
        </c:spPr>
        <c:dLbl>
          <c:idx val="0"/>
          <c:layout>
            <c:manualLayout>
              <c:x val="-7.8805654525891763E-2"/>
              <c:y val="-0.1656005059291048"/>
            </c:manualLayout>
          </c:layout>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3"/>
        <c:spPr>
          <a:solidFill>
            <a:srgbClr val="EF6C00"/>
          </a:solidFill>
          <a:ln w="19050">
            <a:solidFill>
              <a:schemeClr val="lt1"/>
            </a:solidFill>
          </a:ln>
          <a:effectLst/>
        </c:spPr>
      </c:pivotFmt>
      <c:pivotFmt>
        <c:idx val="14"/>
        <c:spPr>
          <a:solidFill>
            <a:srgbClr val="FBC02D"/>
          </a:solidFill>
          <a:ln w="19050">
            <a:solidFill>
              <a:schemeClr val="lt1"/>
            </a:solidFill>
          </a:ln>
          <a:effectLst/>
        </c:spPr>
        <c:dLbl>
          <c:idx val="0"/>
          <c:layout>
            <c:manualLayout>
              <c:x val="5.9810156869240731E-2"/>
              <c:y val="0.11713415313426312"/>
            </c:manualLayout>
          </c:layout>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6"/>
        <c:spPr>
          <a:solidFill>
            <a:srgbClr val="EF6C00"/>
          </a:solidFill>
          <a:ln w="19050">
            <a:solidFill>
              <a:schemeClr val="lt1"/>
            </a:solidFill>
          </a:ln>
          <a:effectLst/>
        </c:spPr>
        <c:dLbl>
          <c:idx val="0"/>
          <c:layout>
            <c:manualLayout>
              <c:x val="6.3438223857607459E-2"/>
              <c:y val="0.16560050592910472"/>
            </c:manualLayout>
          </c:layout>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4"/>
          </a:solidFill>
          <a:ln w="19050">
            <a:solidFill>
              <a:schemeClr val="lt1"/>
            </a:solidFill>
          </a:ln>
          <a:effectLst/>
        </c:spPr>
        <c:dLbl>
          <c:idx val="0"/>
          <c:layout>
            <c:manualLayout>
              <c:x val="-7.8805654525891763E-2"/>
              <c:y val="-0.1656005059291048"/>
            </c:manualLayout>
          </c:layout>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9"/>
        <c:spPr>
          <a:solidFill>
            <a:srgbClr val="EF6C00"/>
          </a:solidFill>
          <a:ln w="19050">
            <a:solidFill>
              <a:schemeClr val="lt1"/>
            </a:solidFill>
          </a:ln>
          <a:effectLst/>
        </c:spPr>
      </c:pivotFmt>
      <c:pivotFmt>
        <c:idx val="20"/>
        <c:spPr>
          <a:solidFill>
            <a:srgbClr val="FBC02D"/>
          </a:solidFill>
          <a:ln w="19050">
            <a:solidFill>
              <a:schemeClr val="lt1"/>
            </a:solidFill>
          </a:ln>
          <a:effectLst/>
        </c:spPr>
        <c:dLbl>
          <c:idx val="0"/>
          <c:layout>
            <c:manualLayout>
              <c:x val="5.9810156869240731E-2"/>
              <c:y val="0.11713415313426312"/>
            </c:manualLayout>
          </c:layout>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2"/>
        <c:spPr>
          <a:solidFill>
            <a:srgbClr val="EF6C00"/>
          </a:solidFill>
          <a:ln w="19050">
            <a:solidFill>
              <a:schemeClr val="lt1"/>
            </a:solidFill>
          </a:ln>
          <a:effectLst/>
        </c:spPr>
        <c:dLbl>
          <c:idx val="0"/>
          <c:layout>
            <c:manualLayout>
              <c:x val="6.3438223857607459E-2"/>
              <c:y val="0.16560050592910472"/>
            </c:manualLayout>
          </c:layout>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4"/>
          </a:solidFill>
          <a:ln w="19050">
            <a:solidFill>
              <a:schemeClr val="lt1"/>
            </a:solidFill>
          </a:ln>
          <a:effectLst/>
        </c:spPr>
        <c:dLbl>
          <c:idx val="0"/>
          <c:layout>
            <c:manualLayout>
              <c:x val="-7.8805654525891763E-2"/>
              <c:y val="-0.1656005059291048"/>
            </c:manualLayout>
          </c:layout>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doughnutChart>
        <c:varyColors val="1"/>
        <c:ser>
          <c:idx val="0"/>
          <c:order val="0"/>
          <c:tx>
            <c:strRef>
              <c:f>Analysis!$B$3</c:f>
              <c:strCache>
                <c:ptCount val="1"/>
                <c:pt idx="0">
                  <c:v>Count of Ware_house_ID</c:v>
                </c:pt>
              </c:strCache>
            </c:strRef>
          </c:tx>
          <c:dPt>
            <c:idx val="0"/>
            <c:bubble3D val="0"/>
            <c:spPr>
              <a:solidFill>
                <a:srgbClr val="EF6C00"/>
              </a:solidFill>
              <a:ln w="19050">
                <a:solidFill>
                  <a:schemeClr val="lt1"/>
                </a:solidFill>
              </a:ln>
              <a:effectLst/>
            </c:spPr>
            <c:extLst>
              <c:ext xmlns:c16="http://schemas.microsoft.com/office/drawing/2014/chart" uri="{C3380CC4-5D6E-409C-BE32-E72D297353CC}">
                <c16:uniqueId val="{00000001-3EE1-46BA-877A-CCC91EF7EF5C}"/>
              </c:ext>
            </c:extLst>
          </c:dPt>
          <c:dPt>
            <c:idx val="1"/>
            <c:bubble3D val="0"/>
            <c:spPr>
              <a:solidFill>
                <a:schemeClr val="accent1">
                  <a:lumMod val="60000"/>
                  <a:lumOff val="40000"/>
                </a:schemeClr>
              </a:solidFill>
              <a:ln w="19050">
                <a:solidFill>
                  <a:schemeClr val="lt1"/>
                </a:solidFill>
              </a:ln>
              <a:effectLst/>
            </c:spPr>
            <c:extLst>
              <c:ext xmlns:c16="http://schemas.microsoft.com/office/drawing/2014/chart" uri="{C3380CC4-5D6E-409C-BE32-E72D297353CC}">
                <c16:uniqueId val="{00000003-3EE1-46BA-877A-CCC91EF7EF5C}"/>
              </c:ext>
            </c:extLst>
          </c:dPt>
          <c:dLbls>
            <c:dLbl>
              <c:idx val="1"/>
              <c:layout>
                <c:manualLayout>
                  <c:x val="5.9810156869240731E-2"/>
                  <c:y val="0.1171341531342631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EE1-46BA-877A-CCC91EF7EF5C}"/>
                </c:ext>
              </c:extLst>
            </c:dLbl>
            <c:spPr>
              <a:noFill/>
              <a:ln>
                <a:noFill/>
              </a:ln>
              <a:effectLst/>
            </c:spPr>
            <c:txPr>
              <a:bodyPr rot="0" spcFirstLastPara="1" vertOverflow="ellipsis" vert="horz" wrap="square" lIns="38100" tIns="19050" rIns="38100" bIns="19050" anchor="ctr" anchorCtr="1">
                <a:spAutoFit/>
              </a:bodyPr>
              <a:lstStyle/>
              <a:p>
                <a:pPr>
                  <a:defRPr sz="14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Analysis!$A$4:$A$6</c:f>
              <c:strCache>
                <c:ptCount val="2"/>
                <c:pt idx="0">
                  <c:v>Rural</c:v>
                </c:pt>
                <c:pt idx="1">
                  <c:v>Urban</c:v>
                </c:pt>
              </c:strCache>
            </c:strRef>
          </c:cat>
          <c:val>
            <c:numRef>
              <c:f>Analysis!$B$4:$B$6</c:f>
              <c:numCache>
                <c:formatCode>0.00%</c:formatCode>
                <c:ptCount val="2"/>
                <c:pt idx="0">
                  <c:v>0.91827999999999999</c:v>
                </c:pt>
                <c:pt idx="1">
                  <c:v>8.1720000000000001E-2</c:v>
                </c:pt>
              </c:numCache>
            </c:numRef>
          </c:val>
          <c:extLst>
            <c:ext xmlns:c16="http://schemas.microsoft.com/office/drawing/2014/chart" uri="{C3380CC4-5D6E-409C-BE32-E72D297353CC}">
              <c16:uniqueId val="{00000004-3EE1-46BA-877A-CCC91EF7EF5C}"/>
            </c:ext>
          </c:extLst>
        </c:ser>
        <c:ser>
          <c:idx val="1"/>
          <c:order val="1"/>
          <c:tx>
            <c:strRef>
              <c:f>Analysis!$C$3</c:f>
              <c:strCache>
                <c:ptCount val="1"/>
                <c:pt idx="0">
                  <c:v>Average of product_wg_ton</c:v>
                </c:pt>
              </c:strCache>
            </c:strRef>
          </c:tx>
          <c:dPt>
            <c:idx val="0"/>
            <c:bubble3D val="0"/>
            <c:spPr>
              <a:solidFill>
                <a:srgbClr val="EF6C00"/>
              </a:solidFill>
              <a:ln w="19050">
                <a:solidFill>
                  <a:schemeClr val="lt1"/>
                </a:solidFill>
              </a:ln>
              <a:effectLst/>
            </c:spPr>
            <c:extLst>
              <c:ext xmlns:c16="http://schemas.microsoft.com/office/drawing/2014/chart" uri="{C3380CC4-5D6E-409C-BE32-E72D297353CC}">
                <c16:uniqueId val="{00000006-3EE1-46BA-877A-CCC91EF7EF5C}"/>
              </c:ext>
            </c:extLst>
          </c:dPt>
          <c:dPt>
            <c:idx val="1"/>
            <c:bubble3D val="0"/>
            <c:spPr>
              <a:solidFill>
                <a:schemeClr val="accent1">
                  <a:lumMod val="60000"/>
                  <a:lumOff val="40000"/>
                </a:schemeClr>
              </a:solidFill>
              <a:ln w="19050">
                <a:solidFill>
                  <a:schemeClr val="lt1"/>
                </a:solidFill>
              </a:ln>
              <a:effectLst/>
            </c:spPr>
            <c:extLst>
              <c:ext xmlns:c16="http://schemas.microsoft.com/office/drawing/2014/chart" uri="{C3380CC4-5D6E-409C-BE32-E72D297353CC}">
                <c16:uniqueId val="{00000008-3EE1-46BA-877A-CCC91EF7EF5C}"/>
              </c:ext>
            </c:extLst>
          </c:dPt>
          <c:dLbls>
            <c:dLbl>
              <c:idx val="0"/>
              <c:layout>
                <c:manualLayout>
                  <c:x val="6.3438223857607459E-2"/>
                  <c:y val="0.1656005059291047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3EE1-46BA-877A-CCC91EF7EF5C}"/>
                </c:ext>
              </c:extLst>
            </c:dLbl>
            <c:dLbl>
              <c:idx val="1"/>
              <c:layout>
                <c:manualLayout>
                  <c:x val="-7.8805654525891763E-2"/>
                  <c:y val="-0.165600505929104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3EE1-46BA-877A-CCC91EF7EF5C}"/>
                </c:ext>
              </c:extLst>
            </c:dLbl>
            <c:spPr>
              <a:noFill/>
              <a:ln>
                <a:noFill/>
              </a:ln>
              <a:effectLst/>
            </c:spPr>
            <c:txPr>
              <a:bodyPr rot="0" spcFirstLastPara="1" vertOverflow="ellipsis" vert="horz" wrap="square" lIns="38100" tIns="19050" rIns="38100" bIns="19050" anchor="ctr" anchorCtr="1">
                <a:spAutoFit/>
              </a:bodyPr>
              <a:lstStyle/>
              <a:p>
                <a:pPr>
                  <a:defRPr sz="14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Analysis!$A$4:$A$6</c:f>
              <c:strCache>
                <c:ptCount val="2"/>
                <c:pt idx="0">
                  <c:v>Rural</c:v>
                </c:pt>
                <c:pt idx="1">
                  <c:v>Urban</c:v>
                </c:pt>
              </c:strCache>
            </c:strRef>
          </c:cat>
          <c:val>
            <c:numRef>
              <c:f>Analysis!$C$4:$C$6</c:f>
              <c:numCache>
                <c:formatCode>[&gt;=1000000]\ #.##,,\ "M";[&gt;=1000]\ #.##,\ "K";#</c:formatCode>
                <c:ptCount val="2"/>
                <c:pt idx="0">
                  <c:v>21844.43010846365</c:v>
                </c:pt>
                <c:pt idx="1">
                  <c:v>25004.033773861967</c:v>
                </c:pt>
              </c:numCache>
            </c:numRef>
          </c:val>
          <c:extLst>
            <c:ext xmlns:c16="http://schemas.microsoft.com/office/drawing/2014/chart" uri="{C3380CC4-5D6E-409C-BE32-E72D297353CC}">
              <c16:uniqueId val="{00000009-3EE1-46BA-877A-CCC91EF7EF5C}"/>
            </c:ext>
          </c:extLst>
        </c:ser>
        <c:dLbls>
          <c:showLegendKey val="0"/>
          <c:showVal val="1"/>
          <c:showCatName val="0"/>
          <c:showSerName val="0"/>
          <c:showPercent val="0"/>
          <c:showBubbleSize val="0"/>
          <c:showLeaderLines val="1"/>
        </c:dLbls>
        <c:firstSliceAng val="0"/>
        <c:holeSize val="50"/>
      </c:doughnutChart>
      <c:spPr>
        <a:noFill/>
        <a:ln>
          <a:noFill/>
        </a:ln>
        <a:effectLst/>
      </c:spPr>
    </c:plotArea>
    <c:legend>
      <c:legendPos val="r"/>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Georgia" panose="02040502050405020303" pitchFamily="18" charset="0"/>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2">
        <a:lumMod val="20000"/>
        <a:lumOff val="80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[FMCG_data Work.xlsx]Analysis!PivotTable3</c:name>
    <c:fmtId val="-1"/>
  </c:pivotSource>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mn-lt"/>
                <a:ea typeface="+mn-ea"/>
                <a:cs typeface="+mn-cs"/>
              </a:defRPr>
            </a:pPr>
            <a:r>
              <a:rPr lang="en-US" sz="1600">
                <a:solidFill>
                  <a:srgbClr val="C00000"/>
                </a:solidFill>
                <a:latin typeface="Georgia" panose="02040502050405020303" pitchFamily="18" charset="0"/>
              </a:rPr>
              <a:t>Warehouse Distibution by Zone</a:t>
            </a:r>
          </a:p>
        </c:rich>
      </c:tx>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2"/>
          </a:solidFill>
          <a:ln>
            <a:noFill/>
          </a:ln>
          <a:effectLst/>
        </c:spPr>
      </c:pivotFmt>
      <c:pivotFmt>
        <c:idx val="3"/>
        <c:spPr>
          <a:solidFill>
            <a:schemeClr val="accent2"/>
          </a:solidFill>
          <a:ln>
            <a:noFill/>
          </a:ln>
          <a:effectLst/>
        </c:spPr>
      </c:pivotFmt>
      <c:pivotFmt>
        <c:idx val="4"/>
        <c:spPr>
          <a:solidFill>
            <a:schemeClr val="accent2"/>
          </a:solidFill>
          <a:ln>
            <a:noFill/>
          </a:ln>
          <a:effectLst/>
        </c:spPr>
      </c:pivotFmt>
      <c:pivotFmt>
        <c:idx val="5"/>
        <c:spPr>
          <a:solidFill>
            <a:schemeClr val="accent2"/>
          </a:solidFill>
          <a:ln>
            <a:noFill/>
          </a:ln>
          <a:effectLst/>
        </c:spPr>
      </c:pivotFmt>
      <c:pivotFmt>
        <c:idx val="6"/>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8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2"/>
          </a:solidFill>
          <a:ln>
            <a:noFill/>
          </a:ln>
          <a:effectLst/>
        </c:spPr>
      </c:pivotFmt>
      <c:pivotFmt>
        <c:idx val="8"/>
        <c:spPr>
          <a:solidFill>
            <a:schemeClr val="accent2"/>
          </a:solidFill>
          <a:ln>
            <a:noFill/>
          </a:ln>
          <a:effectLst/>
        </c:spPr>
      </c:pivotFmt>
      <c:pivotFmt>
        <c:idx val="9"/>
        <c:spPr>
          <a:solidFill>
            <a:schemeClr val="accent2"/>
          </a:solidFill>
          <a:ln>
            <a:noFill/>
          </a:ln>
          <a:effectLst/>
        </c:spPr>
      </c:pivotFmt>
      <c:pivotFmt>
        <c:idx val="10"/>
        <c:spPr>
          <a:solidFill>
            <a:schemeClr val="accent2"/>
          </a:solidFill>
          <a:ln>
            <a:noFill/>
          </a:ln>
          <a:effectLst/>
        </c:spPr>
      </c:pivotFmt>
      <c:pivotFmt>
        <c:idx val="11"/>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8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2"/>
          </a:solidFill>
          <a:ln>
            <a:noFill/>
          </a:ln>
          <a:effectLst/>
        </c:spPr>
      </c:pivotFmt>
      <c:pivotFmt>
        <c:idx val="13"/>
        <c:spPr>
          <a:solidFill>
            <a:schemeClr val="accent2"/>
          </a:solidFill>
          <a:ln>
            <a:noFill/>
          </a:ln>
          <a:effectLst/>
        </c:spPr>
      </c:pivotFmt>
      <c:pivotFmt>
        <c:idx val="14"/>
        <c:spPr>
          <a:solidFill>
            <a:schemeClr val="accent2"/>
          </a:solidFill>
          <a:ln>
            <a:noFill/>
          </a:ln>
          <a:effectLst/>
        </c:spPr>
      </c:pivotFmt>
      <c:pivotFmt>
        <c:idx val="15"/>
        <c:spPr>
          <a:solidFill>
            <a:schemeClr val="accent2"/>
          </a:solidFill>
          <a:ln>
            <a:noFill/>
          </a:ln>
          <a:effectLst/>
        </c:spPr>
      </c:pivotFmt>
      <c:pivotFmt>
        <c:idx val="16"/>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8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2"/>
          </a:solidFill>
          <a:ln>
            <a:noFill/>
          </a:ln>
          <a:effectLst/>
        </c:spPr>
      </c:pivotFmt>
      <c:pivotFmt>
        <c:idx val="18"/>
        <c:spPr>
          <a:solidFill>
            <a:schemeClr val="accent2"/>
          </a:solidFill>
          <a:ln>
            <a:noFill/>
          </a:ln>
          <a:effectLst/>
        </c:spPr>
      </c:pivotFmt>
      <c:pivotFmt>
        <c:idx val="19"/>
        <c:spPr>
          <a:solidFill>
            <a:schemeClr val="accent2"/>
          </a:solidFill>
          <a:ln>
            <a:noFill/>
          </a:ln>
          <a:effectLst/>
        </c:spPr>
      </c:pivotFmt>
      <c:pivotFmt>
        <c:idx val="20"/>
        <c:spPr>
          <a:solidFill>
            <a:schemeClr val="accent2"/>
          </a:solidFill>
          <a:ln>
            <a:noFill/>
          </a:ln>
          <a:effectLst/>
        </c:spPr>
      </c:pivotFmt>
    </c:pivotFmts>
    <c:plotArea>
      <c:layout/>
      <c:barChart>
        <c:barDir val="col"/>
        <c:grouping val="clustered"/>
        <c:varyColors val="1"/>
        <c:ser>
          <c:idx val="0"/>
          <c:order val="0"/>
          <c:tx>
            <c:strRef>
              <c:f>Analysis!$F$3</c:f>
              <c:strCache>
                <c:ptCount val="1"/>
                <c:pt idx="0">
                  <c:v>Total</c:v>
                </c:pt>
              </c:strCache>
            </c:strRef>
          </c:tx>
          <c:invertIfNegative val="0"/>
          <c:dPt>
            <c:idx val="0"/>
            <c:invertIfNegative val="0"/>
            <c:bubble3D val="0"/>
            <c:spPr>
              <a:solidFill>
                <a:schemeClr val="accent2">
                  <a:tint val="58000"/>
                </a:schemeClr>
              </a:solidFill>
              <a:ln>
                <a:noFill/>
              </a:ln>
              <a:effectLst/>
            </c:spPr>
            <c:extLst>
              <c:ext xmlns:c16="http://schemas.microsoft.com/office/drawing/2014/chart" uri="{C3380CC4-5D6E-409C-BE32-E72D297353CC}">
                <c16:uniqueId val="{00000001-38BD-4684-8CBB-B6951AA38671}"/>
              </c:ext>
            </c:extLst>
          </c:dPt>
          <c:dPt>
            <c:idx val="1"/>
            <c:invertIfNegative val="0"/>
            <c:bubble3D val="0"/>
            <c:spPr>
              <a:solidFill>
                <a:schemeClr val="accent1"/>
              </a:solidFill>
              <a:ln>
                <a:noFill/>
              </a:ln>
              <a:effectLst/>
            </c:spPr>
            <c:extLst>
              <c:ext xmlns:c16="http://schemas.microsoft.com/office/drawing/2014/chart" uri="{C3380CC4-5D6E-409C-BE32-E72D297353CC}">
                <c16:uniqueId val="{00000003-38BD-4684-8CBB-B6951AA38671}"/>
              </c:ext>
            </c:extLst>
          </c:dPt>
          <c:dPt>
            <c:idx val="2"/>
            <c:invertIfNegative val="0"/>
            <c:bubble3D val="0"/>
            <c:spPr>
              <a:solidFill>
                <a:schemeClr val="accent2">
                  <a:shade val="86000"/>
                </a:schemeClr>
              </a:solidFill>
              <a:ln>
                <a:noFill/>
              </a:ln>
              <a:effectLst/>
            </c:spPr>
            <c:extLst>
              <c:ext xmlns:c16="http://schemas.microsoft.com/office/drawing/2014/chart" uri="{C3380CC4-5D6E-409C-BE32-E72D297353CC}">
                <c16:uniqueId val="{00000005-38BD-4684-8CBB-B6951AA38671}"/>
              </c:ext>
            </c:extLst>
          </c:dPt>
          <c:dPt>
            <c:idx val="3"/>
            <c:invertIfNegative val="0"/>
            <c:bubble3D val="0"/>
            <c:spPr>
              <a:solidFill>
                <a:schemeClr val="accent2">
                  <a:shade val="58000"/>
                </a:schemeClr>
              </a:solidFill>
              <a:ln>
                <a:noFill/>
              </a:ln>
              <a:effectLst/>
            </c:spPr>
            <c:extLst>
              <c:ext xmlns:c16="http://schemas.microsoft.com/office/drawing/2014/chart" uri="{C3380CC4-5D6E-409C-BE32-E72D297353CC}">
                <c16:uniqueId val="{00000007-38BD-4684-8CBB-B6951AA38671}"/>
              </c:ext>
            </c:extLst>
          </c:dPt>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Analysis!$E$4:$E$8</c:f>
              <c:strCache>
                <c:ptCount val="4"/>
                <c:pt idx="0">
                  <c:v>East</c:v>
                </c:pt>
                <c:pt idx="1">
                  <c:v>North</c:v>
                </c:pt>
                <c:pt idx="2">
                  <c:v>South</c:v>
                </c:pt>
                <c:pt idx="3">
                  <c:v>West</c:v>
                </c:pt>
              </c:strCache>
            </c:strRef>
          </c:cat>
          <c:val>
            <c:numRef>
              <c:f>Analysis!$F$4:$F$8</c:f>
              <c:numCache>
                <c:formatCode>[&gt;=1000000]\ #.##,,\ "M";[&gt;=1000]\ #.##,\ "K";#</c:formatCode>
                <c:ptCount val="4"/>
                <c:pt idx="0">
                  <c:v>429</c:v>
                </c:pt>
                <c:pt idx="1">
                  <c:v>10278</c:v>
                </c:pt>
                <c:pt idx="2">
                  <c:v>6362</c:v>
                </c:pt>
                <c:pt idx="3">
                  <c:v>7931</c:v>
                </c:pt>
              </c:numCache>
            </c:numRef>
          </c:val>
          <c:extLst>
            <c:ext xmlns:c16="http://schemas.microsoft.com/office/drawing/2014/chart" uri="{C3380CC4-5D6E-409C-BE32-E72D297353CC}">
              <c16:uniqueId val="{00000008-38BD-4684-8CBB-B6951AA38671}"/>
            </c:ext>
          </c:extLst>
        </c:ser>
        <c:dLbls>
          <c:dLblPos val="outEnd"/>
          <c:showLegendKey val="0"/>
          <c:showVal val="1"/>
          <c:showCatName val="0"/>
          <c:showSerName val="0"/>
          <c:showPercent val="0"/>
          <c:showBubbleSize val="0"/>
        </c:dLbls>
        <c:gapWidth val="219"/>
        <c:overlap val="-27"/>
        <c:axId val="567327216"/>
        <c:axId val="567328656"/>
      </c:barChart>
      <c:catAx>
        <c:axId val="567327216"/>
        <c:scaling>
          <c:orientation val="minMax"/>
        </c:scaling>
        <c:delete val="0"/>
        <c:axPos val="b"/>
        <c:numFmt formatCode="General" sourceLinked="1"/>
        <c:majorTickMark val="none"/>
        <c:minorTickMark val="none"/>
        <c:tickLblPos val="nextTo"/>
        <c:spPr>
          <a:noFill/>
          <a:ln w="9525" cap="flat" cmpd="sng" algn="ctr">
            <a:solidFill>
              <a:srgbClr val="C00000"/>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Georgia" panose="02040502050405020303" pitchFamily="18" charset="0"/>
                <a:ea typeface="+mn-ea"/>
                <a:cs typeface="+mn-cs"/>
              </a:defRPr>
            </a:pPr>
            <a:endParaRPr lang="en-US"/>
          </a:p>
        </c:txPr>
        <c:crossAx val="567328656"/>
        <c:crosses val="autoZero"/>
        <c:auto val="1"/>
        <c:lblAlgn val="ctr"/>
        <c:lblOffset val="100"/>
        <c:noMultiLvlLbl val="0"/>
      </c:catAx>
      <c:valAx>
        <c:axId val="567328656"/>
        <c:scaling>
          <c:orientation val="minMax"/>
        </c:scaling>
        <c:delete val="1"/>
        <c:axPos val="l"/>
        <c:numFmt formatCode="[&gt;=1000000]\ #.##,,\ &quot;M&quot;;[&gt;=1000]\ #.##,\ &quot;K&quot;;#" sourceLinked="1"/>
        <c:majorTickMark val="none"/>
        <c:minorTickMark val="none"/>
        <c:tickLblPos val="nextTo"/>
        <c:crossAx val="56732721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Georgia" panose="02040502050405020303" pitchFamily="18" charset="0"/>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2">
        <a:lumMod val="20000"/>
        <a:lumOff val="80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[FMCG_data Work.xlsx]Analysis!PivotTable12</c:name>
    <c:fmtId val="-1"/>
  </c:pivotSource>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Georgia" panose="02040502050405020303" pitchFamily="18" charset="0"/>
                <a:ea typeface="+mn-ea"/>
                <a:cs typeface="+mn-cs"/>
              </a:defRPr>
            </a:pPr>
            <a:r>
              <a:rPr lang="en-US" sz="1600">
                <a:latin typeface="Georgia" panose="02040502050405020303" pitchFamily="18" charset="0"/>
              </a:rPr>
              <a:t>Average</a:t>
            </a:r>
            <a:r>
              <a:rPr lang="en-US" sz="1600" baseline="0">
                <a:latin typeface="Georgia" panose="02040502050405020303" pitchFamily="18" charset="0"/>
              </a:rPr>
              <a:t> Product ton delivered by Zone </a:t>
            </a:r>
            <a:endParaRPr lang="en-US" sz="1600">
              <a:latin typeface="Georgia" panose="02040502050405020303" pitchFamily="18" charset="0"/>
            </a:endParaRPr>
          </a:p>
        </c:rich>
      </c:tx>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Georgia" panose="02040502050405020303" pitchFamily="18" charset="0"/>
              <a:ea typeface="+mn-ea"/>
              <a:cs typeface="+mn-cs"/>
            </a:defRPr>
          </a:pPr>
          <a:endParaRPr lang="en-US"/>
        </a:p>
      </c:txPr>
    </c:title>
    <c:autoTitleDeleted val="0"/>
    <c:pivotFmts>
      <c:pivotFmt>
        <c:idx val="0"/>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2"/>
          </a:solidFill>
          <a:ln>
            <a:noFill/>
          </a:ln>
          <a:effectLst/>
        </c:spPr>
      </c:pivotFmt>
      <c:pivotFmt>
        <c:idx val="3"/>
        <c:spPr>
          <a:solidFill>
            <a:schemeClr val="accent2"/>
          </a:solidFill>
          <a:ln>
            <a:noFill/>
          </a:ln>
          <a:effectLst/>
        </c:spPr>
      </c:pivotFmt>
      <c:pivotFmt>
        <c:idx val="4"/>
        <c:spPr>
          <a:solidFill>
            <a:schemeClr val="accent2"/>
          </a:solidFill>
          <a:ln>
            <a:noFill/>
          </a:ln>
          <a:effectLst/>
        </c:spPr>
      </c:pivotFmt>
      <c:pivotFmt>
        <c:idx val="5"/>
        <c:spPr>
          <a:solidFill>
            <a:schemeClr val="accent2"/>
          </a:solidFill>
          <a:ln>
            <a:noFill/>
          </a:ln>
          <a:effectLst/>
        </c:spPr>
      </c:pivotFmt>
      <c:pivotFmt>
        <c:idx val="6"/>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8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2"/>
          </a:solidFill>
          <a:ln>
            <a:noFill/>
          </a:ln>
          <a:effectLst/>
        </c:spPr>
      </c:pivotFmt>
      <c:pivotFmt>
        <c:idx val="8"/>
        <c:spPr>
          <a:solidFill>
            <a:schemeClr val="accent2"/>
          </a:solidFill>
          <a:ln>
            <a:noFill/>
          </a:ln>
          <a:effectLst/>
        </c:spPr>
      </c:pivotFmt>
      <c:pivotFmt>
        <c:idx val="9"/>
        <c:spPr>
          <a:solidFill>
            <a:schemeClr val="accent2"/>
          </a:solidFill>
          <a:ln>
            <a:noFill/>
          </a:ln>
          <a:effectLst/>
        </c:spPr>
      </c:pivotFmt>
      <c:pivotFmt>
        <c:idx val="10"/>
        <c:spPr>
          <a:solidFill>
            <a:schemeClr val="accent2"/>
          </a:solidFill>
          <a:ln>
            <a:noFill/>
          </a:ln>
          <a:effectLst/>
        </c:spPr>
      </c:pivotFmt>
      <c:pivotFmt>
        <c:idx val="11"/>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8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2"/>
          </a:solidFill>
          <a:ln>
            <a:noFill/>
          </a:ln>
          <a:effectLst/>
        </c:spPr>
      </c:pivotFmt>
      <c:pivotFmt>
        <c:idx val="13"/>
        <c:spPr>
          <a:solidFill>
            <a:schemeClr val="accent2"/>
          </a:solidFill>
          <a:ln>
            <a:noFill/>
          </a:ln>
          <a:effectLst/>
        </c:spPr>
      </c:pivotFmt>
      <c:pivotFmt>
        <c:idx val="14"/>
        <c:spPr>
          <a:solidFill>
            <a:schemeClr val="accent2"/>
          </a:solidFill>
          <a:ln>
            <a:noFill/>
          </a:ln>
          <a:effectLst/>
        </c:spPr>
      </c:pivotFmt>
      <c:pivotFmt>
        <c:idx val="15"/>
        <c:spPr>
          <a:solidFill>
            <a:schemeClr val="accent2"/>
          </a:solidFill>
          <a:ln>
            <a:noFill/>
          </a:ln>
          <a:effectLst/>
        </c:spPr>
      </c:pivotFmt>
      <c:pivotFmt>
        <c:idx val="16"/>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8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2"/>
          </a:solidFill>
          <a:ln>
            <a:noFill/>
          </a:ln>
          <a:effectLst/>
        </c:spPr>
      </c:pivotFmt>
      <c:pivotFmt>
        <c:idx val="18"/>
        <c:spPr>
          <a:solidFill>
            <a:schemeClr val="accent2"/>
          </a:solidFill>
          <a:ln>
            <a:noFill/>
          </a:ln>
          <a:effectLst/>
        </c:spPr>
      </c:pivotFmt>
      <c:pivotFmt>
        <c:idx val="19"/>
        <c:spPr>
          <a:solidFill>
            <a:schemeClr val="accent2"/>
          </a:solidFill>
          <a:ln>
            <a:noFill/>
          </a:ln>
          <a:effectLst/>
        </c:spPr>
      </c:pivotFmt>
      <c:pivotFmt>
        <c:idx val="20"/>
        <c:spPr>
          <a:solidFill>
            <a:schemeClr val="accent2"/>
          </a:solidFill>
          <a:ln>
            <a:noFill/>
          </a:ln>
          <a:effectLst/>
        </c:spPr>
      </c:pivotFmt>
    </c:pivotFmts>
    <c:plotArea>
      <c:layout/>
      <c:barChart>
        <c:barDir val="col"/>
        <c:grouping val="clustered"/>
        <c:varyColors val="1"/>
        <c:ser>
          <c:idx val="0"/>
          <c:order val="0"/>
          <c:tx>
            <c:strRef>
              <c:f>Analysis!$F$12</c:f>
              <c:strCache>
                <c:ptCount val="1"/>
                <c:pt idx="0">
                  <c:v>Total</c:v>
                </c:pt>
              </c:strCache>
            </c:strRef>
          </c:tx>
          <c:invertIfNegative val="0"/>
          <c:dPt>
            <c:idx val="0"/>
            <c:invertIfNegative val="0"/>
            <c:bubble3D val="0"/>
            <c:spPr>
              <a:solidFill>
                <a:schemeClr val="accent1"/>
              </a:solidFill>
              <a:ln>
                <a:noFill/>
              </a:ln>
              <a:effectLst/>
            </c:spPr>
            <c:extLst>
              <c:ext xmlns:c16="http://schemas.microsoft.com/office/drawing/2014/chart" uri="{C3380CC4-5D6E-409C-BE32-E72D297353CC}">
                <c16:uniqueId val="{00000001-4E4E-4FED-99AE-BC3A78B44194}"/>
              </c:ext>
            </c:extLst>
          </c:dPt>
          <c:dPt>
            <c:idx val="1"/>
            <c:invertIfNegative val="0"/>
            <c:bubble3D val="0"/>
            <c:spPr>
              <a:solidFill>
                <a:schemeClr val="accent2">
                  <a:shade val="86000"/>
                </a:schemeClr>
              </a:solidFill>
              <a:ln>
                <a:noFill/>
              </a:ln>
              <a:effectLst/>
            </c:spPr>
            <c:extLst>
              <c:ext xmlns:c16="http://schemas.microsoft.com/office/drawing/2014/chart" uri="{C3380CC4-5D6E-409C-BE32-E72D297353CC}">
                <c16:uniqueId val="{00000003-4E4E-4FED-99AE-BC3A78B44194}"/>
              </c:ext>
            </c:extLst>
          </c:dPt>
          <c:dPt>
            <c:idx val="2"/>
            <c:invertIfNegative val="0"/>
            <c:bubble3D val="0"/>
            <c:spPr>
              <a:solidFill>
                <a:schemeClr val="accent2">
                  <a:tint val="86000"/>
                </a:schemeClr>
              </a:solidFill>
              <a:ln>
                <a:noFill/>
              </a:ln>
              <a:effectLst/>
            </c:spPr>
            <c:extLst>
              <c:ext xmlns:c16="http://schemas.microsoft.com/office/drawing/2014/chart" uri="{C3380CC4-5D6E-409C-BE32-E72D297353CC}">
                <c16:uniqueId val="{00000005-4E4E-4FED-99AE-BC3A78B44194}"/>
              </c:ext>
            </c:extLst>
          </c:dPt>
          <c:dPt>
            <c:idx val="3"/>
            <c:invertIfNegative val="0"/>
            <c:bubble3D val="0"/>
            <c:spPr>
              <a:solidFill>
                <a:schemeClr val="accent2">
                  <a:tint val="58000"/>
                </a:schemeClr>
              </a:solidFill>
              <a:ln>
                <a:noFill/>
              </a:ln>
              <a:effectLst/>
            </c:spPr>
            <c:extLst>
              <c:ext xmlns:c16="http://schemas.microsoft.com/office/drawing/2014/chart" uri="{C3380CC4-5D6E-409C-BE32-E72D297353CC}">
                <c16:uniqueId val="{00000007-4E4E-4FED-99AE-BC3A78B44194}"/>
              </c:ext>
            </c:extLst>
          </c:dPt>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Analysis!$E$13:$E$17</c:f>
              <c:strCache>
                <c:ptCount val="4"/>
                <c:pt idx="0">
                  <c:v>East</c:v>
                </c:pt>
                <c:pt idx="1">
                  <c:v>North</c:v>
                </c:pt>
                <c:pt idx="2">
                  <c:v>South</c:v>
                </c:pt>
                <c:pt idx="3">
                  <c:v>West</c:v>
                </c:pt>
              </c:strCache>
            </c:strRef>
          </c:cat>
          <c:val>
            <c:numRef>
              <c:f>Analysis!$F$13:$F$17</c:f>
              <c:numCache>
                <c:formatCode>[&gt;=1000000]\ #.##,,\ "M";[&gt;=1000]\ #.##,\ "K";#</c:formatCode>
                <c:ptCount val="4"/>
                <c:pt idx="0">
                  <c:v>22721.452214452216</c:v>
                </c:pt>
                <c:pt idx="1">
                  <c:v>22199.437925666472</c:v>
                </c:pt>
                <c:pt idx="2">
                  <c:v>21933.49591323483</c:v>
                </c:pt>
                <c:pt idx="3">
                  <c:v>22079.384188626907</c:v>
                </c:pt>
              </c:numCache>
            </c:numRef>
          </c:val>
          <c:extLst>
            <c:ext xmlns:c16="http://schemas.microsoft.com/office/drawing/2014/chart" uri="{C3380CC4-5D6E-409C-BE32-E72D297353CC}">
              <c16:uniqueId val="{00000008-4E4E-4FED-99AE-BC3A78B44194}"/>
            </c:ext>
          </c:extLst>
        </c:ser>
        <c:dLbls>
          <c:dLblPos val="outEnd"/>
          <c:showLegendKey val="0"/>
          <c:showVal val="1"/>
          <c:showCatName val="0"/>
          <c:showSerName val="0"/>
          <c:showPercent val="0"/>
          <c:showBubbleSize val="0"/>
        </c:dLbls>
        <c:gapWidth val="219"/>
        <c:overlap val="-27"/>
        <c:axId val="567333336"/>
        <c:axId val="567329736"/>
      </c:barChart>
      <c:catAx>
        <c:axId val="567333336"/>
        <c:scaling>
          <c:orientation val="minMax"/>
        </c:scaling>
        <c:delete val="0"/>
        <c:axPos val="b"/>
        <c:numFmt formatCode="General" sourceLinked="1"/>
        <c:majorTickMark val="none"/>
        <c:minorTickMark val="none"/>
        <c:tickLblPos val="nextTo"/>
        <c:spPr>
          <a:noFill/>
          <a:ln w="9525" cap="flat" cmpd="sng" algn="ctr">
            <a:solidFill>
              <a:srgbClr val="C00000"/>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Georgia" panose="02040502050405020303" pitchFamily="18" charset="0"/>
                <a:ea typeface="+mn-ea"/>
                <a:cs typeface="+mn-cs"/>
              </a:defRPr>
            </a:pPr>
            <a:endParaRPr lang="en-US"/>
          </a:p>
        </c:txPr>
        <c:crossAx val="567329736"/>
        <c:crosses val="autoZero"/>
        <c:auto val="1"/>
        <c:lblAlgn val="ctr"/>
        <c:lblOffset val="100"/>
        <c:noMultiLvlLbl val="0"/>
      </c:catAx>
      <c:valAx>
        <c:axId val="567329736"/>
        <c:scaling>
          <c:orientation val="minMax"/>
        </c:scaling>
        <c:delete val="1"/>
        <c:axPos val="l"/>
        <c:numFmt formatCode="[&gt;=1000000]\ #.##,,\ &quot;M&quot;;[&gt;=1000]\ #.##,\ &quot;K&quot;;#" sourceLinked="1"/>
        <c:majorTickMark val="none"/>
        <c:minorTickMark val="none"/>
        <c:tickLblPos val="nextTo"/>
        <c:crossAx val="56733333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Georgia" panose="02040502050405020303" pitchFamily="18" charset="0"/>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2">
        <a:lumMod val="20000"/>
        <a:lumOff val="80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[FMCG_data Work.xlsx]Analysis!PivotTable7</c:name>
    <c:fmtId val="-1"/>
  </c:pivotSource>
  <c:chart>
    <c:title>
      <c:tx>
        <c:rich>
          <a:bodyPr rot="0" spcFirstLastPara="1" vertOverflow="ellipsis" vert="horz" wrap="square" anchor="ctr" anchorCtr="1"/>
          <a:lstStyle/>
          <a:p>
            <a:pPr>
              <a:defRPr sz="1600" b="0" i="0" u="none" strike="noStrike" kern="1200" spc="0" baseline="0">
                <a:solidFill>
                  <a:srgbClr val="C00000"/>
                </a:solidFill>
                <a:latin typeface="Georgia" panose="02040502050405020303" pitchFamily="18" charset="0"/>
                <a:ea typeface="+mn-ea"/>
                <a:cs typeface="+mn-cs"/>
              </a:defRPr>
            </a:pPr>
            <a:r>
              <a:rPr lang="en-US" sz="1600">
                <a:solidFill>
                  <a:srgbClr val="C00000"/>
                </a:solidFill>
                <a:latin typeface="Georgia" panose="02040502050405020303" pitchFamily="18" charset="0"/>
              </a:rPr>
              <a:t>Warehouse</a:t>
            </a:r>
            <a:r>
              <a:rPr lang="en-US" sz="1600" baseline="0">
                <a:solidFill>
                  <a:srgbClr val="C00000"/>
                </a:solidFill>
                <a:latin typeface="Georgia" panose="02040502050405020303" pitchFamily="18" charset="0"/>
              </a:rPr>
              <a:t> Distribution by Regional Zone</a:t>
            </a:r>
            <a:endParaRPr lang="en-US" sz="1600">
              <a:solidFill>
                <a:srgbClr val="C00000"/>
              </a:solidFill>
              <a:latin typeface="Georgia" panose="02040502050405020303" pitchFamily="18" charset="0"/>
            </a:endParaRPr>
          </a:p>
        </c:rich>
      </c:tx>
      <c:overlay val="0"/>
      <c:spPr>
        <a:noFill/>
        <a:ln>
          <a:noFill/>
        </a:ln>
        <a:effectLst/>
      </c:spPr>
      <c:txPr>
        <a:bodyPr rot="0" spcFirstLastPara="1" vertOverflow="ellipsis" vert="horz" wrap="square" anchor="ctr" anchorCtr="1"/>
        <a:lstStyle/>
        <a:p>
          <a:pPr>
            <a:defRPr sz="1600" b="0" i="0" u="none" strike="noStrike" kern="1200" spc="0" baseline="0">
              <a:solidFill>
                <a:srgbClr val="C00000"/>
              </a:solidFill>
              <a:latin typeface="Georgia" panose="02040502050405020303" pitchFamily="18" charset="0"/>
              <a:ea typeface="+mn-ea"/>
              <a:cs typeface="+mn-cs"/>
            </a:defRPr>
          </a:pPr>
          <a:endParaRPr lang="en-US"/>
        </a:p>
      </c:txPr>
    </c:title>
    <c:autoTitleDeleted val="0"/>
    <c:pivotFmts>
      <c:pivotFmt>
        <c:idx val="0"/>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2"/>
          </a:solidFill>
          <a:ln>
            <a:noFill/>
          </a:ln>
          <a:effectLst/>
        </c:spPr>
      </c:pivotFmt>
      <c:pivotFmt>
        <c:idx val="3"/>
        <c:spPr>
          <a:solidFill>
            <a:schemeClr val="accent2"/>
          </a:solidFill>
          <a:ln>
            <a:noFill/>
          </a:ln>
          <a:effectLst/>
        </c:spPr>
      </c:pivotFmt>
      <c:pivotFmt>
        <c:idx val="4"/>
        <c:spPr>
          <a:solidFill>
            <a:schemeClr val="accent2"/>
          </a:solidFill>
          <a:ln>
            <a:noFill/>
          </a:ln>
          <a:effectLst/>
        </c:spPr>
      </c:pivotFmt>
      <c:pivotFmt>
        <c:idx val="5"/>
        <c:spPr>
          <a:solidFill>
            <a:schemeClr val="accent2"/>
          </a:solidFill>
          <a:ln>
            <a:noFill/>
          </a:ln>
          <a:effectLst/>
        </c:spPr>
      </c:pivotFmt>
      <c:pivotFmt>
        <c:idx val="6"/>
        <c:spPr>
          <a:solidFill>
            <a:schemeClr val="accent2"/>
          </a:solidFill>
          <a:ln>
            <a:noFill/>
          </a:ln>
          <a:effectLst/>
        </c:spPr>
      </c:pivotFmt>
      <c:pivotFmt>
        <c:idx val="7"/>
        <c:spPr>
          <a:solidFill>
            <a:schemeClr val="accent2"/>
          </a:solidFill>
          <a:ln>
            <a:noFill/>
          </a:ln>
          <a:effectLst/>
        </c:spPr>
      </c:pivotFmt>
      <c:pivotFmt>
        <c:idx val="8"/>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8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2"/>
          </a:solidFill>
          <a:ln>
            <a:noFill/>
          </a:ln>
          <a:effectLst/>
        </c:spPr>
      </c:pivotFmt>
      <c:pivotFmt>
        <c:idx val="10"/>
        <c:spPr>
          <a:solidFill>
            <a:schemeClr val="accent2"/>
          </a:solidFill>
          <a:ln>
            <a:noFill/>
          </a:ln>
          <a:effectLst/>
        </c:spPr>
      </c:pivotFmt>
      <c:pivotFmt>
        <c:idx val="11"/>
        <c:spPr>
          <a:solidFill>
            <a:schemeClr val="accent2"/>
          </a:solidFill>
          <a:ln>
            <a:noFill/>
          </a:ln>
          <a:effectLst/>
        </c:spPr>
      </c:pivotFmt>
      <c:pivotFmt>
        <c:idx val="12"/>
        <c:spPr>
          <a:solidFill>
            <a:schemeClr val="accent2"/>
          </a:solidFill>
          <a:ln>
            <a:noFill/>
          </a:ln>
          <a:effectLst/>
        </c:spPr>
      </c:pivotFmt>
      <c:pivotFmt>
        <c:idx val="13"/>
        <c:spPr>
          <a:solidFill>
            <a:schemeClr val="accent2"/>
          </a:solidFill>
          <a:ln>
            <a:noFill/>
          </a:ln>
          <a:effectLst/>
        </c:spPr>
      </c:pivotFmt>
      <c:pivotFmt>
        <c:idx val="14"/>
        <c:spPr>
          <a:solidFill>
            <a:schemeClr val="accent2"/>
          </a:solidFill>
          <a:ln>
            <a:noFill/>
          </a:ln>
          <a:effectLst/>
        </c:spPr>
      </c:pivotFmt>
      <c:pivotFmt>
        <c:idx val="15"/>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8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2"/>
          </a:solidFill>
          <a:ln>
            <a:noFill/>
          </a:ln>
          <a:effectLst/>
        </c:spPr>
      </c:pivotFmt>
      <c:pivotFmt>
        <c:idx val="17"/>
        <c:spPr>
          <a:solidFill>
            <a:schemeClr val="accent2"/>
          </a:solidFill>
          <a:ln>
            <a:noFill/>
          </a:ln>
          <a:effectLst/>
        </c:spPr>
      </c:pivotFmt>
      <c:pivotFmt>
        <c:idx val="18"/>
        <c:spPr>
          <a:solidFill>
            <a:schemeClr val="accent2"/>
          </a:solidFill>
          <a:ln>
            <a:noFill/>
          </a:ln>
          <a:effectLst/>
        </c:spPr>
      </c:pivotFmt>
      <c:pivotFmt>
        <c:idx val="19"/>
        <c:spPr>
          <a:solidFill>
            <a:schemeClr val="accent2"/>
          </a:solidFill>
          <a:ln>
            <a:noFill/>
          </a:ln>
          <a:effectLst/>
        </c:spPr>
      </c:pivotFmt>
      <c:pivotFmt>
        <c:idx val="20"/>
        <c:spPr>
          <a:solidFill>
            <a:schemeClr val="accent2"/>
          </a:solidFill>
          <a:ln>
            <a:noFill/>
          </a:ln>
          <a:effectLst/>
        </c:spPr>
      </c:pivotFmt>
      <c:pivotFmt>
        <c:idx val="21"/>
        <c:spPr>
          <a:solidFill>
            <a:schemeClr val="accent2"/>
          </a:solidFill>
          <a:ln>
            <a:noFill/>
          </a:ln>
          <a:effectLst/>
        </c:spPr>
      </c:pivotFmt>
      <c:pivotFmt>
        <c:idx val="22"/>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8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2"/>
          </a:solidFill>
          <a:ln>
            <a:noFill/>
          </a:ln>
          <a:effectLst/>
        </c:spPr>
      </c:pivotFmt>
      <c:pivotFmt>
        <c:idx val="24"/>
        <c:spPr>
          <a:solidFill>
            <a:schemeClr val="accent2"/>
          </a:solidFill>
          <a:ln>
            <a:noFill/>
          </a:ln>
          <a:effectLst/>
        </c:spPr>
      </c:pivotFmt>
      <c:pivotFmt>
        <c:idx val="25"/>
        <c:spPr>
          <a:solidFill>
            <a:schemeClr val="accent2"/>
          </a:solidFill>
          <a:ln>
            <a:noFill/>
          </a:ln>
          <a:effectLst/>
        </c:spPr>
      </c:pivotFmt>
      <c:pivotFmt>
        <c:idx val="26"/>
        <c:spPr>
          <a:solidFill>
            <a:schemeClr val="accent2"/>
          </a:solidFill>
          <a:ln>
            <a:noFill/>
          </a:ln>
          <a:effectLst/>
        </c:spPr>
      </c:pivotFmt>
      <c:pivotFmt>
        <c:idx val="27"/>
        <c:spPr>
          <a:solidFill>
            <a:schemeClr val="accent2"/>
          </a:solidFill>
          <a:ln>
            <a:noFill/>
          </a:ln>
          <a:effectLst/>
        </c:spPr>
      </c:pivotFmt>
      <c:pivotFmt>
        <c:idx val="28"/>
        <c:spPr>
          <a:solidFill>
            <a:schemeClr val="accent2"/>
          </a:solidFill>
          <a:ln>
            <a:noFill/>
          </a:ln>
          <a:effectLst/>
        </c:spPr>
      </c:pivotFmt>
    </c:pivotFmts>
    <c:plotArea>
      <c:layout/>
      <c:barChart>
        <c:barDir val="bar"/>
        <c:grouping val="clustered"/>
        <c:varyColors val="1"/>
        <c:ser>
          <c:idx val="0"/>
          <c:order val="0"/>
          <c:tx>
            <c:strRef>
              <c:f>Analysis!$N$3</c:f>
              <c:strCache>
                <c:ptCount val="1"/>
                <c:pt idx="0">
                  <c:v>Total</c:v>
                </c:pt>
              </c:strCache>
            </c:strRef>
          </c:tx>
          <c:invertIfNegative val="0"/>
          <c:dPt>
            <c:idx val="0"/>
            <c:invertIfNegative val="0"/>
            <c:bubble3D val="0"/>
            <c:spPr>
              <a:solidFill>
                <a:schemeClr val="accent2">
                  <a:tint val="50000"/>
                </a:schemeClr>
              </a:solidFill>
              <a:ln>
                <a:noFill/>
              </a:ln>
              <a:effectLst/>
            </c:spPr>
            <c:extLst>
              <c:ext xmlns:c16="http://schemas.microsoft.com/office/drawing/2014/chart" uri="{C3380CC4-5D6E-409C-BE32-E72D297353CC}">
                <c16:uniqueId val="{00000001-0AC2-4037-B06E-7C59D2BDA28B}"/>
              </c:ext>
            </c:extLst>
          </c:dPt>
          <c:dPt>
            <c:idx val="1"/>
            <c:invertIfNegative val="0"/>
            <c:bubble3D val="0"/>
            <c:spPr>
              <a:solidFill>
                <a:schemeClr val="accent2">
                  <a:tint val="70000"/>
                </a:schemeClr>
              </a:solidFill>
              <a:ln>
                <a:noFill/>
              </a:ln>
              <a:effectLst/>
            </c:spPr>
            <c:extLst>
              <c:ext xmlns:c16="http://schemas.microsoft.com/office/drawing/2014/chart" uri="{C3380CC4-5D6E-409C-BE32-E72D297353CC}">
                <c16:uniqueId val="{00000003-0AC2-4037-B06E-7C59D2BDA28B}"/>
              </c:ext>
            </c:extLst>
          </c:dPt>
          <c:dPt>
            <c:idx val="2"/>
            <c:invertIfNegative val="0"/>
            <c:bubble3D val="0"/>
            <c:spPr>
              <a:solidFill>
                <a:schemeClr val="accent2">
                  <a:tint val="90000"/>
                </a:schemeClr>
              </a:solidFill>
              <a:ln>
                <a:noFill/>
              </a:ln>
              <a:effectLst/>
            </c:spPr>
            <c:extLst>
              <c:ext xmlns:c16="http://schemas.microsoft.com/office/drawing/2014/chart" uri="{C3380CC4-5D6E-409C-BE32-E72D297353CC}">
                <c16:uniqueId val="{00000005-0AC2-4037-B06E-7C59D2BDA28B}"/>
              </c:ext>
            </c:extLst>
          </c:dPt>
          <c:dPt>
            <c:idx val="3"/>
            <c:invertIfNegative val="0"/>
            <c:bubble3D val="0"/>
            <c:spPr>
              <a:solidFill>
                <a:schemeClr val="accent2">
                  <a:shade val="90000"/>
                </a:schemeClr>
              </a:solidFill>
              <a:ln>
                <a:noFill/>
              </a:ln>
              <a:effectLst/>
            </c:spPr>
            <c:extLst>
              <c:ext xmlns:c16="http://schemas.microsoft.com/office/drawing/2014/chart" uri="{C3380CC4-5D6E-409C-BE32-E72D297353CC}">
                <c16:uniqueId val="{00000007-0AC2-4037-B06E-7C59D2BDA28B}"/>
              </c:ext>
            </c:extLst>
          </c:dPt>
          <c:dPt>
            <c:idx val="4"/>
            <c:invertIfNegative val="0"/>
            <c:bubble3D val="0"/>
            <c:spPr>
              <a:solidFill>
                <a:schemeClr val="accent2">
                  <a:shade val="70000"/>
                </a:schemeClr>
              </a:solidFill>
              <a:ln>
                <a:noFill/>
              </a:ln>
              <a:effectLst/>
            </c:spPr>
            <c:extLst>
              <c:ext xmlns:c16="http://schemas.microsoft.com/office/drawing/2014/chart" uri="{C3380CC4-5D6E-409C-BE32-E72D297353CC}">
                <c16:uniqueId val="{00000009-0AC2-4037-B06E-7C59D2BDA28B}"/>
              </c:ext>
            </c:extLst>
          </c:dPt>
          <c:dPt>
            <c:idx val="5"/>
            <c:invertIfNegative val="0"/>
            <c:bubble3D val="0"/>
            <c:spPr>
              <a:solidFill>
                <a:schemeClr val="accent1"/>
              </a:solidFill>
              <a:ln>
                <a:noFill/>
              </a:ln>
              <a:effectLst/>
            </c:spPr>
            <c:extLst>
              <c:ext xmlns:c16="http://schemas.microsoft.com/office/drawing/2014/chart" uri="{C3380CC4-5D6E-409C-BE32-E72D297353CC}">
                <c16:uniqueId val="{0000000B-0AC2-4037-B06E-7C59D2BDA28B}"/>
              </c:ext>
            </c:extLst>
          </c:dPt>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Analysis!$M$4:$M$10</c:f>
              <c:strCache>
                <c:ptCount val="6"/>
                <c:pt idx="0">
                  <c:v>Zone 1</c:v>
                </c:pt>
                <c:pt idx="1">
                  <c:v>Zone 2</c:v>
                </c:pt>
                <c:pt idx="2">
                  <c:v>Zone 3</c:v>
                </c:pt>
                <c:pt idx="3">
                  <c:v>Zone 4</c:v>
                </c:pt>
                <c:pt idx="4">
                  <c:v>Zone 5</c:v>
                </c:pt>
                <c:pt idx="5">
                  <c:v>Zone 6</c:v>
                </c:pt>
              </c:strCache>
            </c:strRef>
          </c:cat>
          <c:val>
            <c:numRef>
              <c:f>Analysis!$N$4:$N$10</c:f>
              <c:numCache>
                <c:formatCode>[&gt;=1000000]\ #.##,,\ "M";[&gt;=1000]\ #.##,\ "K";#</c:formatCode>
                <c:ptCount val="6"/>
                <c:pt idx="0">
                  <c:v>2054</c:v>
                </c:pt>
                <c:pt idx="1">
                  <c:v>2963</c:v>
                </c:pt>
                <c:pt idx="2">
                  <c:v>2881</c:v>
                </c:pt>
                <c:pt idx="3">
                  <c:v>4176</c:v>
                </c:pt>
                <c:pt idx="4">
                  <c:v>4587</c:v>
                </c:pt>
                <c:pt idx="5">
                  <c:v>8339</c:v>
                </c:pt>
              </c:numCache>
            </c:numRef>
          </c:val>
          <c:extLst>
            <c:ext xmlns:c16="http://schemas.microsoft.com/office/drawing/2014/chart" uri="{C3380CC4-5D6E-409C-BE32-E72D297353CC}">
              <c16:uniqueId val="{0000000C-0AC2-4037-B06E-7C59D2BDA28B}"/>
            </c:ext>
          </c:extLst>
        </c:ser>
        <c:dLbls>
          <c:dLblPos val="outEnd"/>
          <c:showLegendKey val="0"/>
          <c:showVal val="1"/>
          <c:showCatName val="0"/>
          <c:showSerName val="0"/>
          <c:showPercent val="0"/>
          <c:showBubbleSize val="0"/>
        </c:dLbls>
        <c:gapWidth val="94"/>
        <c:axId val="562787800"/>
        <c:axId val="562790320"/>
      </c:barChart>
      <c:catAx>
        <c:axId val="562787800"/>
        <c:scaling>
          <c:orientation val="minMax"/>
        </c:scaling>
        <c:delete val="0"/>
        <c:axPos val="l"/>
        <c:numFmt formatCode="General" sourceLinked="1"/>
        <c:majorTickMark val="none"/>
        <c:minorTickMark val="none"/>
        <c:tickLblPos val="nextTo"/>
        <c:spPr>
          <a:noFill/>
          <a:ln w="9525" cap="flat" cmpd="sng" algn="ctr">
            <a:solidFill>
              <a:srgbClr val="C00000"/>
            </a:solidFill>
            <a:round/>
          </a:ln>
          <a:effectLst/>
        </c:spPr>
        <c:txPr>
          <a:bodyPr rot="-60000000" spcFirstLastPara="1" vertOverflow="ellipsis" vert="horz" wrap="square" anchor="ctr" anchorCtr="1"/>
          <a:lstStyle/>
          <a:p>
            <a:pPr>
              <a:defRPr sz="1400" b="0" i="0" u="none" strike="noStrike" kern="1200" baseline="0">
                <a:solidFill>
                  <a:schemeClr val="tx1">
                    <a:lumMod val="65000"/>
                    <a:lumOff val="35000"/>
                  </a:schemeClr>
                </a:solidFill>
                <a:latin typeface="Georgia" panose="02040502050405020303" pitchFamily="18" charset="0"/>
                <a:ea typeface="+mn-ea"/>
                <a:cs typeface="+mn-cs"/>
              </a:defRPr>
            </a:pPr>
            <a:endParaRPr lang="en-US"/>
          </a:p>
        </c:txPr>
        <c:crossAx val="562790320"/>
        <c:crosses val="autoZero"/>
        <c:auto val="1"/>
        <c:lblAlgn val="ctr"/>
        <c:lblOffset val="100"/>
        <c:noMultiLvlLbl val="0"/>
      </c:catAx>
      <c:valAx>
        <c:axId val="562790320"/>
        <c:scaling>
          <c:orientation val="minMax"/>
        </c:scaling>
        <c:delete val="1"/>
        <c:axPos val="b"/>
        <c:numFmt formatCode="[&gt;=1000000]\ #.##,,\ &quot;M&quot;;[&gt;=1000]\ #.##,\ &quot;K&quot;;#" sourceLinked="1"/>
        <c:majorTickMark val="none"/>
        <c:minorTickMark val="none"/>
        <c:tickLblPos val="nextTo"/>
        <c:crossAx val="562787800"/>
        <c:crosses val="autoZero"/>
        <c:crossBetween val="between"/>
      </c:valAx>
      <c:spPr>
        <a:noFill/>
        <a:ln>
          <a:noFill/>
        </a:ln>
        <a:effectLst/>
      </c:spPr>
    </c:plotArea>
    <c:legend>
      <c:legendPos val="t"/>
      <c:layout>
        <c:manualLayout>
          <c:xMode val="edge"/>
          <c:yMode val="edge"/>
          <c:x val="0.10068651955130105"/>
          <c:y val="0.12556311187335301"/>
          <c:w val="0.80453642836919315"/>
          <c:h val="0.1609293047467564"/>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Georgia" panose="02040502050405020303" pitchFamily="18" charset="0"/>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2">
        <a:lumMod val="20000"/>
        <a:lumOff val="80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[FMCG_data Work.xlsx]Analysis!PivotTable14</c:name>
    <c:fmtId val="-1"/>
  </c:pivotSource>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Georgia" panose="02040502050405020303" pitchFamily="18" charset="0"/>
                <a:ea typeface="+mn-ea"/>
                <a:cs typeface="+mn-cs"/>
              </a:defRPr>
            </a:pPr>
            <a:r>
              <a:rPr lang="en-US" sz="1600" b="0" i="0" u="none" strike="noStrike" kern="1200" spc="0" baseline="0">
                <a:solidFill>
                  <a:srgbClr val="C00000"/>
                </a:solidFill>
                <a:latin typeface="Georgia" panose="02040502050405020303" pitchFamily="18" charset="0"/>
              </a:rPr>
              <a:t>Average Product ton delivered by Regional Zone</a:t>
            </a:r>
          </a:p>
        </c:rich>
      </c:tx>
      <c:layout>
        <c:manualLayout>
          <c:xMode val="edge"/>
          <c:yMode val="edge"/>
          <c:x val="0.12816677811287452"/>
          <c:y val="2.9488743484529224E-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Georgia" panose="02040502050405020303" pitchFamily="18" charset="0"/>
              <a:ea typeface="+mn-ea"/>
              <a:cs typeface="+mn-cs"/>
            </a:defRPr>
          </a:pPr>
          <a:endParaRPr lang="en-US"/>
        </a:p>
      </c:txPr>
    </c:title>
    <c:autoTitleDeleted val="0"/>
    <c:pivotFmts>
      <c:pivotFmt>
        <c:idx val="0"/>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2"/>
          </a:solidFill>
          <a:ln>
            <a:noFill/>
          </a:ln>
          <a:effectLst/>
        </c:spPr>
      </c:pivotFmt>
      <c:pivotFmt>
        <c:idx val="3"/>
        <c:spPr>
          <a:solidFill>
            <a:schemeClr val="accent2"/>
          </a:solidFill>
          <a:ln>
            <a:noFill/>
          </a:ln>
          <a:effectLst/>
        </c:spPr>
      </c:pivotFmt>
      <c:pivotFmt>
        <c:idx val="4"/>
        <c:spPr>
          <a:solidFill>
            <a:schemeClr val="accent2"/>
          </a:solidFill>
          <a:ln>
            <a:noFill/>
          </a:ln>
          <a:effectLst/>
        </c:spPr>
      </c:pivotFmt>
      <c:pivotFmt>
        <c:idx val="5"/>
        <c:spPr>
          <a:solidFill>
            <a:schemeClr val="accent2"/>
          </a:solidFill>
          <a:ln>
            <a:noFill/>
          </a:ln>
          <a:effectLst/>
        </c:spPr>
      </c:pivotFmt>
      <c:pivotFmt>
        <c:idx val="6"/>
        <c:spPr>
          <a:solidFill>
            <a:schemeClr val="accent2"/>
          </a:solidFill>
          <a:ln>
            <a:noFill/>
          </a:ln>
          <a:effectLst/>
        </c:spPr>
      </c:pivotFmt>
      <c:pivotFmt>
        <c:idx val="7"/>
        <c:spPr>
          <a:solidFill>
            <a:schemeClr val="accent2"/>
          </a:solidFill>
          <a:ln>
            <a:noFill/>
          </a:ln>
          <a:effectLst/>
        </c:spPr>
      </c:pivotFmt>
      <c:pivotFmt>
        <c:idx val="8"/>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2"/>
          </a:solidFill>
          <a:ln>
            <a:noFill/>
          </a:ln>
          <a:effectLst/>
        </c:spPr>
      </c:pivotFmt>
      <c:pivotFmt>
        <c:idx val="10"/>
        <c:spPr>
          <a:solidFill>
            <a:schemeClr val="accent2"/>
          </a:solidFill>
          <a:ln>
            <a:noFill/>
          </a:ln>
          <a:effectLst/>
        </c:spPr>
      </c:pivotFmt>
      <c:pivotFmt>
        <c:idx val="11"/>
        <c:spPr>
          <a:solidFill>
            <a:schemeClr val="accent2"/>
          </a:solidFill>
          <a:ln>
            <a:noFill/>
          </a:ln>
          <a:effectLst/>
        </c:spPr>
      </c:pivotFmt>
      <c:pivotFmt>
        <c:idx val="12"/>
        <c:spPr>
          <a:solidFill>
            <a:schemeClr val="accent2"/>
          </a:solidFill>
          <a:ln>
            <a:noFill/>
          </a:ln>
          <a:effectLst/>
        </c:spPr>
      </c:pivotFmt>
      <c:pivotFmt>
        <c:idx val="13"/>
        <c:spPr>
          <a:solidFill>
            <a:schemeClr val="accent2"/>
          </a:solidFill>
          <a:ln>
            <a:noFill/>
          </a:ln>
          <a:effectLst/>
        </c:spPr>
      </c:pivotFmt>
      <c:pivotFmt>
        <c:idx val="14"/>
        <c:spPr>
          <a:solidFill>
            <a:schemeClr val="accent2"/>
          </a:solidFill>
          <a:ln>
            <a:noFill/>
          </a:ln>
          <a:effectLst/>
        </c:spPr>
      </c:pivotFmt>
      <c:pivotFmt>
        <c:idx val="15"/>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2"/>
          </a:solidFill>
          <a:ln>
            <a:noFill/>
          </a:ln>
          <a:effectLst/>
        </c:spPr>
      </c:pivotFmt>
      <c:pivotFmt>
        <c:idx val="17"/>
        <c:spPr>
          <a:solidFill>
            <a:schemeClr val="accent2"/>
          </a:solidFill>
          <a:ln>
            <a:noFill/>
          </a:ln>
          <a:effectLst/>
        </c:spPr>
      </c:pivotFmt>
      <c:pivotFmt>
        <c:idx val="18"/>
        <c:spPr>
          <a:solidFill>
            <a:schemeClr val="accent2"/>
          </a:solidFill>
          <a:ln>
            <a:noFill/>
          </a:ln>
          <a:effectLst/>
        </c:spPr>
      </c:pivotFmt>
      <c:pivotFmt>
        <c:idx val="19"/>
        <c:spPr>
          <a:solidFill>
            <a:schemeClr val="accent2"/>
          </a:solidFill>
          <a:ln>
            <a:noFill/>
          </a:ln>
          <a:effectLst/>
        </c:spPr>
      </c:pivotFmt>
      <c:pivotFmt>
        <c:idx val="20"/>
        <c:spPr>
          <a:solidFill>
            <a:schemeClr val="accent2"/>
          </a:solidFill>
          <a:ln>
            <a:noFill/>
          </a:ln>
          <a:effectLst/>
        </c:spPr>
      </c:pivotFmt>
      <c:pivotFmt>
        <c:idx val="21"/>
        <c:spPr>
          <a:solidFill>
            <a:schemeClr val="accent2"/>
          </a:solidFill>
          <a:ln>
            <a:noFill/>
          </a:ln>
          <a:effectLst/>
        </c:spPr>
      </c:pivotFmt>
      <c:pivotFmt>
        <c:idx val="22"/>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2"/>
          </a:solidFill>
          <a:ln>
            <a:noFill/>
          </a:ln>
          <a:effectLst/>
        </c:spPr>
      </c:pivotFmt>
      <c:pivotFmt>
        <c:idx val="24"/>
        <c:spPr>
          <a:solidFill>
            <a:schemeClr val="accent2"/>
          </a:solidFill>
          <a:ln>
            <a:noFill/>
          </a:ln>
          <a:effectLst/>
        </c:spPr>
      </c:pivotFmt>
      <c:pivotFmt>
        <c:idx val="25"/>
        <c:spPr>
          <a:solidFill>
            <a:schemeClr val="accent2"/>
          </a:solidFill>
          <a:ln>
            <a:noFill/>
          </a:ln>
          <a:effectLst/>
        </c:spPr>
      </c:pivotFmt>
      <c:pivotFmt>
        <c:idx val="26"/>
        <c:spPr>
          <a:solidFill>
            <a:schemeClr val="accent2"/>
          </a:solidFill>
          <a:ln>
            <a:noFill/>
          </a:ln>
          <a:effectLst/>
        </c:spPr>
      </c:pivotFmt>
      <c:pivotFmt>
        <c:idx val="27"/>
        <c:spPr>
          <a:solidFill>
            <a:schemeClr val="accent2"/>
          </a:solidFill>
          <a:ln>
            <a:noFill/>
          </a:ln>
          <a:effectLst/>
        </c:spPr>
      </c:pivotFmt>
      <c:pivotFmt>
        <c:idx val="28"/>
        <c:spPr>
          <a:solidFill>
            <a:schemeClr val="accent2"/>
          </a:solidFill>
          <a:ln>
            <a:noFill/>
          </a:ln>
          <a:effectLst/>
        </c:spPr>
      </c:pivotFmt>
    </c:pivotFmts>
    <c:plotArea>
      <c:layout/>
      <c:barChart>
        <c:barDir val="bar"/>
        <c:grouping val="clustered"/>
        <c:varyColors val="1"/>
        <c:ser>
          <c:idx val="0"/>
          <c:order val="0"/>
          <c:tx>
            <c:strRef>
              <c:f>Analysis!$N$15</c:f>
              <c:strCache>
                <c:ptCount val="1"/>
                <c:pt idx="0">
                  <c:v>Total</c:v>
                </c:pt>
              </c:strCache>
            </c:strRef>
          </c:tx>
          <c:invertIfNegative val="0"/>
          <c:dPt>
            <c:idx val="0"/>
            <c:invertIfNegative val="0"/>
            <c:bubble3D val="0"/>
            <c:spPr>
              <a:solidFill>
                <a:schemeClr val="accent2">
                  <a:tint val="50000"/>
                </a:schemeClr>
              </a:solidFill>
              <a:ln>
                <a:noFill/>
              </a:ln>
              <a:effectLst/>
            </c:spPr>
            <c:extLst>
              <c:ext xmlns:c16="http://schemas.microsoft.com/office/drawing/2014/chart" uri="{C3380CC4-5D6E-409C-BE32-E72D297353CC}">
                <c16:uniqueId val="{00000001-5347-40C7-B47E-8DB8FE2F1247}"/>
              </c:ext>
            </c:extLst>
          </c:dPt>
          <c:dPt>
            <c:idx val="1"/>
            <c:invertIfNegative val="0"/>
            <c:bubble3D val="0"/>
            <c:spPr>
              <a:solidFill>
                <a:schemeClr val="accent1"/>
              </a:solidFill>
              <a:ln>
                <a:noFill/>
              </a:ln>
              <a:effectLst/>
            </c:spPr>
            <c:extLst>
              <c:ext xmlns:c16="http://schemas.microsoft.com/office/drawing/2014/chart" uri="{C3380CC4-5D6E-409C-BE32-E72D297353CC}">
                <c16:uniqueId val="{00000003-5347-40C7-B47E-8DB8FE2F1247}"/>
              </c:ext>
            </c:extLst>
          </c:dPt>
          <c:dPt>
            <c:idx val="2"/>
            <c:invertIfNegative val="0"/>
            <c:bubble3D val="0"/>
            <c:spPr>
              <a:solidFill>
                <a:schemeClr val="accent2">
                  <a:tint val="90000"/>
                </a:schemeClr>
              </a:solidFill>
              <a:ln>
                <a:noFill/>
              </a:ln>
              <a:effectLst/>
            </c:spPr>
            <c:extLst>
              <c:ext xmlns:c16="http://schemas.microsoft.com/office/drawing/2014/chart" uri="{C3380CC4-5D6E-409C-BE32-E72D297353CC}">
                <c16:uniqueId val="{00000005-5347-40C7-B47E-8DB8FE2F1247}"/>
              </c:ext>
            </c:extLst>
          </c:dPt>
          <c:dPt>
            <c:idx val="3"/>
            <c:invertIfNegative val="0"/>
            <c:bubble3D val="0"/>
            <c:spPr>
              <a:solidFill>
                <a:schemeClr val="accent2">
                  <a:shade val="90000"/>
                </a:schemeClr>
              </a:solidFill>
              <a:ln>
                <a:noFill/>
              </a:ln>
              <a:effectLst/>
            </c:spPr>
            <c:extLst>
              <c:ext xmlns:c16="http://schemas.microsoft.com/office/drawing/2014/chart" uri="{C3380CC4-5D6E-409C-BE32-E72D297353CC}">
                <c16:uniqueId val="{00000007-5347-40C7-B47E-8DB8FE2F1247}"/>
              </c:ext>
            </c:extLst>
          </c:dPt>
          <c:dPt>
            <c:idx val="4"/>
            <c:invertIfNegative val="0"/>
            <c:bubble3D val="0"/>
            <c:spPr>
              <a:solidFill>
                <a:schemeClr val="accent2">
                  <a:shade val="70000"/>
                </a:schemeClr>
              </a:solidFill>
              <a:ln>
                <a:noFill/>
              </a:ln>
              <a:effectLst/>
            </c:spPr>
            <c:extLst>
              <c:ext xmlns:c16="http://schemas.microsoft.com/office/drawing/2014/chart" uri="{C3380CC4-5D6E-409C-BE32-E72D297353CC}">
                <c16:uniqueId val="{00000009-5347-40C7-B47E-8DB8FE2F1247}"/>
              </c:ext>
            </c:extLst>
          </c:dPt>
          <c:dPt>
            <c:idx val="5"/>
            <c:invertIfNegative val="0"/>
            <c:bubble3D val="0"/>
            <c:spPr>
              <a:solidFill>
                <a:schemeClr val="accent2">
                  <a:shade val="50000"/>
                </a:schemeClr>
              </a:solidFill>
              <a:ln>
                <a:noFill/>
              </a:ln>
              <a:effectLst/>
            </c:spPr>
            <c:extLst>
              <c:ext xmlns:c16="http://schemas.microsoft.com/office/drawing/2014/chart" uri="{C3380CC4-5D6E-409C-BE32-E72D297353CC}">
                <c16:uniqueId val="{0000000B-5347-40C7-B47E-8DB8FE2F1247}"/>
              </c:ext>
            </c:extLst>
          </c:dPt>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Analysis!$M$16:$M$22</c:f>
              <c:strCache>
                <c:ptCount val="6"/>
                <c:pt idx="0">
                  <c:v>Zone 1</c:v>
                </c:pt>
                <c:pt idx="1">
                  <c:v>Zone 2</c:v>
                </c:pt>
                <c:pt idx="2">
                  <c:v>Zone 3</c:v>
                </c:pt>
                <c:pt idx="3">
                  <c:v>Zone 4</c:v>
                </c:pt>
                <c:pt idx="4">
                  <c:v>Zone 5</c:v>
                </c:pt>
                <c:pt idx="5">
                  <c:v>Zone 6</c:v>
                </c:pt>
              </c:strCache>
            </c:strRef>
          </c:cat>
          <c:val>
            <c:numRef>
              <c:f>Analysis!$N$16:$N$22</c:f>
              <c:numCache>
                <c:formatCode>[&gt;=1000000]\ #.##,,\ "M";[&gt;=1000]\ #.##,\ "K";#</c:formatCode>
                <c:ptCount val="6"/>
                <c:pt idx="0">
                  <c:v>21742.71275559883</c:v>
                </c:pt>
                <c:pt idx="1">
                  <c:v>22470.728315896053</c:v>
                </c:pt>
                <c:pt idx="2">
                  <c:v>21968.146476917736</c:v>
                </c:pt>
                <c:pt idx="3">
                  <c:v>22173.378591954024</c:v>
                </c:pt>
                <c:pt idx="4">
                  <c:v>22022.588402005669</c:v>
                </c:pt>
                <c:pt idx="5">
                  <c:v>22115.559539513131</c:v>
                </c:pt>
              </c:numCache>
            </c:numRef>
          </c:val>
          <c:extLst>
            <c:ext xmlns:c16="http://schemas.microsoft.com/office/drawing/2014/chart" uri="{C3380CC4-5D6E-409C-BE32-E72D297353CC}">
              <c16:uniqueId val="{0000000C-5347-40C7-B47E-8DB8FE2F1247}"/>
            </c:ext>
          </c:extLst>
        </c:ser>
        <c:dLbls>
          <c:dLblPos val="outEnd"/>
          <c:showLegendKey val="0"/>
          <c:showVal val="1"/>
          <c:showCatName val="0"/>
          <c:showSerName val="0"/>
          <c:showPercent val="0"/>
          <c:showBubbleSize val="0"/>
        </c:dLbls>
        <c:gapWidth val="94"/>
        <c:axId val="562774840"/>
        <c:axId val="562779520"/>
      </c:barChart>
      <c:catAx>
        <c:axId val="562774840"/>
        <c:scaling>
          <c:orientation val="minMax"/>
        </c:scaling>
        <c:delete val="0"/>
        <c:axPos val="l"/>
        <c:numFmt formatCode="General" sourceLinked="1"/>
        <c:majorTickMark val="none"/>
        <c:minorTickMark val="none"/>
        <c:tickLblPos val="nextTo"/>
        <c:spPr>
          <a:noFill/>
          <a:ln w="9525" cap="flat" cmpd="sng" algn="ctr">
            <a:solidFill>
              <a:srgbClr val="C00000"/>
            </a:solidFill>
            <a:round/>
          </a:ln>
          <a:effectLst/>
        </c:spPr>
        <c:txPr>
          <a:bodyPr rot="-60000000" spcFirstLastPara="1" vertOverflow="ellipsis" vert="horz" wrap="square" anchor="ctr" anchorCtr="1"/>
          <a:lstStyle/>
          <a:p>
            <a:pPr>
              <a:defRPr sz="1400" b="0" i="0" u="none" strike="noStrike" kern="1200" baseline="0">
                <a:solidFill>
                  <a:schemeClr val="tx1">
                    <a:lumMod val="65000"/>
                    <a:lumOff val="35000"/>
                  </a:schemeClr>
                </a:solidFill>
                <a:latin typeface="Georgia" panose="02040502050405020303" pitchFamily="18" charset="0"/>
                <a:ea typeface="+mn-ea"/>
                <a:cs typeface="+mn-cs"/>
              </a:defRPr>
            </a:pPr>
            <a:endParaRPr lang="en-US"/>
          </a:p>
        </c:txPr>
        <c:crossAx val="562779520"/>
        <c:crosses val="autoZero"/>
        <c:auto val="1"/>
        <c:lblAlgn val="ctr"/>
        <c:lblOffset val="100"/>
        <c:noMultiLvlLbl val="0"/>
      </c:catAx>
      <c:valAx>
        <c:axId val="562779520"/>
        <c:scaling>
          <c:orientation val="minMax"/>
        </c:scaling>
        <c:delete val="1"/>
        <c:axPos val="b"/>
        <c:numFmt formatCode="[&gt;=1000000]\ #.##,,\ &quot;M&quot;;[&gt;=1000]\ #.##,\ &quot;K&quot;;#" sourceLinked="1"/>
        <c:majorTickMark val="none"/>
        <c:minorTickMark val="none"/>
        <c:tickLblPos val="nextTo"/>
        <c:crossAx val="562774840"/>
        <c:crosses val="autoZero"/>
        <c:crossBetween val="between"/>
      </c:valAx>
      <c:spPr>
        <a:noFill/>
        <a:ln>
          <a:noFill/>
        </a:ln>
        <a:effectLst/>
      </c:spPr>
    </c:plotArea>
    <c:legend>
      <c:legendPos val="t"/>
      <c:layout>
        <c:manualLayout>
          <c:xMode val="edge"/>
          <c:yMode val="edge"/>
          <c:x val="0.1058071098003209"/>
          <c:y val="0.18008391556689216"/>
          <c:w val="0.83419252952229306"/>
          <c:h val="0.14840843663323386"/>
        </c:manualLayout>
      </c:layout>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Georgia" panose="02040502050405020303" pitchFamily="18" charset="0"/>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2">
        <a:lumMod val="20000"/>
        <a:lumOff val="80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[FMCG_data Work.xlsx]Analysis!PivotTable8</c:name>
    <c:fmtId val="-1"/>
  </c:pivotSource>
  <c:chart>
    <c:title>
      <c:tx>
        <c:rich>
          <a:bodyPr rot="0" spcFirstLastPara="1" vertOverflow="ellipsis" vert="horz" wrap="square" anchor="ctr" anchorCtr="1"/>
          <a:lstStyle/>
          <a:p>
            <a:pPr>
              <a:defRPr sz="1600" b="0" i="0" u="none" strike="noStrike" kern="1200" spc="0" baseline="0">
                <a:solidFill>
                  <a:srgbClr val="C00000"/>
                </a:solidFill>
                <a:latin typeface="Georgia" panose="02040502050405020303" pitchFamily="18" charset="0"/>
                <a:ea typeface="+mn-ea"/>
                <a:cs typeface="+mn-cs"/>
              </a:defRPr>
            </a:pPr>
            <a:r>
              <a:rPr lang="en-US" sz="1600" b="0" i="0" u="none" strike="noStrike" kern="1200" spc="0" baseline="0">
                <a:solidFill>
                  <a:srgbClr val="C00000"/>
                </a:solidFill>
                <a:latin typeface="Georgia" panose="02040502050405020303" pitchFamily="18" charset="0"/>
              </a:rPr>
              <a:t>Warehouse Distribution and Avg Product ton by Owner Type</a:t>
            </a:r>
          </a:p>
        </c:rich>
      </c:tx>
      <c:layout>
        <c:manualLayout>
          <c:xMode val="edge"/>
          <c:yMode val="edge"/>
          <c:x val="0.13242163954189271"/>
          <c:y val="2.5184578312706908E-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rgbClr val="C00000"/>
              </a:solidFill>
              <a:latin typeface="Georgia" panose="02040502050405020303" pitchFamily="18" charset="0"/>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rgbClr val="EF6C00"/>
          </a:solidFill>
          <a:ln w="19050">
            <a:solidFill>
              <a:schemeClr val="lt1"/>
            </a:solidFill>
          </a:ln>
          <a:effectLst/>
        </c:spPr>
        <c:dLbl>
          <c:idx val="0"/>
          <c:layout>
            <c:manualLayout>
              <c:x val="-3.7372140197513275E-2"/>
              <c:y val="2.1586781410891636E-2"/>
            </c:manualLayout>
          </c:layout>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rgbClr val="F9A825"/>
          </a:solidFill>
          <a:ln w="19050">
            <a:solidFill>
              <a:schemeClr val="lt1"/>
            </a:solidFill>
          </a:ln>
          <a:effectLst/>
        </c:spPr>
        <c:dLbl>
          <c:idx val="0"/>
          <c:layout>
            <c:manualLayout>
              <c:x val="3.2389188171178154E-2"/>
              <c:y val="3.5977969018152725E-3"/>
            </c:manualLayout>
          </c:layout>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0"/>
        <c:spPr>
          <a:solidFill>
            <a:srgbClr val="EF6C00"/>
          </a:solidFill>
          <a:ln w="19050">
            <a:solidFill>
              <a:schemeClr val="lt1"/>
            </a:solidFill>
          </a:ln>
          <a:effectLst/>
        </c:spPr>
        <c:dLbl>
          <c:idx val="0"/>
          <c:layout>
            <c:manualLayout>
              <c:x val="6.4778376342356184E-2"/>
              <c:y val="0.13671628226898022"/>
            </c:manualLayout>
          </c:layout>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1"/>
        <c:spPr>
          <a:solidFill>
            <a:srgbClr val="F9A825"/>
          </a:solidFill>
          <a:ln w="19050">
            <a:solidFill>
              <a:schemeClr val="lt1"/>
            </a:solidFill>
          </a:ln>
          <a:effectLst/>
        </c:spPr>
        <c:dLbl>
          <c:idx val="0"/>
          <c:layout>
            <c:manualLayout>
              <c:x val="-6.2286900329188717E-2"/>
              <c:y val="-0.17269425128713309"/>
            </c:manualLayout>
          </c:layout>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3"/>
        <c:spPr>
          <a:solidFill>
            <a:srgbClr val="EF6C00"/>
          </a:solidFill>
          <a:ln w="19050">
            <a:solidFill>
              <a:schemeClr val="lt1"/>
            </a:solidFill>
          </a:ln>
          <a:effectLst/>
        </c:spPr>
        <c:dLbl>
          <c:idx val="0"/>
          <c:layout>
            <c:manualLayout>
              <c:x val="-3.7372140197513275E-2"/>
              <c:y val="2.1586781410891636E-2"/>
            </c:manualLayout>
          </c:layout>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4"/>
        <c:spPr>
          <a:solidFill>
            <a:srgbClr val="F9A825"/>
          </a:solidFill>
          <a:ln w="19050">
            <a:solidFill>
              <a:schemeClr val="lt1"/>
            </a:solidFill>
          </a:ln>
          <a:effectLst/>
        </c:spPr>
        <c:dLbl>
          <c:idx val="0"/>
          <c:layout>
            <c:manualLayout>
              <c:x val="3.2389188171178154E-2"/>
              <c:y val="3.5977969018152725E-3"/>
            </c:manualLayout>
          </c:layout>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6"/>
        <c:spPr>
          <a:solidFill>
            <a:srgbClr val="EF6C00"/>
          </a:solidFill>
          <a:ln w="19050">
            <a:solidFill>
              <a:schemeClr val="lt1"/>
            </a:solidFill>
          </a:ln>
          <a:effectLst/>
        </c:spPr>
        <c:dLbl>
          <c:idx val="0"/>
          <c:layout>
            <c:manualLayout>
              <c:x val="6.4778376342356184E-2"/>
              <c:y val="0.13671628226898022"/>
            </c:manualLayout>
          </c:layout>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7"/>
        <c:spPr>
          <a:solidFill>
            <a:srgbClr val="F9A825"/>
          </a:solidFill>
          <a:ln w="19050">
            <a:solidFill>
              <a:schemeClr val="lt1"/>
            </a:solidFill>
          </a:ln>
          <a:effectLst/>
        </c:spPr>
        <c:dLbl>
          <c:idx val="0"/>
          <c:layout>
            <c:manualLayout>
              <c:x val="-6.2286900329188717E-2"/>
              <c:y val="-0.17269425128713309"/>
            </c:manualLayout>
          </c:layout>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9"/>
        <c:spPr>
          <a:solidFill>
            <a:srgbClr val="EF6C00"/>
          </a:solidFill>
          <a:ln w="19050">
            <a:solidFill>
              <a:schemeClr val="lt1"/>
            </a:solidFill>
          </a:ln>
          <a:effectLst/>
        </c:spPr>
        <c:dLbl>
          <c:idx val="0"/>
          <c:layout>
            <c:manualLayout>
              <c:x val="-3.7372140197513275E-2"/>
              <c:y val="2.1586781410891636E-2"/>
            </c:manualLayout>
          </c:layout>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0"/>
        <c:spPr>
          <a:solidFill>
            <a:srgbClr val="F9A825"/>
          </a:solidFill>
          <a:ln w="19050">
            <a:solidFill>
              <a:schemeClr val="lt1"/>
            </a:solidFill>
          </a:ln>
          <a:effectLst/>
        </c:spPr>
        <c:dLbl>
          <c:idx val="0"/>
          <c:layout>
            <c:manualLayout>
              <c:x val="3.2389188171178154E-2"/>
              <c:y val="3.5977969018152725E-3"/>
            </c:manualLayout>
          </c:layout>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2"/>
        <c:spPr>
          <a:solidFill>
            <a:srgbClr val="EF6C00"/>
          </a:solidFill>
          <a:ln w="19050">
            <a:solidFill>
              <a:schemeClr val="lt1"/>
            </a:solidFill>
          </a:ln>
          <a:effectLst/>
        </c:spPr>
        <c:dLbl>
          <c:idx val="0"/>
          <c:layout>
            <c:manualLayout>
              <c:x val="6.4778376342356184E-2"/>
              <c:y val="0.13671628226898022"/>
            </c:manualLayout>
          </c:layout>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3"/>
        <c:spPr>
          <a:solidFill>
            <a:srgbClr val="F9A825"/>
          </a:solidFill>
          <a:ln w="19050">
            <a:solidFill>
              <a:schemeClr val="lt1"/>
            </a:solidFill>
          </a:ln>
          <a:effectLst/>
        </c:spPr>
        <c:dLbl>
          <c:idx val="0"/>
          <c:layout>
            <c:manualLayout>
              <c:x val="-6.2286900329188717E-2"/>
              <c:y val="-0.17269425128713309"/>
            </c:manualLayout>
          </c:layout>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doughnutChart>
        <c:varyColors val="1"/>
        <c:ser>
          <c:idx val="0"/>
          <c:order val="0"/>
          <c:tx>
            <c:strRef>
              <c:f>Analysis!$R$3</c:f>
              <c:strCache>
                <c:ptCount val="1"/>
                <c:pt idx="0">
                  <c:v>Count of Ware_house_ID</c:v>
                </c:pt>
              </c:strCache>
            </c:strRef>
          </c:tx>
          <c:dPt>
            <c:idx val="0"/>
            <c:bubble3D val="0"/>
            <c:spPr>
              <a:solidFill>
                <a:srgbClr val="EF6C00"/>
              </a:solidFill>
              <a:ln w="19050">
                <a:solidFill>
                  <a:schemeClr val="lt1"/>
                </a:solidFill>
              </a:ln>
              <a:effectLst/>
            </c:spPr>
            <c:extLst>
              <c:ext xmlns:c16="http://schemas.microsoft.com/office/drawing/2014/chart" uri="{C3380CC4-5D6E-409C-BE32-E72D297353CC}">
                <c16:uniqueId val="{00000001-5294-4064-9010-D86D22403CDC}"/>
              </c:ext>
            </c:extLst>
          </c:dPt>
          <c:dPt>
            <c:idx val="1"/>
            <c:bubble3D val="0"/>
            <c:spPr>
              <a:solidFill>
                <a:schemeClr val="accent1">
                  <a:lumMod val="60000"/>
                  <a:lumOff val="40000"/>
                </a:schemeClr>
              </a:solidFill>
              <a:ln w="19050">
                <a:solidFill>
                  <a:schemeClr val="lt1"/>
                </a:solidFill>
              </a:ln>
              <a:effectLst/>
            </c:spPr>
            <c:extLst>
              <c:ext xmlns:c16="http://schemas.microsoft.com/office/drawing/2014/chart" uri="{C3380CC4-5D6E-409C-BE32-E72D297353CC}">
                <c16:uniqueId val="{00000003-5294-4064-9010-D86D22403CDC}"/>
              </c:ext>
            </c:extLst>
          </c:dPt>
          <c:dLbls>
            <c:dLbl>
              <c:idx val="0"/>
              <c:layout>
                <c:manualLayout>
                  <c:x val="-3.7372140197513275E-2"/>
                  <c:y val="2.158678141089163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294-4064-9010-D86D22403CDC}"/>
                </c:ext>
              </c:extLst>
            </c:dLbl>
            <c:dLbl>
              <c:idx val="1"/>
              <c:layout>
                <c:manualLayout>
                  <c:x val="3.2389188171178154E-2"/>
                  <c:y val="3.5977969018152725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294-4064-9010-D86D22403CDC}"/>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Analysis!$Q$4:$Q$6</c:f>
              <c:strCache>
                <c:ptCount val="2"/>
                <c:pt idx="0">
                  <c:v>Company Owned</c:v>
                </c:pt>
                <c:pt idx="1">
                  <c:v>Rented</c:v>
                </c:pt>
              </c:strCache>
            </c:strRef>
          </c:cat>
          <c:val>
            <c:numRef>
              <c:f>Analysis!$R$4:$R$6</c:f>
              <c:numCache>
                <c:formatCode>0.00%</c:formatCode>
                <c:ptCount val="2"/>
                <c:pt idx="0">
                  <c:v>0.54312000000000005</c:v>
                </c:pt>
                <c:pt idx="1">
                  <c:v>0.45688000000000001</c:v>
                </c:pt>
              </c:numCache>
            </c:numRef>
          </c:val>
          <c:extLst>
            <c:ext xmlns:c16="http://schemas.microsoft.com/office/drawing/2014/chart" uri="{C3380CC4-5D6E-409C-BE32-E72D297353CC}">
              <c16:uniqueId val="{00000004-5294-4064-9010-D86D22403CDC}"/>
            </c:ext>
          </c:extLst>
        </c:ser>
        <c:ser>
          <c:idx val="1"/>
          <c:order val="1"/>
          <c:tx>
            <c:strRef>
              <c:f>Analysis!$S$3</c:f>
              <c:strCache>
                <c:ptCount val="1"/>
                <c:pt idx="0">
                  <c:v>Average of product_wg_ton</c:v>
                </c:pt>
              </c:strCache>
            </c:strRef>
          </c:tx>
          <c:dPt>
            <c:idx val="0"/>
            <c:bubble3D val="0"/>
            <c:spPr>
              <a:solidFill>
                <a:srgbClr val="EF6C00"/>
              </a:solidFill>
              <a:ln w="19050">
                <a:solidFill>
                  <a:schemeClr val="lt1"/>
                </a:solidFill>
              </a:ln>
              <a:effectLst/>
            </c:spPr>
            <c:extLst>
              <c:ext xmlns:c16="http://schemas.microsoft.com/office/drawing/2014/chart" uri="{C3380CC4-5D6E-409C-BE32-E72D297353CC}">
                <c16:uniqueId val="{00000006-5294-4064-9010-D86D22403CDC}"/>
              </c:ext>
            </c:extLst>
          </c:dPt>
          <c:dPt>
            <c:idx val="1"/>
            <c:bubble3D val="0"/>
            <c:spPr>
              <a:solidFill>
                <a:schemeClr val="accent1">
                  <a:lumMod val="60000"/>
                  <a:lumOff val="40000"/>
                </a:schemeClr>
              </a:solidFill>
              <a:ln w="19050">
                <a:solidFill>
                  <a:schemeClr val="lt1"/>
                </a:solidFill>
              </a:ln>
              <a:effectLst/>
            </c:spPr>
            <c:extLst>
              <c:ext xmlns:c16="http://schemas.microsoft.com/office/drawing/2014/chart" uri="{C3380CC4-5D6E-409C-BE32-E72D297353CC}">
                <c16:uniqueId val="{00000008-5294-4064-9010-D86D22403CDC}"/>
              </c:ext>
            </c:extLst>
          </c:dPt>
          <c:dLbls>
            <c:dLbl>
              <c:idx val="0"/>
              <c:layout>
                <c:manualLayout>
                  <c:x val="6.4778376342356184E-2"/>
                  <c:y val="0.1367162822689802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5294-4064-9010-D86D22403CDC}"/>
                </c:ext>
              </c:extLst>
            </c:dLbl>
            <c:dLbl>
              <c:idx val="1"/>
              <c:layout>
                <c:manualLayout>
                  <c:x val="-6.2286900329188717E-2"/>
                  <c:y val="-0.1726942512871330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5294-4064-9010-D86D22403CDC}"/>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Analysis!$Q$4:$Q$6</c:f>
              <c:strCache>
                <c:ptCount val="2"/>
                <c:pt idx="0">
                  <c:v>Company Owned</c:v>
                </c:pt>
                <c:pt idx="1">
                  <c:v>Rented</c:v>
                </c:pt>
              </c:strCache>
            </c:strRef>
          </c:cat>
          <c:val>
            <c:numRef>
              <c:f>Analysis!$S$4:$S$6</c:f>
              <c:numCache>
                <c:formatCode>[&gt;=1000000]\ #.##,,\ "M";[&gt;=1000]\ #.##,\ "K";#</c:formatCode>
                <c:ptCount val="2"/>
                <c:pt idx="0">
                  <c:v>22040.809692149065</c:v>
                </c:pt>
                <c:pt idx="1">
                  <c:v>22176.125809840658</c:v>
                </c:pt>
              </c:numCache>
            </c:numRef>
          </c:val>
          <c:extLst>
            <c:ext xmlns:c16="http://schemas.microsoft.com/office/drawing/2014/chart" uri="{C3380CC4-5D6E-409C-BE32-E72D297353CC}">
              <c16:uniqueId val="{00000009-5294-4064-9010-D86D22403CDC}"/>
            </c:ext>
          </c:extLst>
        </c:ser>
        <c:dLbls>
          <c:showLegendKey val="0"/>
          <c:showVal val="1"/>
          <c:showCatName val="0"/>
          <c:showSerName val="0"/>
          <c:showPercent val="0"/>
          <c:showBubbleSize val="0"/>
          <c:showLeaderLines val="1"/>
        </c:dLbls>
        <c:firstSliceAng val="0"/>
        <c:holeSize val="50"/>
      </c:doughnutChart>
      <c:spPr>
        <a:noFill/>
        <a:ln>
          <a:noFill/>
        </a:ln>
        <a:effectLst/>
      </c:spPr>
    </c:plotArea>
    <c:legend>
      <c:legendPos val="r"/>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Georgia" panose="02040502050405020303" pitchFamily="18" charset="0"/>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2">
        <a:lumMod val="20000"/>
        <a:lumOff val="80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[FMCG_data Work.xlsx]Analysis!PivotTable9</c:name>
    <c:fmtId val="-1"/>
  </c:pivotSource>
  <c:chart>
    <c:title>
      <c:tx>
        <c:rich>
          <a:bodyPr rot="0" spcFirstLastPara="1" vertOverflow="ellipsis" vert="horz" wrap="square" anchor="ctr" anchorCtr="1"/>
          <a:lstStyle/>
          <a:p>
            <a:pPr>
              <a:defRPr sz="1600" b="0" i="0" u="none" strike="noStrike" kern="1200" spc="0" baseline="0">
                <a:solidFill>
                  <a:srgbClr val="C00000"/>
                </a:solidFill>
                <a:latin typeface="Georgia" panose="02040502050405020303" pitchFamily="18" charset="0"/>
                <a:ea typeface="+mn-ea"/>
                <a:cs typeface="+mn-cs"/>
              </a:defRPr>
            </a:pPr>
            <a:r>
              <a:rPr lang="en-US" sz="1600" b="0" i="0" u="none" strike="noStrike" kern="1200" spc="0" baseline="0">
                <a:solidFill>
                  <a:srgbClr val="C00000"/>
                </a:solidFill>
                <a:latin typeface="Georgia" panose="02040502050405020303" pitchFamily="18" charset="0"/>
              </a:rPr>
              <a:t>Warehouse Distribution by Govt_Cert</a:t>
            </a:r>
          </a:p>
        </c:rich>
      </c:tx>
      <c:overlay val="0"/>
      <c:spPr>
        <a:noFill/>
        <a:ln>
          <a:noFill/>
        </a:ln>
        <a:effectLst/>
      </c:spPr>
      <c:txPr>
        <a:bodyPr rot="0" spcFirstLastPara="1" vertOverflow="ellipsis" vert="horz" wrap="square" anchor="ctr" anchorCtr="1"/>
        <a:lstStyle/>
        <a:p>
          <a:pPr>
            <a:defRPr sz="1600" b="0" i="0" u="none" strike="noStrike" kern="1200" spc="0" baseline="0">
              <a:solidFill>
                <a:srgbClr val="C00000"/>
              </a:solidFill>
              <a:latin typeface="Georgia" panose="02040502050405020303" pitchFamily="18" charset="0"/>
              <a:ea typeface="+mn-ea"/>
              <a:cs typeface="+mn-cs"/>
            </a:defRPr>
          </a:pPr>
          <a:endParaRPr lang="en-US"/>
        </a:p>
      </c:txPr>
    </c:title>
    <c:autoTitleDeleted val="0"/>
    <c:pivotFmts>
      <c:pivotFmt>
        <c:idx val="0"/>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2"/>
          </a:solidFill>
          <a:ln>
            <a:noFill/>
          </a:ln>
          <a:effectLst/>
        </c:spPr>
      </c:pivotFmt>
      <c:pivotFmt>
        <c:idx val="3"/>
        <c:spPr>
          <a:solidFill>
            <a:schemeClr val="accent2"/>
          </a:solidFill>
          <a:ln>
            <a:noFill/>
          </a:ln>
          <a:effectLst/>
        </c:spPr>
      </c:pivotFmt>
      <c:pivotFmt>
        <c:idx val="4"/>
        <c:spPr>
          <a:solidFill>
            <a:schemeClr val="accent2"/>
          </a:solidFill>
          <a:ln>
            <a:noFill/>
          </a:ln>
          <a:effectLst/>
        </c:spPr>
      </c:pivotFmt>
      <c:pivotFmt>
        <c:idx val="5"/>
        <c:spPr>
          <a:solidFill>
            <a:schemeClr val="accent2"/>
          </a:solidFill>
          <a:ln>
            <a:noFill/>
          </a:ln>
          <a:effectLst/>
        </c:spPr>
      </c:pivotFmt>
      <c:pivotFmt>
        <c:idx val="6"/>
        <c:spPr>
          <a:solidFill>
            <a:schemeClr val="accent2"/>
          </a:solidFill>
          <a:ln>
            <a:noFill/>
          </a:ln>
          <a:effectLst/>
        </c:spPr>
      </c:pivotFmt>
      <c:pivotFmt>
        <c:idx val="7"/>
        <c:spPr>
          <a:solidFill>
            <a:schemeClr val="accent2"/>
          </a:solidFill>
          <a:ln>
            <a:noFill/>
          </a:ln>
          <a:effectLst/>
        </c:spPr>
      </c:pivotFmt>
      <c:pivotFmt>
        <c:idx val="8"/>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2">
              <a:lumMod val="60000"/>
              <a:lumOff val="40000"/>
            </a:schemeClr>
          </a:solidFill>
          <a:ln>
            <a:noFill/>
          </a:ln>
          <a:effectLst/>
        </c:spPr>
      </c:pivotFmt>
      <c:pivotFmt>
        <c:idx val="10"/>
        <c:spPr>
          <a:solidFill>
            <a:schemeClr val="accent2">
              <a:tint val="70000"/>
            </a:schemeClr>
          </a:solidFill>
          <a:ln>
            <a:noFill/>
          </a:ln>
          <a:effectLst/>
        </c:spPr>
      </c:pivotFmt>
      <c:pivotFmt>
        <c:idx val="11"/>
        <c:spPr>
          <a:solidFill>
            <a:schemeClr val="accent2">
              <a:tint val="90000"/>
            </a:schemeClr>
          </a:solidFill>
          <a:ln>
            <a:noFill/>
          </a:ln>
          <a:effectLst/>
        </c:spPr>
      </c:pivotFmt>
      <c:pivotFmt>
        <c:idx val="12"/>
        <c:spPr>
          <a:solidFill>
            <a:schemeClr val="accent2">
              <a:shade val="90000"/>
            </a:schemeClr>
          </a:solidFill>
          <a:ln>
            <a:noFill/>
          </a:ln>
          <a:effectLst/>
        </c:spPr>
      </c:pivotFmt>
      <c:pivotFmt>
        <c:idx val="13"/>
        <c:spPr>
          <a:solidFill>
            <a:srgbClr val="EF6C00"/>
          </a:solidFill>
          <a:ln>
            <a:noFill/>
          </a:ln>
          <a:effectLst/>
        </c:spPr>
      </c:pivotFmt>
      <c:pivotFmt>
        <c:idx val="14"/>
        <c:spPr>
          <a:solidFill>
            <a:schemeClr val="accent2">
              <a:shade val="50000"/>
            </a:schemeClr>
          </a:solidFill>
          <a:ln>
            <a:noFill/>
          </a:ln>
          <a:effectLst/>
        </c:spPr>
      </c:pivotFmt>
      <c:pivotFmt>
        <c:idx val="15"/>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2">
              <a:lumMod val="60000"/>
              <a:lumOff val="40000"/>
            </a:schemeClr>
          </a:solidFill>
          <a:ln>
            <a:noFill/>
          </a:ln>
          <a:effectLst/>
        </c:spPr>
      </c:pivotFmt>
      <c:pivotFmt>
        <c:idx val="17"/>
        <c:spPr>
          <a:solidFill>
            <a:schemeClr val="accent2">
              <a:tint val="70000"/>
            </a:schemeClr>
          </a:solidFill>
          <a:ln>
            <a:noFill/>
          </a:ln>
          <a:effectLst/>
        </c:spPr>
      </c:pivotFmt>
      <c:pivotFmt>
        <c:idx val="18"/>
        <c:spPr>
          <a:solidFill>
            <a:schemeClr val="accent2">
              <a:tint val="90000"/>
            </a:schemeClr>
          </a:solidFill>
          <a:ln>
            <a:noFill/>
          </a:ln>
          <a:effectLst/>
        </c:spPr>
      </c:pivotFmt>
      <c:pivotFmt>
        <c:idx val="19"/>
        <c:spPr>
          <a:solidFill>
            <a:schemeClr val="accent2">
              <a:shade val="90000"/>
            </a:schemeClr>
          </a:solidFill>
          <a:ln>
            <a:noFill/>
          </a:ln>
          <a:effectLst/>
        </c:spPr>
      </c:pivotFmt>
      <c:pivotFmt>
        <c:idx val="20"/>
        <c:spPr>
          <a:solidFill>
            <a:srgbClr val="EF6C00"/>
          </a:solidFill>
          <a:ln>
            <a:noFill/>
          </a:ln>
          <a:effectLst/>
        </c:spPr>
      </c:pivotFmt>
      <c:pivotFmt>
        <c:idx val="21"/>
        <c:spPr>
          <a:solidFill>
            <a:schemeClr val="accent2">
              <a:shade val="50000"/>
            </a:schemeClr>
          </a:solidFill>
          <a:ln>
            <a:noFill/>
          </a:ln>
          <a:effectLst/>
        </c:spPr>
      </c:pivotFmt>
      <c:pivotFmt>
        <c:idx val="22"/>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2">
              <a:lumMod val="60000"/>
              <a:lumOff val="40000"/>
            </a:schemeClr>
          </a:solidFill>
          <a:ln>
            <a:noFill/>
          </a:ln>
          <a:effectLst/>
        </c:spPr>
      </c:pivotFmt>
      <c:pivotFmt>
        <c:idx val="24"/>
        <c:spPr>
          <a:solidFill>
            <a:schemeClr val="accent2">
              <a:tint val="70000"/>
            </a:schemeClr>
          </a:solidFill>
          <a:ln>
            <a:noFill/>
          </a:ln>
          <a:effectLst/>
        </c:spPr>
      </c:pivotFmt>
      <c:pivotFmt>
        <c:idx val="25"/>
        <c:spPr>
          <a:solidFill>
            <a:schemeClr val="accent2">
              <a:tint val="90000"/>
            </a:schemeClr>
          </a:solidFill>
          <a:ln>
            <a:noFill/>
          </a:ln>
          <a:effectLst/>
        </c:spPr>
      </c:pivotFmt>
      <c:pivotFmt>
        <c:idx val="26"/>
        <c:spPr>
          <a:solidFill>
            <a:schemeClr val="accent2">
              <a:shade val="90000"/>
            </a:schemeClr>
          </a:solidFill>
          <a:ln>
            <a:noFill/>
          </a:ln>
          <a:effectLst/>
        </c:spPr>
      </c:pivotFmt>
      <c:pivotFmt>
        <c:idx val="27"/>
        <c:spPr>
          <a:solidFill>
            <a:srgbClr val="EF6C00"/>
          </a:solidFill>
          <a:ln>
            <a:noFill/>
          </a:ln>
          <a:effectLst/>
        </c:spPr>
      </c:pivotFmt>
      <c:pivotFmt>
        <c:idx val="28"/>
        <c:spPr>
          <a:solidFill>
            <a:schemeClr val="accent2">
              <a:shade val="50000"/>
            </a:schemeClr>
          </a:solidFill>
          <a:ln>
            <a:noFill/>
          </a:ln>
          <a:effectLst/>
        </c:spPr>
      </c:pivotFmt>
    </c:pivotFmts>
    <c:plotArea>
      <c:layout/>
      <c:barChart>
        <c:barDir val="col"/>
        <c:grouping val="clustered"/>
        <c:varyColors val="1"/>
        <c:ser>
          <c:idx val="0"/>
          <c:order val="0"/>
          <c:tx>
            <c:strRef>
              <c:f>Analysis!$V$3</c:f>
              <c:strCache>
                <c:ptCount val="1"/>
                <c:pt idx="0">
                  <c:v>Total</c:v>
                </c:pt>
              </c:strCache>
            </c:strRef>
          </c:tx>
          <c:invertIfNegative val="0"/>
          <c:dPt>
            <c:idx val="0"/>
            <c:invertIfNegative val="0"/>
            <c:bubble3D val="0"/>
            <c:spPr>
              <a:solidFill>
                <a:schemeClr val="accent2">
                  <a:lumMod val="60000"/>
                  <a:lumOff val="40000"/>
                </a:schemeClr>
              </a:solidFill>
              <a:ln>
                <a:noFill/>
              </a:ln>
              <a:effectLst/>
            </c:spPr>
            <c:extLst>
              <c:ext xmlns:c16="http://schemas.microsoft.com/office/drawing/2014/chart" uri="{C3380CC4-5D6E-409C-BE32-E72D297353CC}">
                <c16:uniqueId val="{00000001-6F0A-4657-AD7E-6C00FCF35099}"/>
              </c:ext>
            </c:extLst>
          </c:dPt>
          <c:dPt>
            <c:idx val="1"/>
            <c:invertIfNegative val="0"/>
            <c:bubble3D val="0"/>
            <c:spPr>
              <a:solidFill>
                <a:schemeClr val="accent2">
                  <a:tint val="70000"/>
                </a:schemeClr>
              </a:solidFill>
              <a:ln>
                <a:noFill/>
              </a:ln>
              <a:effectLst/>
            </c:spPr>
            <c:extLst>
              <c:ext xmlns:c16="http://schemas.microsoft.com/office/drawing/2014/chart" uri="{C3380CC4-5D6E-409C-BE32-E72D297353CC}">
                <c16:uniqueId val="{00000003-6F0A-4657-AD7E-6C00FCF35099}"/>
              </c:ext>
            </c:extLst>
          </c:dPt>
          <c:dPt>
            <c:idx val="2"/>
            <c:invertIfNegative val="0"/>
            <c:bubble3D val="0"/>
            <c:spPr>
              <a:solidFill>
                <a:schemeClr val="accent2">
                  <a:tint val="90000"/>
                </a:schemeClr>
              </a:solidFill>
              <a:ln>
                <a:noFill/>
              </a:ln>
              <a:effectLst/>
            </c:spPr>
            <c:extLst>
              <c:ext xmlns:c16="http://schemas.microsoft.com/office/drawing/2014/chart" uri="{C3380CC4-5D6E-409C-BE32-E72D297353CC}">
                <c16:uniqueId val="{00000005-6F0A-4657-AD7E-6C00FCF35099}"/>
              </c:ext>
            </c:extLst>
          </c:dPt>
          <c:dPt>
            <c:idx val="3"/>
            <c:invertIfNegative val="0"/>
            <c:bubble3D val="0"/>
            <c:spPr>
              <a:solidFill>
                <a:schemeClr val="accent2">
                  <a:shade val="90000"/>
                </a:schemeClr>
              </a:solidFill>
              <a:ln>
                <a:noFill/>
              </a:ln>
              <a:effectLst/>
            </c:spPr>
            <c:extLst>
              <c:ext xmlns:c16="http://schemas.microsoft.com/office/drawing/2014/chart" uri="{C3380CC4-5D6E-409C-BE32-E72D297353CC}">
                <c16:uniqueId val="{00000007-6F0A-4657-AD7E-6C00FCF35099}"/>
              </c:ext>
            </c:extLst>
          </c:dPt>
          <c:dPt>
            <c:idx val="4"/>
            <c:invertIfNegative val="0"/>
            <c:bubble3D val="0"/>
            <c:spPr>
              <a:solidFill>
                <a:srgbClr val="EF6C00"/>
              </a:solidFill>
              <a:ln>
                <a:noFill/>
              </a:ln>
              <a:effectLst/>
            </c:spPr>
            <c:extLst>
              <c:ext xmlns:c16="http://schemas.microsoft.com/office/drawing/2014/chart" uri="{C3380CC4-5D6E-409C-BE32-E72D297353CC}">
                <c16:uniqueId val="{00000009-6F0A-4657-AD7E-6C00FCF35099}"/>
              </c:ext>
            </c:extLst>
          </c:dPt>
          <c:dPt>
            <c:idx val="5"/>
            <c:invertIfNegative val="0"/>
            <c:bubble3D val="0"/>
            <c:spPr>
              <a:solidFill>
                <a:schemeClr val="accent2">
                  <a:shade val="50000"/>
                </a:schemeClr>
              </a:solidFill>
              <a:ln>
                <a:noFill/>
              </a:ln>
              <a:effectLst/>
            </c:spPr>
            <c:extLst>
              <c:ext xmlns:c16="http://schemas.microsoft.com/office/drawing/2014/chart" uri="{C3380CC4-5D6E-409C-BE32-E72D297353CC}">
                <c16:uniqueId val="{0000000B-6F0A-4657-AD7E-6C00FCF35099}"/>
              </c:ext>
            </c:extLst>
          </c:dPt>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Analysis!$U$4:$U$10</c:f>
              <c:strCache>
                <c:ptCount val="6"/>
                <c:pt idx="0">
                  <c:v>A</c:v>
                </c:pt>
                <c:pt idx="1">
                  <c:v>A+</c:v>
                </c:pt>
                <c:pt idx="2">
                  <c:v>B</c:v>
                </c:pt>
                <c:pt idx="3">
                  <c:v>B+</c:v>
                </c:pt>
                <c:pt idx="4">
                  <c:v>C</c:v>
                </c:pt>
                <c:pt idx="5">
                  <c:v>Na</c:v>
                </c:pt>
              </c:strCache>
            </c:strRef>
          </c:cat>
          <c:val>
            <c:numRef>
              <c:f>Analysis!$V$4:$V$10</c:f>
              <c:numCache>
                <c:formatCode>[&gt;=1000000]\ #.##,,\ "M";[&gt;=1000]\ #.##,\ "K";#</c:formatCode>
                <c:ptCount val="6"/>
                <c:pt idx="0">
                  <c:v>4671</c:v>
                </c:pt>
                <c:pt idx="1">
                  <c:v>4191</c:v>
                </c:pt>
                <c:pt idx="2">
                  <c:v>4812</c:v>
                </c:pt>
                <c:pt idx="3">
                  <c:v>4917</c:v>
                </c:pt>
                <c:pt idx="4">
                  <c:v>5501</c:v>
                </c:pt>
                <c:pt idx="5">
                  <c:v>908</c:v>
                </c:pt>
              </c:numCache>
            </c:numRef>
          </c:val>
          <c:extLst>
            <c:ext xmlns:c16="http://schemas.microsoft.com/office/drawing/2014/chart" uri="{C3380CC4-5D6E-409C-BE32-E72D297353CC}">
              <c16:uniqueId val="{0000000C-6F0A-4657-AD7E-6C00FCF35099}"/>
            </c:ext>
          </c:extLst>
        </c:ser>
        <c:dLbls>
          <c:dLblPos val="outEnd"/>
          <c:showLegendKey val="0"/>
          <c:showVal val="1"/>
          <c:showCatName val="0"/>
          <c:showSerName val="0"/>
          <c:showPercent val="0"/>
          <c:showBubbleSize val="0"/>
        </c:dLbls>
        <c:gapWidth val="219"/>
        <c:overlap val="-27"/>
        <c:axId val="567316056"/>
        <c:axId val="567311736"/>
      </c:barChart>
      <c:catAx>
        <c:axId val="567316056"/>
        <c:scaling>
          <c:orientation val="minMax"/>
        </c:scaling>
        <c:delete val="0"/>
        <c:axPos val="b"/>
        <c:numFmt formatCode="General" sourceLinked="1"/>
        <c:majorTickMark val="none"/>
        <c:minorTickMark val="none"/>
        <c:tickLblPos val="nextTo"/>
        <c:spPr>
          <a:noFill/>
          <a:ln w="9525" cap="flat" cmpd="sng" algn="ctr">
            <a:solidFill>
              <a:srgbClr val="C00000"/>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Georgia" panose="02040502050405020303" pitchFamily="18" charset="0"/>
                <a:ea typeface="Ebrima" panose="02000000000000000000" pitchFamily="2" charset="0"/>
                <a:cs typeface="Ebrima" panose="02000000000000000000" pitchFamily="2" charset="0"/>
              </a:defRPr>
            </a:pPr>
            <a:endParaRPr lang="en-US"/>
          </a:p>
        </c:txPr>
        <c:crossAx val="567311736"/>
        <c:crosses val="autoZero"/>
        <c:auto val="1"/>
        <c:lblAlgn val="ctr"/>
        <c:lblOffset val="100"/>
        <c:noMultiLvlLbl val="0"/>
      </c:catAx>
      <c:valAx>
        <c:axId val="567311736"/>
        <c:scaling>
          <c:orientation val="minMax"/>
        </c:scaling>
        <c:delete val="1"/>
        <c:axPos val="l"/>
        <c:numFmt formatCode="[&gt;=1000000]\ #.##,,\ &quot;M&quot;;[&gt;=1000]\ #.##,\ &quot;K&quot;;#" sourceLinked="1"/>
        <c:majorTickMark val="none"/>
        <c:minorTickMark val="none"/>
        <c:tickLblPos val="nextTo"/>
        <c:crossAx val="567316056"/>
        <c:crosses val="autoZero"/>
        <c:crossBetween val="between"/>
      </c:valAx>
      <c:spPr>
        <a:noFill/>
        <a:ln>
          <a:noFill/>
        </a:ln>
        <a:effectLst/>
      </c:spPr>
    </c:plotArea>
    <c:legend>
      <c:legendPos val="t"/>
      <c:layout>
        <c:manualLayout>
          <c:xMode val="edge"/>
          <c:yMode val="edge"/>
          <c:x val="0.24212497476277009"/>
          <c:y val="0.13408769448373409"/>
          <c:w val="0.4858353523117302"/>
          <c:h val="8.7900045026196333E-2"/>
        </c:manualLayout>
      </c:layout>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Georgia" panose="02040502050405020303" pitchFamily="18" charset="0"/>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2">
        <a:lumMod val="20000"/>
        <a:lumOff val="80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[FMCG_data Work.xlsx]Analysis!PivotTable16</c:name>
    <c:fmtId val="-1"/>
  </c:pivotSource>
  <c:chart>
    <c:title>
      <c:tx>
        <c:rich>
          <a:bodyPr rot="0" spcFirstLastPara="1" vertOverflow="ellipsis" vert="horz" wrap="square" anchor="ctr" anchorCtr="1"/>
          <a:lstStyle/>
          <a:p>
            <a:pPr>
              <a:defRPr sz="1600" b="0" i="0" u="none" strike="noStrike" kern="1200" spc="0" baseline="0">
                <a:solidFill>
                  <a:srgbClr val="C00000"/>
                </a:solidFill>
                <a:latin typeface="Georgia" panose="02040502050405020303" pitchFamily="18" charset="0"/>
                <a:ea typeface="+mn-ea"/>
                <a:cs typeface="+mn-cs"/>
              </a:defRPr>
            </a:pPr>
            <a:r>
              <a:rPr lang="en-US" sz="1600" b="0" i="0" u="none" strike="noStrike" kern="1200" spc="0" baseline="0">
                <a:solidFill>
                  <a:srgbClr val="C00000"/>
                </a:solidFill>
                <a:latin typeface="Georgia" panose="02040502050405020303" pitchFamily="18" charset="0"/>
              </a:rPr>
              <a:t>Average Product ton distribution by Govt_Cert</a:t>
            </a:r>
          </a:p>
        </c:rich>
      </c:tx>
      <c:overlay val="0"/>
      <c:spPr>
        <a:noFill/>
        <a:ln>
          <a:noFill/>
        </a:ln>
        <a:effectLst/>
      </c:spPr>
      <c:txPr>
        <a:bodyPr rot="0" spcFirstLastPara="1" vertOverflow="ellipsis" vert="horz" wrap="square" anchor="ctr" anchorCtr="1"/>
        <a:lstStyle/>
        <a:p>
          <a:pPr>
            <a:defRPr sz="1600" b="0" i="0" u="none" strike="noStrike" kern="1200" spc="0" baseline="0">
              <a:solidFill>
                <a:srgbClr val="C00000"/>
              </a:solidFill>
              <a:latin typeface="Georgia" panose="02040502050405020303" pitchFamily="18" charset="0"/>
              <a:ea typeface="+mn-ea"/>
              <a:cs typeface="+mn-cs"/>
            </a:defRPr>
          </a:pPr>
          <a:endParaRPr lang="en-US"/>
        </a:p>
      </c:txPr>
    </c:title>
    <c:autoTitleDeleted val="0"/>
    <c:pivotFmts>
      <c:pivotFmt>
        <c:idx val="0"/>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2"/>
          </a:solidFill>
          <a:ln>
            <a:noFill/>
          </a:ln>
          <a:effectLst/>
        </c:spPr>
      </c:pivotFmt>
      <c:pivotFmt>
        <c:idx val="3"/>
        <c:spPr>
          <a:solidFill>
            <a:schemeClr val="accent2"/>
          </a:solidFill>
          <a:ln>
            <a:noFill/>
          </a:ln>
          <a:effectLst/>
        </c:spPr>
      </c:pivotFmt>
      <c:pivotFmt>
        <c:idx val="4"/>
        <c:spPr>
          <a:solidFill>
            <a:schemeClr val="accent2"/>
          </a:solidFill>
          <a:ln>
            <a:noFill/>
          </a:ln>
          <a:effectLst/>
        </c:spPr>
      </c:pivotFmt>
      <c:pivotFmt>
        <c:idx val="5"/>
        <c:spPr>
          <a:solidFill>
            <a:schemeClr val="accent2"/>
          </a:solidFill>
          <a:ln>
            <a:noFill/>
          </a:ln>
          <a:effectLst/>
        </c:spPr>
      </c:pivotFmt>
      <c:pivotFmt>
        <c:idx val="6"/>
        <c:spPr>
          <a:solidFill>
            <a:schemeClr val="accent2"/>
          </a:solidFill>
          <a:ln>
            <a:noFill/>
          </a:ln>
          <a:effectLst/>
        </c:spPr>
      </c:pivotFmt>
      <c:pivotFmt>
        <c:idx val="7"/>
        <c:spPr>
          <a:solidFill>
            <a:schemeClr val="accent2"/>
          </a:solidFill>
          <a:ln>
            <a:noFill/>
          </a:ln>
          <a:effectLst/>
        </c:spPr>
      </c:pivotFmt>
      <c:pivotFmt>
        <c:idx val="8"/>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4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2">
              <a:shade val="50000"/>
            </a:schemeClr>
          </a:solidFill>
          <a:ln>
            <a:noFill/>
          </a:ln>
          <a:effectLst/>
        </c:spPr>
      </c:pivotFmt>
      <c:pivotFmt>
        <c:idx val="10"/>
        <c:spPr>
          <a:solidFill>
            <a:srgbClr val="EF6C00"/>
          </a:solidFill>
          <a:ln>
            <a:noFill/>
          </a:ln>
          <a:effectLst/>
        </c:spPr>
      </c:pivotFmt>
      <c:pivotFmt>
        <c:idx val="11"/>
        <c:spPr>
          <a:solidFill>
            <a:schemeClr val="accent2">
              <a:shade val="90000"/>
            </a:schemeClr>
          </a:solidFill>
          <a:ln>
            <a:noFill/>
          </a:ln>
          <a:effectLst/>
        </c:spPr>
      </c:pivotFmt>
      <c:pivotFmt>
        <c:idx val="12"/>
        <c:spPr>
          <a:solidFill>
            <a:schemeClr val="accent2"/>
          </a:solidFill>
          <a:ln>
            <a:noFill/>
          </a:ln>
          <a:effectLst/>
        </c:spPr>
      </c:pivotFmt>
      <c:pivotFmt>
        <c:idx val="13"/>
        <c:spPr>
          <a:solidFill>
            <a:schemeClr val="accent2">
              <a:tint val="70000"/>
            </a:schemeClr>
          </a:solidFill>
          <a:ln>
            <a:noFill/>
          </a:ln>
          <a:effectLst/>
        </c:spPr>
      </c:pivotFmt>
      <c:pivotFmt>
        <c:idx val="14"/>
        <c:spPr>
          <a:solidFill>
            <a:schemeClr val="accent2"/>
          </a:solidFill>
          <a:ln>
            <a:noFill/>
          </a:ln>
          <a:effectLst/>
        </c:spPr>
      </c:pivotFmt>
      <c:pivotFmt>
        <c:idx val="15"/>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4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2">
              <a:shade val="50000"/>
            </a:schemeClr>
          </a:solidFill>
          <a:ln>
            <a:noFill/>
          </a:ln>
          <a:effectLst/>
        </c:spPr>
      </c:pivotFmt>
      <c:pivotFmt>
        <c:idx val="17"/>
        <c:spPr>
          <a:solidFill>
            <a:srgbClr val="EF6C00"/>
          </a:solidFill>
          <a:ln>
            <a:noFill/>
          </a:ln>
          <a:effectLst/>
        </c:spPr>
      </c:pivotFmt>
      <c:pivotFmt>
        <c:idx val="18"/>
        <c:spPr>
          <a:solidFill>
            <a:schemeClr val="accent2">
              <a:shade val="90000"/>
            </a:schemeClr>
          </a:solidFill>
          <a:ln>
            <a:noFill/>
          </a:ln>
          <a:effectLst/>
        </c:spPr>
      </c:pivotFmt>
      <c:pivotFmt>
        <c:idx val="19"/>
        <c:spPr>
          <a:solidFill>
            <a:schemeClr val="accent2"/>
          </a:solidFill>
          <a:ln>
            <a:noFill/>
          </a:ln>
          <a:effectLst/>
        </c:spPr>
      </c:pivotFmt>
      <c:pivotFmt>
        <c:idx val="20"/>
        <c:spPr>
          <a:solidFill>
            <a:schemeClr val="accent2">
              <a:tint val="70000"/>
            </a:schemeClr>
          </a:solidFill>
          <a:ln>
            <a:noFill/>
          </a:ln>
          <a:effectLst/>
        </c:spPr>
      </c:pivotFmt>
      <c:pivotFmt>
        <c:idx val="21"/>
        <c:spPr>
          <a:solidFill>
            <a:schemeClr val="accent2"/>
          </a:solidFill>
          <a:ln>
            <a:noFill/>
          </a:ln>
          <a:effectLst/>
        </c:spPr>
      </c:pivotFmt>
      <c:pivotFmt>
        <c:idx val="22"/>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4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2">
              <a:shade val="50000"/>
            </a:schemeClr>
          </a:solidFill>
          <a:ln>
            <a:noFill/>
          </a:ln>
          <a:effectLst/>
        </c:spPr>
      </c:pivotFmt>
      <c:pivotFmt>
        <c:idx val="24"/>
        <c:spPr>
          <a:solidFill>
            <a:srgbClr val="EF6C00"/>
          </a:solidFill>
          <a:ln>
            <a:noFill/>
          </a:ln>
          <a:effectLst/>
        </c:spPr>
      </c:pivotFmt>
      <c:pivotFmt>
        <c:idx val="25"/>
        <c:spPr>
          <a:solidFill>
            <a:schemeClr val="accent2">
              <a:shade val="90000"/>
            </a:schemeClr>
          </a:solidFill>
          <a:ln>
            <a:noFill/>
          </a:ln>
          <a:effectLst/>
        </c:spPr>
      </c:pivotFmt>
      <c:pivotFmt>
        <c:idx val="26"/>
        <c:spPr>
          <a:solidFill>
            <a:schemeClr val="accent2"/>
          </a:solidFill>
          <a:ln>
            <a:noFill/>
          </a:ln>
          <a:effectLst/>
        </c:spPr>
      </c:pivotFmt>
      <c:pivotFmt>
        <c:idx val="27"/>
        <c:spPr>
          <a:solidFill>
            <a:schemeClr val="accent2">
              <a:tint val="70000"/>
            </a:schemeClr>
          </a:solidFill>
          <a:ln>
            <a:noFill/>
          </a:ln>
          <a:effectLst/>
        </c:spPr>
      </c:pivotFmt>
      <c:pivotFmt>
        <c:idx val="28"/>
        <c:spPr>
          <a:solidFill>
            <a:schemeClr val="accent2"/>
          </a:solidFill>
          <a:ln>
            <a:noFill/>
          </a:ln>
          <a:effectLst/>
        </c:spPr>
      </c:pivotFmt>
    </c:pivotFmts>
    <c:plotArea>
      <c:layout/>
      <c:barChart>
        <c:barDir val="col"/>
        <c:grouping val="clustered"/>
        <c:varyColors val="1"/>
        <c:ser>
          <c:idx val="0"/>
          <c:order val="0"/>
          <c:tx>
            <c:strRef>
              <c:f>Analysis!$V$15</c:f>
              <c:strCache>
                <c:ptCount val="1"/>
                <c:pt idx="0">
                  <c:v>Total</c:v>
                </c:pt>
              </c:strCache>
            </c:strRef>
          </c:tx>
          <c:invertIfNegative val="0"/>
          <c:dPt>
            <c:idx val="0"/>
            <c:invertIfNegative val="0"/>
            <c:bubble3D val="0"/>
            <c:spPr>
              <a:solidFill>
                <a:schemeClr val="accent2">
                  <a:shade val="50000"/>
                </a:schemeClr>
              </a:solidFill>
              <a:ln>
                <a:noFill/>
              </a:ln>
              <a:effectLst/>
            </c:spPr>
            <c:extLst>
              <c:ext xmlns:c16="http://schemas.microsoft.com/office/drawing/2014/chart" uri="{C3380CC4-5D6E-409C-BE32-E72D297353CC}">
                <c16:uniqueId val="{00000001-C75F-4E60-B265-8838FF8EC1EC}"/>
              </c:ext>
            </c:extLst>
          </c:dPt>
          <c:dPt>
            <c:idx val="1"/>
            <c:invertIfNegative val="0"/>
            <c:bubble3D val="0"/>
            <c:spPr>
              <a:solidFill>
                <a:srgbClr val="EF6C00"/>
              </a:solidFill>
              <a:ln>
                <a:noFill/>
              </a:ln>
              <a:effectLst/>
            </c:spPr>
            <c:extLst>
              <c:ext xmlns:c16="http://schemas.microsoft.com/office/drawing/2014/chart" uri="{C3380CC4-5D6E-409C-BE32-E72D297353CC}">
                <c16:uniqueId val="{00000003-C75F-4E60-B265-8838FF8EC1EC}"/>
              </c:ext>
            </c:extLst>
          </c:dPt>
          <c:dPt>
            <c:idx val="2"/>
            <c:invertIfNegative val="0"/>
            <c:bubble3D val="0"/>
            <c:spPr>
              <a:solidFill>
                <a:schemeClr val="accent2">
                  <a:shade val="90000"/>
                </a:schemeClr>
              </a:solidFill>
              <a:ln>
                <a:noFill/>
              </a:ln>
              <a:effectLst/>
            </c:spPr>
            <c:extLst>
              <c:ext xmlns:c16="http://schemas.microsoft.com/office/drawing/2014/chart" uri="{C3380CC4-5D6E-409C-BE32-E72D297353CC}">
                <c16:uniqueId val="{00000005-C75F-4E60-B265-8838FF8EC1EC}"/>
              </c:ext>
            </c:extLst>
          </c:dPt>
          <c:dPt>
            <c:idx val="3"/>
            <c:invertIfNegative val="0"/>
            <c:bubble3D val="0"/>
            <c:spPr>
              <a:solidFill>
                <a:schemeClr val="accent2">
                  <a:tint val="90000"/>
                </a:schemeClr>
              </a:solidFill>
              <a:ln>
                <a:noFill/>
              </a:ln>
              <a:effectLst/>
            </c:spPr>
            <c:extLst>
              <c:ext xmlns:c16="http://schemas.microsoft.com/office/drawing/2014/chart" uri="{C3380CC4-5D6E-409C-BE32-E72D297353CC}">
                <c16:uniqueId val="{00000007-C75F-4E60-B265-8838FF8EC1EC}"/>
              </c:ext>
            </c:extLst>
          </c:dPt>
          <c:dPt>
            <c:idx val="4"/>
            <c:invertIfNegative val="0"/>
            <c:bubble3D val="0"/>
            <c:spPr>
              <a:solidFill>
                <a:schemeClr val="accent2">
                  <a:tint val="70000"/>
                </a:schemeClr>
              </a:solidFill>
              <a:ln>
                <a:noFill/>
              </a:ln>
              <a:effectLst/>
            </c:spPr>
            <c:extLst>
              <c:ext xmlns:c16="http://schemas.microsoft.com/office/drawing/2014/chart" uri="{C3380CC4-5D6E-409C-BE32-E72D297353CC}">
                <c16:uniqueId val="{00000009-C75F-4E60-B265-8838FF8EC1EC}"/>
              </c:ext>
            </c:extLst>
          </c:dPt>
          <c:dPt>
            <c:idx val="5"/>
            <c:invertIfNegative val="0"/>
            <c:bubble3D val="0"/>
            <c:spPr>
              <a:solidFill>
                <a:schemeClr val="accent2">
                  <a:tint val="50000"/>
                </a:schemeClr>
              </a:solidFill>
              <a:ln>
                <a:noFill/>
              </a:ln>
              <a:effectLst/>
            </c:spPr>
            <c:extLst>
              <c:ext xmlns:c16="http://schemas.microsoft.com/office/drawing/2014/chart" uri="{C3380CC4-5D6E-409C-BE32-E72D297353CC}">
                <c16:uniqueId val="{0000000B-C75F-4E60-B265-8838FF8EC1EC}"/>
              </c:ext>
            </c:extLst>
          </c:dPt>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Georgia" panose="02040502050405020303"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Analysis!$U$16:$U$22</c:f>
              <c:strCache>
                <c:ptCount val="6"/>
                <c:pt idx="0">
                  <c:v>A</c:v>
                </c:pt>
                <c:pt idx="1">
                  <c:v>A+</c:v>
                </c:pt>
                <c:pt idx="2">
                  <c:v>B</c:v>
                </c:pt>
                <c:pt idx="3">
                  <c:v>B+</c:v>
                </c:pt>
                <c:pt idx="4">
                  <c:v>C</c:v>
                </c:pt>
                <c:pt idx="5">
                  <c:v>Na</c:v>
                </c:pt>
              </c:strCache>
            </c:strRef>
          </c:cat>
          <c:val>
            <c:numRef>
              <c:f>Analysis!$V$16:$V$22</c:f>
              <c:numCache>
                <c:formatCode>[&gt;=1000000]\ #.##,,\ "M";[&gt;=1000]\ #.##,\ "K";#</c:formatCode>
                <c:ptCount val="6"/>
                <c:pt idx="0">
                  <c:v>24122.532220081353</c:v>
                </c:pt>
                <c:pt idx="1">
                  <c:v>26717.947983774757</c:v>
                </c:pt>
                <c:pt idx="2">
                  <c:v>21259.281587697424</c:v>
                </c:pt>
                <c:pt idx="3">
                  <c:v>21456.008338417734</c:v>
                </c:pt>
                <c:pt idx="4">
                  <c:v>20938.889292855845</c:v>
                </c:pt>
                <c:pt idx="5">
                  <c:v>5430.472466960352</c:v>
                </c:pt>
              </c:numCache>
            </c:numRef>
          </c:val>
          <c:extLst>
            <c:ext xmlns:c16="http://schemas.microsoft.com/office/drawing/2014/chart" uri="{C3380CC4-5D6E-409C-BE32-E72D297353CC}">
              <c16:uniqueId val="{0000000C-C75F-4E60-B265-8838FF8EC1EC}"/>
            </c:ext>
          </c:extLst>
        </c:ser>
        <c:dLbls>
          <c:dLblPos val="outEnd"/>
          <c:showLegendKey val="0"/>
          <c:showVal val="1"/>
          <c:showCatName val="0"/>
          <c:showSerName val="0"/>
          <c:showPercent val="0"/>
          <c:showBubbleSize val="0"/>
        </c:dLbls>
        <c:gapWidth val="219"/>
        <c:overlap val="-27"/>
        <c:axId val="587499104"/>
        <c:axId val="587499824"/>
      </c:barChart>
      <c:catAx>
        <c:axId val="587499104"/>
        <c:scaling>
          <c:orientation val="minMax"/>
        </c:scaling>
        <c:delete val="0"/>
        <c:axPos val="b"/>
        <c:numFmt formatCode="General" sourceLinked="1"/>
        <c:majorTickMark val="none"/>
        <c:minorTickMark val="none"/>
        <c:tickLblPos val="nextTo"/>
        <c:spPr>
          <a:noFill/>
          <a:ln w="9525" cap="flat" cmpd="sng" algn="ctr">
            <a:solidFill>
              <a:srgbClr val="C00000"/>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Georgia" panose="02040502050405020303" pitchFamily="18" charset="0"/>
                <a:ea typeface="+mn-ea"/>
                <a:cs typeface="+mn-cs"/>
              </a:defRPr>
            </a:pPr>
            <a:endParaRPr lang="en-US"/>
          </a:p>
        </c:txPr>
        <c:crossAx val="587499824"/>
        <c:crosses val="autoZero"/>
        <c:auto val="1"/>
        <c:lblAlgn val="ctr"/>
        <c:lblOffset val="100"/>
        <c:noMultiLvlLbl val="0"/>
      </c:catAx>
      <c:valAx>
        <c:axId val="587499824"/>
        <c:scaling>
          <c:orientation val="minMax"/>
        </c:scaling>
        <c:delete val="1"/>
        <c:axPos val="l"/>
        <c:numFmt formatCode="[&gt;=1000000]\ #.##,,\ &quot;M&quot;;[&gt;=1000]\ #.##,\ &quot;K&quot;;#" sourceLinked="1"/>
        <c:majorTickMark val="none"/>
        <c:minorTickMark val="none"/>
        <c:tickLblPos val="nextTo"/>
        <c:crossAx val="587499104"/>
        <c:crosses val="autoZero"/>
        <c:crossBetween val="between"/>
      </c:valAx>
      <c:spPr>
        <a:noFill/>
        <a:ln>
          <a:noFill/>
        </a:ln>
        <a:effectLst/>
      </c:spPr>
    </c:plotArea>
    <c:legend>
      <c:legendPos val="t"/>
      <c:layout>
        <c:manualLayout>
          <c:xMode val="edge"/>
          <c:yMode val="edge"/>
          <c:x val="0.23132886827177163"/>
          <c:y val="0.14746666666666666"/>
          <c:w val="0.52602364432799043"/>
          <c:h val="9.6670516185476812E-2"/>
        </c:manualLayout>
      </c:layout>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Georgia" panose="02040502050405020303" pitchFamily="18" charset="0"/>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2">
        <a:lumMod val="20000"/>
        <a:lumOff val="80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withinLinearReversed" id="21">
  <a:schemeClr val="accent1"/>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Reversed" id="22">
  <a:schemeClr val="accent2"/>
</cs:colorStyle>
</file>

<file path=word/charts/colors4.xml><?xml version="1.0" encoding="utf-8"?>
<cs:colorStyle xmlns:cs="http://schemas.microsoft.com/office/drawing/2012/chartStyle" xmlns:a="http://schemas.openxmlformats.org/drawingml/2006/main" meth="withinLinear" id="15">
  <a:schemeClr val="accent2"/>
</cs:colorStyle>
</file>

<file path=word/charts/colors5.xml><?xml version="1.0" encoding="utf-8"?>
<cs:colorStyle xmlns:cs="http://schemas.microsoft.com/office/drawing/2012/chartStyle" xmlns:a="http://schemas.openxmlformats.org/drawingml/2006/main" meth="withinLinearReversed" id="22">
  <a:schemeClr val="accent2"/>
</cs:colorStyle>
</file>

<file path=word/charts/colors6.xml><?xml version="1.0" encoding="utf-8"?>
<cs:colorStyle xmlns:cs="http://schemas.microsoft.com/office/drawing/2012/chartStyle" xmlns:a="http://schemas.openxmlformats.org/drawingml/2006/main" meth="withinLinearReversed" id="22">
  <a:schemeClr val="accent2"/>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Reversed" id="22">
  <a:schemeClr val="accent2"/>
</cs:colorStyle>
</file>

<file path=word/charts/colors9.xml><?xml version="1.0" encoding="utf-8"?>
<cs:colorStyle xmlns:cs="http://schemas.microsoft.com/office/drawing/2012/chartStyle" xmlns:a="http://schemas.openxmlformats.org/drawingml/2006/main" meth="withinLinear" id="15">
  <a:schemeClr val="accent2"/>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Using historical data to determine an optimum weight of the product to be shipped each time to the warehouse by analyzing the demand pattern in different pockets of the country so management can drive the advertisement campaign particular in those pockets.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566A1B5-23B3-4021-909C-760B732FA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1463</TotalTime>
  <Pages>1</Pages>
  <Words>4593</Words>
  <Characters>26185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ANALYSIS OF THE DEMAND AND SUPPLY NEEDS OF A FMCG NOODLES COMPANY</vt:lpstr>
    </vt:vector>
  </TitlesOfParts>
  <Company/>
  <LinksUpToDate>false</LinksUpToDate>
  <CharactersWithSpaces>30717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THE DEMAND AND SUPPLY NEEDS OF A FMCG NOODLES COMPANY</dc:title>
  <dc:subject/>
  <dc:creator>Orhine Adidi</dc:creator>
  <cp:keywords/>
  <dc:description/>
  <cp:lastModifiedBy>Orhine Adidi</cp:lastModifiedBy>
  <cp:revision>151</cp:revision>
  <dcterms:created xsi:type="dcterms:W3CDTF">2026-01-17T10:34:00Z</dcterms:created>
  <dcterms:modified xsi:type="dcterms:W3CDTF">2026-02-25T10:21:00Z</dcterms:modified>
  <cp:category>Data Analyst</cp:category>
</cp:coreProperties>
</file>