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C199E">
      <w:pPr>
        <w:jc w:val="center"/>
      </w:pPr>
      <w:r>
        <w:rPr>
          <w:b/>
          <w:sz w:val="36"/>
        </w:rPr>
        <w:t>基于PsychoPy的平板触摸式时钟绘图任务（CDT）</w:t>
      </w:r>
      <w:r>
        <w:rPr>
          <w:b/>
          <w:sz w:val="36"/>
        </w:rPr>
        <w:br w:type="textWrapping"/>
      </w:r>
      <w:r>
        <w:rPr>
          <w:b/>
          <w:sz w:val="36"/>
        </w:rPr>
        <w:t>范式说明与数据分析方案（MoCA三域 + 19特征 + 笔迹过程特征）</w:t>
      </w:r>
    </w:p>
    <w:p w14:paraId="089A389F"/>
    <w:p w14:paraId="57B203CA">
      <w:pPr>
        <w:pStyle w:val="3"/>
      </w:pPr>
      <w:r>
        <w:t>1. 范式概述</w:t>
      </w:r>
    </w:p>
    <w:p w14:paraId="2F09045F">
      <w:r>
        <w:t>本范式在 Windows 平板端（手指触摸）运行时钟绘图任务（Clock Drawing Test, CDT），使用 PsychoPy（Python/Standalone）记录绘图轨迹（时间戳+坐标+笔画编号），并可选录制同步视频。被试需在指定区域内画钟面、填写 1–12 的数字、并把时间画成“11:10（10 past 11）”。该指令与命令作图/临摹两条件在CDT与数字CDT（dCDT）研究中广泛使用。</w:t>
      </w:r>
    </w:p>
    <w:p w14:paraId="557DEF61">
      <w:r>
        <w:t>本方案采用三层特征体系进行区分分析：</w:t>
      </w:r>
      <w:r>
        <w:br w:type="textWrapping"/>
      </w:r>
      <w:r>
        <w:t>（1）MoCA 三域结果分（轮廓/数字/指针，各1分）；</w:t>
      </w:r>
      <w:r>
        <w:br w:type="textWrapping"/>
      </w:r>
      <w:r>
        <w:t>（2）19 个可解释空间/结构特征（按轮廓/数字/指针三域组织）；</w:t>
      </w:r>
      <w:r>
        <w:br w:type="textWrapping"/>
      </w:r>
      <w:r>
        <w:t>（3）笔迹过程特征（时间/运动学/纠错），用于刻画“怎么画出来的”（thinking vs doing）。</w:t>
      </w:r>
    </w:p>
    <w:p w14:paraId="12DDACF9">
      <w:pPr>
        <w:pStyle w:val="3"/>
      </w:pPr>
      <w:r>
        <w:t>2. 测验内容与适用人群</w:t>
      </w:r>
    </w:p>
    <w:p w14:paraId="6871D612">
      <w:pPr>
        <w:pStyle w:val="4"/>
      </w:pPr>
      <w:r>
        <w:t>2.1 施测对象与年龄</w:t>
      </w:r>
    </w:p>
    <w:p w14:paraId="25CC04FA">
      <w:r>
        <w:t>建议用于中老年认知筛查与研究：正常老年人 vs 轻度认知障碍（MCI）/痴呆（含AD）。推荐年龄≥55岁（也可根据研究设计设定≥50或≥65）。</w:t>
      </w:r>
    </w:p>
    <w:p w14:paraId="0B4F5445">
      <w:pPr>
        <w:pStyle w:val="4"/>
      </w:pPr>
      <w:r>
        <w:t>2.2 测验条件</w:t>
      </w:r>
    </w:p>
    <w:p w14:paraId="52FCB9DC">
      <w:r>
        <w:t>默认：命令作图（Command）条件。可选扩展：临摹（Copy）条件（呈现标准钟面供临摹）。</w:t>
      </w:r>
    </w:p>
    <w:p w14:paraId="38028BA0">
      <w:pPr>
        <w:pStyle w:val="3"/>
      </w:pPr>
      <w:r>
        <w:t>3. 指导语（标准化施测）</w:t>
      </w:r>
    </w:p>
    <w:p w14:paraId="7F54D5D7">
      <w:r>
        <w:t>推荐中文指导语：</w:t>
      </w:r>
      <w:r>
        <w:br w:type="textWrapping"/>
      </w:r>
      <w:r>
        <w:t>“请在框内画一个钟表，写上所有数字，并把时间画成 11 点 10 分。请尽量画得像真正的钟一样。完成后请点‘完成’。”</w:t>
      </w:r>
      <w:r>
        <w:br w:type="textWrapping"/>
      </w:r>
      <w:r>
        <w:t>说明：施测时不提示阶段（画圆/写数字/画指针），阶段划分用于后期分析。</w:t>
      </w:r>
    </w:p>
    <w:p w14:paraId="6074BC1B">
      <w:pPr>
        <w:pStyle w:val="3"/>
      </w:pPr>
      <w:r>
        <w:t>4. 实验设计与基本参数</w:t>
      </w:r>
    </w:p>
    <w:p w14:paraId="2144A79A">
      <w:pPr>
        <w:pStyle w:val="4"/>
      </w:pPr>
      <w:r>
        <w:t>4.1 流程</w:t>
      </w:r>
    </w:p>
    <w:p w14:paraId="287BC89F">
      <w:r>
        <w:t>（1）点击屏幕开始；（2）在框内绘画；（3）按钮：清空/撤销/完成；（4）自动保存数据文件。</w:t>
      </w:r>
    </w:p>
    <w:p w14:paraId="141D1968">
      <w:pPr>
        <w:pStyle w:val="4"/>
      </w:pPr>
      <w:r>
        <w:t>4.2 关键参数（与脚本一致）</w:t>
      </w:r>
    </w:p>
    <w:p w14:paraId="162E4E7E">
      <w:r>
        <w:t>• Window：units='height'，全屏运行</w:t>
      </w:r>
      <w:r>
        <w:br w:type="textWrapping"/>
      </w:r>
      <w:r>
        <w:t>• 绘图区：BOX_W=1.25，BOX_H=0.80，位置pos=(0,-0.03)</w:t>
      </w:r>
      <w:r>
        <w:br w:type="textWrapping"/>
      </w:r>
      <w:r>
        <w:t>• 线宽：7.0（适配手指）</w:t>
      </w:r>
      <w:r>
        <w:br w:type="textWrapping"/>
      </w:r>
      <w:r>
        <w:t>• 轨迹采样阈值：MOVE_THRESH=0.0015</w:t>
      </w:r>
      <w:r>
        <w:br w:type="textWrapping"/>
      </w:r>
      <w:r>
        <w:t>• 视频（可选）：30fps，640×480（依赖摄像头与后端/权限）</w:t>
      </w:r>
    </w:p>
    <w:p w14:paraId="305BD859">
      <w:pPr>
        <w:pStyle w:val="3"/>
      </w:pPr>
      <w:r>
        <w:t>5. 数据收集（输出文件与字段）</w:t>
      </w:r>
    </w:p>
    <w:p w14:paraId="070CBFD1">
      <w:pPr>
        <w:pStyle w:val="4"/>
      </w:pPr>
      <w:r>
        <w:t>5.1 轨迹数据（最终版本）：_traj.csv</w:t>
      </w:r>
    </w:p>
    <w:p w14:paraId="262737CA">
      <w:r>
        <w:t>字段：t, x, y, stroke_id, is_drawing</w:t>
      </w:r>
      <w:r>
        <w:br w:type="textWrapping"/>
      </w:r>
      <w:r>
        <w:t>用于计算 Think/Ink、笔画间间隔、速度等过程特征。</w:t>
      </w:r>
    </w:p>
    <w:p w14:paraId="66F165EC">
      <w:pPr>
        <w:pStyle w:val="4"/>
      </w:pPr>
      <w:r>
        <w:t>5.2 全量事件日志：_traj_raw.csv（推荐保留）</w:t>
      </w:r>
    </w:p>
    <w:p w14:paraId="79CB82BB">
      <w:r>
        <w:t>字段：t, x, y, stroke_id, is_drawing, is_active, event</w:t>
      </w:r>
      <w:r>
        <w:br w:type="textWrapping"/>
      </w:r>
      <w:r>
        <w:t>• event：DOWN/MOVE/UP/UNDO/CLEAR/DONE</w:t>
      </w:r>
      <w:r>
        <w:br w:type="textWrapping"/>
      </w:r>
      <w:r>
        <w:t>• is_active：该记录是否属于最终有效钟面（撤销后会标记为0）</w:t>
      </w:r>
    </w:p>
    <w:p w14:paraId="564D83C1">
      <w:pPr>
        <w:pStyle w:val="4"/>
      </w:pPr>
      <w:r>
        <w:t>5.3 笔画汇总：_stroke_summary.csv</w:t>
      </w:r>
    </w:p>
    <w:p w14:paraId="1AD6F4A2">
      <w:r>
        <w:t>字段：stroke_id, t_start, t_end, duration, point_count, path_length</w:t>
      </w:r>
      <w:r>
        <w:br w:type="textWrapping"/>
      </w:r>
      <w:r>
        <w:t>用途：直接用于笔画级过程特征（pen lifts、stroke duration、stroke length）。</w:t>
      </w:r>
    </w:p>
    <w:p w14:paraId="75BCC134">
      <w:pPr>
        <w:pStyle w:val="4"/>
      </w:pPr>
      <w:r>
        <w:t>5.4 撤销事件：_undo_events.csv</w:t>
      </w:r>
    </w:p>
    <w:p w14:paraId="0295265F">
      <w:r>
        <w:t>字段：undo_time, undone_stroke_id, active_strokes_before_undo, undo_event_id</w:t>
      </w:r>
      <w:r>
        <w:br w:type="textWrapping"/>
      </w:r>
      <w:r>
        <w:t>用途：纠错/自我监控特征。</w:t>
      </w:r>
    </w:p>
    <w:p w14:paraId="4BC678B4">
      <w:pPr>
        <w:pStyle w:val="4"/>
      </w:pPr>
      <w:r>
        <w:t>5.5 图像输出：_final_ui.png 与 _clock_only.png</w:t>
      </w:r>
    </w:p>
    <w:p w14:paraId="230047E8">
      <w:r>
        <w:t>• final_ui.png：含UI，用于存档与施测复核</w:t>
      </w:r>
      <w:r>
        <w:br w:type="textWrapping"/>
      </w:r>
      <w:r>
        <w:t>• clock_only.png：仅钟面笔迹（不含文字/按钮/框），强烈建议用于19特征/计算机视觉提取，减少误检。</w:t>
      </w:r>
    </w:p>
    <w:p w14:paraId="25559914">
      <w:pPr>
        <w:pStyle w:val="4"/>
      </w:pPr>
      <w:r>
        <w:t>5.6 视频：_video.mp4（可选）与 meta.txt</w:t>
      </w:r>
    </w:p>
    <w:p w14:paraId="7AEBF7FF">
      <w:r>
        <w:t>视频用于质控与辅助标注；meta.txt 记录路径、时间戳与几何参数（win_size、box尺寸/位置、线宽、采样阈值）。</w:t>
      </w:r>
    </w:p>
    <w:p w14:paraId="3118CFE4">
      <w:pPr>
        <w:pStyle w:val="3"/>
      </w:pPr>
      <w:r>
        <w:t>6. 分析框架</w:t>
      </w:r>
    </w:p>
    <w:p w14:paraId="510AD374">
      <w:pPr>
        <w:pStyle w:val="4"/>
      </w:pPr>
      <w:r>
        <w:t>6.1 MoCA 三域结果分（0–3）</w:t>
      </w:r>
    </w:p>
    <w:p w14:paraId="36AFF219">
      <w:r>
        <w:t>轮廓/数字/指针各1分。用于与临床量表可比、也可作为模型特征或标签。</w:t>
      </w:r>
    </w:p>
    <w:p w14:paraId="154B4861">
      <w:pPr>
        <w:pStyle w:val="4"/>
      </w:pPr>
      <w:r>
        <w:t>6.2 19 个可解释空间/结构特征（按三域组织）</w:t>
      </w:r>
    </w:p>
    <w:p w14:paraId="48C57534">
      <w:r>
        <w:t>采用 Handzlik 等（2023）提出的19维特征集合：轮廓5项、数字8项、指针6项。建议使用 clock_only.png 或轨迹重建图像进行提取，并在论文中说明每个特征与MoCA三域的对应关系。</w:t>
      </w:r>
    </w:p>
    <w:p w14:paraId="1EBE336B">
      <w:pPr>
        <w:pStyle w:val="4"/>
      </w:pPr>
      <w:r>
        <w:t>6.3 笔迹过程特征（时间/运动学/纠错）</w:t>
      </w:r>
    </w:p>
    <w:p w14:paraId="6D14ABC8">
      <w:r>
        <w:t>基于 traj.csv / traj_raw.csv / stroke_summary.csv 提取：</w:t>
      </w:r>
      <w:r>
        <w:br w:type="textWrapping"/>
      </w:r>
      <w:r>
        <w:t>A. 时间（thinking vs doing）</w:t>
      </w:r>
      <w:r>
        <w:br w:type="textWrapping"/>
      </w:r>
      <w:r>
        <w:t>• TTC 总完成时长；Ink time（绘画时间）；Think time（停顿/非绘画时间）；%Ink/%Think</w:t>
      </w:r>
      <w:r>
        <w:br w:type="textWrapping"/>
      </w:r>
      <w:r>
        <w:t>• inter-stroke latency（笔画间间隔）分布：均值/中位数/最大值/分位数</w:t>
      </w:r>
      <w:r>
        <w:br w:type="textWrapping"/>
      </w:r>
      <w:r>
        <w:br w:type="textWrapping"/>
      </w:r>
      <w:r>
        <w:t>B. 运动学（graphomotor）</w:t>
      </w:r>
      <w:r>
        <w:br w:type="textWrapping"/>
      </w:r>
      <w:r>
        <w:t>• 轨迹总长度、平均速度、速度变异（CV）、加速度/jerk近似（可选）</w:t>
      </w:r>
      <w:r>
        <w:br w:type="textWrapping"/>
      </w:r>
      <w:r>
        <w:t>• 启停次数（与笔画数、短停顿密度相关）</w:t>
      </w:r>
      <w:r>
        <w:br w:type="textWrapping"/>
      </w:r>
      <w:r>
        <w:br w:type="textWrapping"/>
      </w:r>
      <w:r>
        <w:t>C. 纠错/自我监控</w:t>
      </w:r>
      <w:r>
        <w:br w:type="textWrapping"/>
      </w:r>
      <w:r>
        <w:t>• 撤销次数、撤销发生时点、撤销比例（undo_count / active_stroke_count）</w:t>
      </w:r>
      <w:r>
        <w:br w:type="textWrapping"/>
      </w:r>
      <w:r>
        <w:br w:type="textWrapping"/>
      </w:r>
      <w:r>
        <w:t>说明：本范式为手指触摸输入，通常无法获得压力/倾角/悬空轨迹；但仍可获得关键的时间分解、笔画级与运动学过程指标。</w:t>
      </w:r>
    </w:p>
    <w:p w14:paraId="684F4DA7">
      <w:pPr>
        <w:pStyle w:val="4"/>
      </w:pPr>
      <w:r>
        <w:t>6.4 后期三域阶段划分（不在施测时提示）</w:t>
      </w:r>
    </w:p>
    <w:p w14:paraId="64A0BA66">
      <w:r>
        <w:t>建议在后期将笔画/轨迹分配到轮廓/数字/指针三域，以实现“域内过程指标”（例如数字阶段Think time更长）。可先用几何规则（闭环外轮廓、中心放射直线等）作为基线，再用少量人工标注训练笔画级分类器提升稳定性。</w:t>
      </w:r>
    </w:p>
    <w:p w14:paraId="5E1D00EA">
      <w:pPr>
        <w:pStyle w:val="3"/>
      </w:pPr>
      <w:r>
        <w:t>7. 统计与建模建议</w:t>
      </w:r>
    </w:p>
    <w:p w14:paraId="429280DB">
      <w:r>
        <w:t>• 描述统计：均值±SD或中位数（IQR），必要时对极端误触做截尾。</w:t>
      </w:r>
      <w:r>
        <w:br w:type="textWrapping"/>
      </w:r>
      <w:r>
        <w:t>• 组间比较：t检验/ANOVA 或非参数检验；分类变量用卡方。</w:t>
      </w:r>
      <w:r>
        <w:br w:type="textWrapping"/>
      </w:r>
      <w:r>
        <w:t>• 融合建模：将 MoCA三域 + 19特征 + 过程特征 早融合拼接，采用逻辑回归（可解释）或树模型（RF/GBDT），分层K折交叉验证，报告 AUC、敏感度、特异度、F1。</w:t>
      </w:r>
    </w:p>
    <w:p w14:paraId="4795614C">
      <w:pPr>
        <w:pStyle w:val="3"/>
      </w:pPr>
      <w:r>
        <w:t>8. 参考文献</w:t>
      </w:r>
    </w:p>
    <w:p w14:paraId="7775FE41">
      <w:pPr>
        <w:pStyle w:val="16"/>
      </w:pPr>
      <w:bookmarkStart w:id="0" w:name="_GoBack"/>
      <w:bookmarkEnd w:id="0"/>
      <w:r>
        <w:t>Handzlik MK, et al. Explainable automated evaluation of the clock drawing task for memory. Alzheimer’s &amp; Dementia: Diagnosis, Assessment &amp; Disease Monitoring. 2023;15:e12441.</w:t>
      </w:r>
    </w:p>
    <w:p w14:paraId="705CFAB1">
      <w:pPr>
        <w:pStyle w:val="16"/>
      </w:pPr>
      <w:r>
        <w:t>Price CC, et al. Clock Drawing in the Montreal Cognitive Assessment (MoCA): Recommendations for Dementia Assessment. Dement Geriatr Cogn Disord. 2011.</w:t>
      </w:r>
    </w:p>
    <w:p w14:paraId="2139D357">
      <w:pPr>
        <w:pStyle w:val="16"/>
      </w:pPr>
      <w:r>
        <w:t>Davis R, et al. Digital Clock Drawing: Differentiating “Thinking” versus “Doing”. (MIT Open Access PDF).</w:t>
      </w:r>
    </w:p>
    <w:p w14:paraId="0E167041">
      <w:pPr>
        <w:pStyle w:val="16"/>
      </w:pPr>
      <w:r>
        <w:t>Cambridge Core (JINS). Digital Clock Drawing: Differentiating “Thinking” versus “Doing” in younger and older adults… (Abstract page).</w:t>
      </w:r>
    </w:p>
    <w:p w14:paraId="64693EC8">
      <w:pPr>
        <w:pStyle w:val="16"/>
      </w:pPr>
      <w:r>
        <w:t>RADC (Rush Alzheimer’s Disease Center) Digital Pen Device variable definitions: percent think time (command).</w:t>
      </w:r>
    </w:p>
    <w:p w14:paraId="64266EC5">
      <w:pPr>
        <w:pStyle w:val="16"/>
      </w:pPr>
      <w:r>
        <w:t>PsychoPy Documentation: psychopy.hardware.camera.Camera API (v2025.2.3) and Builder Camera Component docs.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14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1789</Words>
  <Characters>3189</Characters>
  <Lines>0</Lines>
  <Paragraphs>0</Paragraphs>
  <TotalTime>3</TotalTime>
  <ScaleCrop>false</ScaleCrop>
  <LinksUpToDate>false</LinksUpToDate>
  <CharactersWithSpaces>3408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余嘉</cp:lastModifiedBy>
  <dcterms:modified xsi:type="dcterms:W3CDTF">2025-12-29T05:30:37Z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eyJoZGlkIjoiZTQzOGRkNDA0MTFhNTIzZGNmOWNjYjcyYjE0NjU5ZjgiLCJ1c2VySWQiOiIxNzgwMTA4MTk5In0=</vt:lpwstr>
  </property>
  <property fmtid="{D5CDD505-2E9C-101B-9397-08002B2CF9AE}" pid="3" name="KSOProductBuildVer">
    <vt:lpwstr>2052-12.1.0.23542</vt:lpwstr>
  </property>
  <property fmtid="{D5CDD505-2E9C-101B-9397-08002B2CF9AE}" pid="4" name="ICV">
    <vt:lpwstr>C2F0F074A168440BAB8EB875E1340F3B_13</vt:lpwstr>
  </property>
</Properties>
</file>