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36"/>
        </w:rPr>
        <w:t>管理群通知与时间节点安排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群内可发布版本 + 4月27日—5月5日节点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一、群内通知建议稿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可直接发到管理群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40"/>
      </w:tblGrid>
      <w:tr>
        <w:tc>
          <w:tcPr>
            <w:tcW w:type="dxa" w:w="10540"/>
            <w:shd w:fill="F2F2F2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各位，我把接下来这一阶段的任务重新梳理一下。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当前重点不是简单把现有范式压缩成短版，而是围绕“游戏化认知测评/训练”和“老年认知评估有效性”做进一步整理。现有范式是我们很重要的来源，但后续还要参考MCI预测相关的重要认知域、多模态信息和外部研究证据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这一阶段主要分几条线：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1. 原有范式先由原负责人回看，确认我们后续在网页里做过的参数和呈现方式改动是否合理；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2. 游戏化方向要考虑如何形成一个更短、更容易推广、但仍然有认知评估意义的任务；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3. 认知训练方向先做一个适合老年人或MCI风险人群的训练模块；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4. 两个网站 zju.edisondai.cn 和 zjuaipsy.cn 继续做UI/UX和老人友好优化；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5. 大模型结合方向先作为调研方向推进；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6. AI与心理学meta分析继续作为长线研究推进。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大家不用写长篇综述，先以表格形式整理：当前设置、可能问题、修改建议、是否需要文献支持、参考依据。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二、群内分工说明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70"/>
        <w:gridCol w:w="5270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人员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群内说明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刘晓烨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回看空间导航和看眼读心；根据试测反馈提出修改建议；参与游戏化任务初步设计；AI meta继续作为长线推进。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田淑怡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负责老年认知训练方向，先围绕工作记忆和执行功能设计一个适合老年人/MCI风险人群的训练模块。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张璐泽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负责两个网站的UI/UX和游戏化界面设计，重点看入口、指导语、按钮、视觉统一、老人友好和游戏化交互。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刘澄颖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做动态轻任务：体验两个网站并写反馈，或补充3篇AI/多模态认知评估文献；不放关键路径。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许一桦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回看Flanker、SART、VSTMB，确认网页参数和呈现方式改动是否合理。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黄朝琮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回看图片记忆和连线测试，重点看呈现时间、计时、错误处理、触屏操作等；如果没空再转给其他人补。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戴敬力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负责总控、技术整合、画钟/语音测评修改、大模型方向把关，并按需协助足球网页和青少年组。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三、时间节点安排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节点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具体安排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4月27日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任务确认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每个人确认自己负责的内容；原负责人开始回看原范式；UI/UX开始体验两个网站。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4月28日—4月29日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形成初稿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各自整理问题清单、修改建议、参数依据或训练模块初稿。不要写长文，先表格化。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4月30日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第一轮提交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提交第一版：范式回看表、训练模块表、UI/UX问题清单、AI/多模态轻调研或网站反馈。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5月1日—5月5日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轻量补充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五一期间不安排重任务，只做补充修改、文献补充、个别问题确认。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5月5日前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汇总整合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戴敬力汇总第一版优化方案，明确后续哪些进入开发、哪些继续论证。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四、4月30日前每个人要交什么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270"/>
        <w:gridCol w:w="5270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人员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4月30日前交付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刘晓烨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空间导航修改建议；看眼读心优化建议；游戏化任务初步想法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田淑怡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工作记忆/执行功能训练模块设计表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张璐泽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两个网站UI/UX问题清单；游戏化界面建议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刘澄颖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网站体验反馈或3篇AI/多模态认知评估文献，二选一即可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许一桦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Flanker、SART、VSTMB参数回看表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黄朝琮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图片记忆、连线测试回看表；没空则说明后续转交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戴敬力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统一模板、任务协调、关键问题判断；画钟与语音测评修改方案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五、群内补充说明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可作为群内第二条补充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40"/>
      </w:tblGrid>
      <w:tr>
        <w:tc>
          <w:tcPr>
            <w:tcW w:type="dxa" w:w="10540"/>
            <w:shd w:fill="F2F2F2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补充一下，大家这次不是做完整综述，也不是要求每个人都找很多文章。更重要的是把任务里真正会影响网页和实验设计的部分先找出来，比如：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1. ITI/ISI；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2. 刺激呈现时间；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3. 图片、字号、按钮和刺激大小；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4. trial数量；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5. 任务流程；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6. 实验材料；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7. 正确率、反应时、遗漏、误按、完成时间等指标；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8. 老年人/MCI人群是否需要特殊调整。</w:t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</w:r>
          </w:p>
          <w:p>
            <w:pPr>
              <w:spacing w:after="60"/>
            </w:pPr>
            <w:r>
              <w:rPr>
                <w:rFonts w:ascii="Noto Sans CJK SC" w:hAnsi="Noto Sans CJK SC" w:eastAsia="Noto Sans CJK SC"/>
                <w:sz w:val="19"/>
              </w:rPr>
              <w:t>如果暂时找不到文献依据，也可以先写“需要进一步确认”，不要卡住。</w:t>
            </w:r>
          </w:p>
        </w:tc>
      </w:tr>
    </w:tbl>
    <w:p/>
    <w:sectPr w:rsidR="00FC693F" w:rsidRPr="0006063C" w:rsidSect="00034616">
      <w:pgSz w:w="12240" w:h="15840"/>
      <w:pgMar w:top="90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